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E141" w14:textId="77777777" w:rsidR="00A620DA" w:rsidRDefault="00A620DA" w:rsidP="00A620DA">
      <w:pPr>
        <w:pStyle w:val="Body"/>
        <w:spacing w:line="240" w:lineRule="auto"/>
        <w:rPr>
          <w:rFonts w:ascii="Times New Roman" w:hAnsi="Times New Roman" w:cs="Times New Roman"/>
          <w:sz w:val="20"/>
          <w:szCs w:val="20"/>
        </w:rPr>
      </w:pPr>
      <w:r w:rsidRPr="1F6C244A">
        <w:rPr>
          <w:rFonts w:ascii="Times New Roman" w:hAnsi="Times New Roman" w:cs="Times New Roman"/>
          <w:b/>
          <w:bCs/>
          <w:sz w:val="20"/>
          <w:szCs w:val="20"/>
        </w:rPr>
        <w:t>Table 1.</w:t>
      </w:r>
      <w:r>
        <w:br/>
      </w:r>
      <w:r w:rsidRPr="1F6C244A">
        <w:rPr>
          <w:rFonts w:ascii="Times New Roman" w:hAnsi="Times New Roman" w:cs="Times New Roman"/>
          <w:i/>
          <w:iCs/>
          <w:sz w:val="20"/>
          <w:szCs w:val="20"/>
        </w:rPr>
        <w:t>Blocks with search terms used across all databases</w:t>
      </w:r>
      <w:r w:rsidRPr="1F6C244A">
        <w:rPr>
          <w:rFonts w:ascii="Times New Roman" w:hAnsi="Times New Roman" w:cs="Times New Roman"/>
          <w:sz w:val="20"/>
          <w:szCs w:val="20"/>
        </w:rPr>
        <w:t xml:space="preserve"> </w:t>
      </w:r>
    </w:p>
    <w:tbl>
      <w:tblPr>
        <w:tblStyle w:val="PlainTable2"/>
        <w:tblW w:w="9013" w:type="dxa"/>
        <w:tblLayout w:type="fixed"/>
        <w:tblLook w:val="04A0" w:firstRow="1" w:lastRow="0" w:firstColumn="1" w:lastColumn="0" w:noHBand="0" w:noVBand="1"/>
      </w:tblPr>
      <w:tblGrid>
        <w:gridCol w:w="814"/>
        <w:gridCol w:w="2730"/>
        <w:gridCol w:w="5469"/>
      </w:tblGrid>
      <w:tr w:rsidR="00A620DA" w14:paraId="72B5734D" w14:textId="77777777" w:rsidTr="2D0F3F7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14" w:type="dxa"/>
            <w:tcBorders>
              <w:bottom w:val="single" w:sz="4" w:space="0" w:color="auto"/>
            </w:tcBorders>
            <w:vAlign w:val="center"/>
          </w:tcPr>
          <w:p w14:paraId="27804338" w14:textId="77777777" w:rsidR="00A620DA" w:rsidRPr="00B13BBD" w:rsidRDefault="00A620DA" w:rsidP="00F3198C">
            <w:pPr>
              <w:pStyle w:val="TableStyle2"/>
              <w:jc w:val="center"/>
              <w:rPr>
                <w:rFonts w:ascii="Times New Roman" w:hAnsi="Times New Roman" w:cs="Times New Roman"/>
              </w:rPr>
            </w:pPr>
            <w:r w:rsidRPr="1F6C244A">
              <w:rPr>
                <w:rFonts w:ascii="Times New Roman" w:hAnsi="Times New Roman" w:cs="Times New Roman"/>
                <w:b w:val="0"/>
                <w:bCs w:val="0"/>
              </w:rPr>
              <w:t>Block</w:t>
            </w:r>
          </w:p>
        </w:tc>
        <w:tc>
          <w:tcPr>
            <w:tcW w:w="2730" w:type="dxa"/>
            <w:tcBorders>
              <w:bottom w:val="single" w:sz="4" w:space="0" w:color="auto"/>
            </w:tcBorders>
            <w:vAlign w:val="center"/>
          </w:tcPr>
          <w:p w14:paraId="7E9F958E" w14:textId="77777777" w:rsidR="00A620DA" w:rsidRPr="00B13BBD" w:rsidRDefault="00A620DA" w:rsidP="00F3198C">
            <w:pPr>
              <w:pStyle w:val="TableStyle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1F6C244A">
              <w:rPr>
                <w:rFonts w:ascii="Times New Roman" w:hAnsi="Times New Roman" w:cs="Times New Roman"/>
                <w:b w:val="0"/>
                <w:bCs w:val="0"/>
              </w:rPr>
              <w:t>PCC Criteria Addressed</w:t>
            </w:r>
          </w:p>
        </w:tc>
        <w:tc>
          <w:tcPr>
            <w:tcW w:w="5469" w:type="dxa"/>
            <w:tcBorders>
              <w:bottom w:val="single" w:sz="4" w:space="0" w:color="auto"/>
            </w:tcBorders>
            <w:vAlign w:val="center"/>
          </w:tcPr>
          <w:p w14:paraId="4B395D19" w14:textId="77777777" w:rsidR="00A620DA" w:rsidRPr="00B13BBD" w:rsidRDefault="00A620DA" w:rsidP="00F3198C">
            <w:pPr>
              <w:pStyle w:val="TableStyle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1F6C244A">
              <w:rPr>
                <w:rFonts w:ascii="Times New Roman" w:hAnsi="Times New Roman" w:cs="Times New Roman"/>
                <w:b w:val="0"/>
                <w:bCs w:val="0"/>
              </w:rPr>
              <w:t>Search Terms</w:t>
            </w:r>
          </w:p>
        </w:tc>
      </w:tr>
      <w:tr w:rsidR="00A620DA" w14:paraId="729F35C1" w14:textId="77777777" w:rsidTr="2D0F3F7B">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auto"/>
              <w:bottom w:val="single" w:sz="4" w:space="0" w:color="FFFFFF" w:themeColor="background1"/>
            </w:tcBorders>
          </w:tcPr>
          <w:p w14:paraId="36154E67" w14:textId="77777777" w:rsidR="00A620DA" w:rsidRPr="00F020F2" w:rsidRDefault="79C6C6F9" w:rsidP="6E057E7D">
            <w:pPr>
              <w:rPr>
                <w:rFonts w:eastAsia="Times New Roman"/>
                <w:b w:val="0"/>
                <w:bCs w:val="0"/>
                <w:color w:val="000000" w:themeColor="text1"/>
              </w:rPr>
            </w:pPr>
            <w:r w:rsidRPr="6E057E7D">
              <w:rPr>
                <w:rFonts w:eastAsia="Times New Roman"/>
                <w:b w:val="0"/>
                <w:bCs w:val="0"/>
                <w:color w:val="000000"/>
                <w14:textOutline w14:w="0" w14:cap="flat" w14:cmpd="sng" w14:algn="ctr">
                  <w14:noFill/>
                  <w14:prstDash w14:val="solid"/>
                  <w14:bevel/>
                </w14:textOutline>
              </w:rPr>
              <w:t>1</w:t>
            </w:r>
          </w:p>
        </w:tc>
        <w:tc>
          <w:tcPr>
            <w:tcW w:w="2730" w:type="dxa"/>
            <w:tcBorders>
              <w:top w:val="single" w:sz="4" w:space="0" w:color="auto"/>
              <w:bottom w:val="single" w:sz="4" w:space="0" w:color="FFFFFF" w:themeColor="background1"/>
            </w:tcBorders>
          </w:tcPr>
          <w:p w14:paraId="6A6DA1F4" w14:textId="77777777" w:rsidR="00A620DA" w:rsidRPr="00F020F2" w:rsidRDefault="00A620DA" w:rsidP="00F3198C">
            <w:pPr>
              <w:pStyle w:val="TableStyle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1F6C244A">
              <w:rPr>
                <w:rFonts w:ascii="Times New Roman" w:hAnsi="Times New Roman" w:cs="Times New Roman"/>
              </w:rPr>
              <w:t>Participant</w:t>
            </w:r>
          </w:p>
        </w:tc>
        <w:tc>
          <w:tcPr>
            <w:tcW w:w="5469" w:type="dxa"/>
            <w:tcBorders>
              <w:top w:val="single" w:sz="4" w:space="0" w:color="auto"/>
              <w:bottom w:val="single" w:sz="4" w:space="0" w:color="FFFFFF" w:themeColor="background1"/>
              <w:right w:val="single" w:sz="4" w:space="0" w:color="FFFFFF" w:themeColor="background1"/>
            </w:tcBorders>
          </w:tcPr>
          <w:p w14:paraId="0AEAF3FF" w14:textId="77777777" w:rsidR="00A620DA" w:rsidRPr="00F020F2" w:rsidRDefault="2EAD91FD" w:rsidP="2D0F3F7B">
            <w:pPr>
              <w:pStyle w:val="Body"/>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2D0F3F7B">
              <w:rPr>
                <w:rFonts w:ascii="Times New Roman" w:hAnsi="Times New Roman" w:cs="Times New Roman"/>
              </w:rPr>
              <w:t>LGBTQ+ OR LGB OR LGBTQIA2 OR Lesbian OR Gay OR Bisexual OR Transgender OR Queer OR Pansexual</w:t>
            </w:r>
          </w:p>
        </w:tc>
      </w:tr>
      <w:tr w:rsidR="00A620DA" w14:paraId="2A47ED0E" w14:textId="77777777" w:rsidTr="2D0F3F7B">
        <w:trPr>
          <w:trHeight w:val="945"/>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FFFFFF" w:themeColor="background1"/>
            </w:tcBorders>
          </w:tcPr>
          <w:p w14:paraId="60DE2F30" w14:textId="77777777" w:rsidR="00A620DA" w:rsidRPr="00F020F2" w:rsidRDefault="79C6C6F9" w:rsidP="6E057E7D">
            <w:pPr>
              <w:rPr>
                <w:rFonts w:eastAsia="Times New Roman"/>
                <w:b w:val="0"/>
                <w:bCs w:val="0"/>
                <w:color w:val="000000" w:themeColor="text1"/>
              </w:rPr>
            </w:pPr>
            <w:r w:rsidRPr="6E057E7D">
              <w:rPr>
                <w:rFonts w:eastAsia="Times New Roman"/>
                <w:b w:val="0"/>
                <w:bCs w:val="0"/>
                <w:color w:val="000000"/>
                <w14:textOutline w14:w="0" w14:cap="flat" w14:cmpd="sng" w14:algn="ctr">
                  <w14:noFill/>
                  <w14:prstDash w14:val="solid"/>
                  <w14:bevel/>
                </w14:textOutline>
              </w:rPr>
              <w:t>2</w:t>
            </w:r>
          </w:p>
        </w:tc>
        <w:tc>
          <w:tcPr>
            <w:tcW w:w="2730" w:type="dxa"/>
            <w:tcBorders>
              <w:top w:val="single" w:sz="4" w:space="0" w:color="FFFFFF" w:themeColor="background1"/>
            </w:tcBorders>
          </w:tcPr>
          <w:p w14:paraId="46C52ADD" w14:textId="77777777" w:rsidR="00A620DA" w:rsidRPr="00F020F2" w:rsidRDefault="00A620DA" w:rsidP="00F3198C">
            <w:pPr>
              <w:pStyle w:val="TableStyle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F6C244A">
              <w:rPr>
                <w:rFonts w:ascii="Times New Roman" w:hAnsi="Times New Roman" w:cs="Times New Roman"/>
              </w:rPr>
              <w:t>Concept,</w:t>
            </w:r>
          </w:p>
          <w:p w14:paraId="150A45BE" w14:textId="77777777" w:rsidR="00A620DA" w:rsidRPr="00F020F2" w:rsidRDefault="00A620DA" w:rsidP="00F3198C">
            <w:pPr>
              <w:pStyle w:val="TableStyle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F6C244A">
              <w:rPr>
                <w:rFonts w:ascii="Times New Roman" w:hAnsi="Times New Roman" w:cs="Times New Roman"/>
              </w:rPr>
              <w:t>Context</w:t>
            </w:r>
          </w:p>
        </w:tc>
        <w:tc>
          <w:tcPr>
            <w:tcW w:w="5469" w:type="dxa"/>
            <w:tcBorders>
              <w:top w:val="single" w:sz="4" w:space="0" w:color="FFFFFF" w:themeColor="background1"/>
            </w:tcBorders>
          </w:tcPr>
          <w:p w14:paraId="46223B40" w14:textId="77777777" w:rsidR="00A620DA" w:rsidRPr="00F020F2" w:rsidRDefault="00A620DA" w:rsidP="00F3198C">
            <w:pPr>
              <w:pStyle w:val="TableStyle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F6C244A">
              <w:rPr>
                <w:rFonts w:ascii="Times New Roman" w:hAnsi="Times New Roman" w:cs="Times New Roman"/>
              </w:rPr>
              <w:t>Domestic Abuse OR Intimate Partner Violence OR Domestic Violence OR IPV OR DA OR Identity abuse OR Identity Based Abuse OR Emotional Abuse OR Spousal Abuse OR Partner Abuse NOT Family abuse</w:t>
            </w:r>
          </w:p>
        </w:tc>
      </w:tr>
    </w:tbl>
    <w:p w14:paraId="245DEDA8" w14:textId="77777777" w:rsidR="00A620DA" w:rsidRDefault="00A620DA" w:rsidP="00A620DA">
      <w:pPr>
        <w:pStyle w:val="Body"/>
        <w:spacing w:line="240" w:lineRule="auto"/>
        <w:rPr>
          <w:rFonts w:ascii="Times New Roman" w:eastAsia="Times New Roman" w:hAnsi="Times New Roman" w:cs="Times New Roman"/>
          <w:sz w:val="20"/>
          <w:szCs w:val="20"/>
        </w:rPr>
      </w:pPr>
      <w:r w:rsidRPr="1F6C244A">
        <w:rPr>
          <w:rFonts w:ascii="Times New Roman" w:hAnsi="Times New Roman" w:cs="Times New Roman"/>
          <w:i/>
          <w:iCs/>
          <w:sz w:val="20"/>
          <w:szCs w:val="20"/>
        </w:rPr>
        <w:t>Note.</w:t>
      </w:r>
      <w:r w:rsidRPr="1F6C244A">
        <w:rPr>
          <w:rFonts w:ascii="Times New Roman" w:hAnsi="Times New Roman" w:cs="Times New Roman"/>
          <w:sz w:val="20"/>
          <w:szCs w:val="20"/>
        </w:rPr>
        <w:t xml:space="preserve"> PCC= Participant, Concept, Context</w:t>
      </w:r>
    </w:p>
    <w:p w14:paraId="116AB97E" w14:textId="77777777" w:rsidR="00A620DA" w:rsidRDefault="00A620DA" w:rsidP="00000934">
      <w:pPr>
        <w:pStyle w:val="Body"/>
        <w:spacing w:line="240" w:lineRule="auto"/>
        <w:rPr>
          <w:rFonts w:ascii="Times New Roman" w:hAnsi="Times New Roman"/>
          <w:b/>
          <w:bCs/>
          <w:sz w:val="20"/>
          <w:szCs w:val="20"/>
        </w:rPr>
      </w:pPr>
    </w:p>
    <w:p w14:paraId="309D2D7A" w14:textId="58F6DC35" w:rsidR="00000934" w:rsidRPr="00755FD9" w:rsidRDefault="00000934" w:rsidP="00000934">
      <w:pPr>
        <w:pStyle w:val="Body"/>
        <w:spacing w:line="240" w:lineRule="auto"/>
        <w:rPr>
          <w:rFonts w:ascii="Times New Roman" w:hAnsi="Times New Roman"/>
          <w:b/>
          <w:bCs/>
          <w:i/>
          <w:iCs/>
          <w:sz w:val="20"/>
          <w:szCs w:val="20"/>
        </w:rPr>
      </w:pPr>
      <w:r w:rsidRPr="1F6C244A">
        <w:rPr>
          <w:rFonts w:ascii="Times New Roman" w:hAnsi="Times New Roman"/>
          <w:b/>
          <w:bCs/>
          <w:sz w:val="20"/>
          <w:szCs w:val="20"/>
        </w:rPr>
        <w:t xml:space="preserve">Table </w:t>
      </w:r>
      <w:r w:rsidR="00FD3FD8">
        <w:rPr>
          <w:rFonts w:ascii="Times New Roman" w:hAnsi="Times New Roman"/>
          <w:b/>
          <w:bCs/>
          <w:sz w:val="20"/>
          <w:szCs w:val="20"/>
        </w:rPr>
        <w:t>2</w:t>
      </w:r>
      <w:r w:rsidRPr="1F6C244A">
        <w:rPr>
          <w:rFonts w:ascii="Times New Roman" w:hAnsi="Times New Roman"/>
          <w:b/>
          <w:bCs/>
          <w:sz w:val="20"/>
          <w:szCs w:val="20"/>
        </w:rPr>
        <w:t xml:space="preserve">. </w:t>
      </w:r>
      <w:r>
        <w:br/>
      </w:r>
      <w:r w:rsidRPr="1F6C244A">
        <w:rPr>
          <w:rFonts w:ascii="Times New Roman" w:hAnsi="Times New Roman"/>
          <w:i/>
          <w:iCs/>
          <w:sz w:val="20"/>
          <w:szCs w:val="20"/>
        </w:rPr>
        <w:t>Descriptive Summary of Included Papers.</w:t>
      </w:r>
    </w:p>
    <w:tbl>
      <w:tblPr>
        <w:tblW w:w="93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Look w:val="04A0" w:firstRow="1" w:lastRow="0" w:firstColumn="1" w:lastColumn="0" w:noHBand="0" w:noVBand="1"/>
      </w:tblPr>
      <w:tblGrid>
        <w:gridCol w:w="1556"/>
        <w:gridCol w:w="1536"/>
        <w:gridCol w:w="1574"/>
        <w:gridCol w:w="1555"/>
        <w:gridCol w:w="1289"/>
        <w:gridCol w:w="1822"/>
      </w:tblGrid>
      <w:tr w:rsidR="00000934" w14:paraId="0E04F84A" w14:textId="77777777" w:rsidTr="00F3198C">
        <w:trPr>
          <w:trHeight w:val="315"/>
        </w:trPr>
        <w:tc>
          <w:tcPr>
            <w:tcW w:w="1556" w:type="dxa"/>
            <w:tcBorders>
              <w:top w:val="single" w:sz="2" w:space="0" w:color="000000" w:themeColor="text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vAlign w:val="center"/>
          </w:tcPr>
          <w:p w14:paraId="18E6625C" w14:textId="77777777" w:rsidR="00000934" w:rsidRDefault="00000934" w:rsidP="00F3198C">
            <w:pPr>
              <w:pStyle w:val="TableStyle2"/>
              <w:jc w:val="center"/>
              <w:rPr>
                <w:rFonts w:ascii="Times New Roman" w:hAnsi="Times New Roman"/>
              </w:rPr>
            </w:pPr>
            <w:r w:rsidRPr="1F6C244A">
              <w:rPr>
                <w:rFonts w:ascii="Times New Roman" w:hAnsi="Times New Roman"/>
              </w:rPr>
              <w:t>Method</w:t>
            </w:r>
          </w:p>
        </w:tc>
        <w:tc>
          <w:tcPr>
            <w:tcW w:w="3110" w:type="dxa"/>
            <w:gridSpan w:val="2"/>
            <w:tcBorders>
              <w:top w:val="single" w:sz="2" w:space="0" w:color="000000" w:themeColor="text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vAlign w:val="center"/>
          </w:tcPr>
          <w:p w14:paraId="5958305F" w14:textId="77777777" w:rsidR="00000934" w:rsidRDefault="00000934" w:rsidP="00F3198C">
            <w:pPr>
              <w:pStyle w:val="TableStyle2"/>
              <w:jc w:val="center"/>
              <w:rPr>
                <w:rFonts w:ascii="Times New Roman" w:hAnsi="Times New Roman"/>
              </w:rPr>
            </w:pPr>
            <w:r w:rsidRPr="1F6C244A">
              <w:rPr>
                <w:rFonts w:ascii="Times New Roman" w:hAnsi="Times New Roman"/>
              </w:rPr>
              <w:t>Location</w:t>
            </w:r>
          </w:p>
        </w:tc>
        <w:tc>
          <w:tcPr>
            <w:tcW w:w="4666" w:type="dxa"/>
            <w:gridSpan w:val="3"/>
            <w:tcBorders>
              <w:top w:val="single" w:sz="2" w:space="0" w:color="000000" w:themeColor="text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vAlign w:val="center"/>
          </w:tcPr>
          <w:p w14:paraId="27449B42" w14:textId="77777777" w:rsidR="00000934" w:rsidRDefault="00000934" w:rsidP="00F3198C">
            <w:pPr>
              <w:pStyle w:val="TableStyle2"/>
              <w:jc w:val="center"/>
              <w:rPr>
                <w:rFonts w:ascii="Times New Roman" w:hAnsi="Times New Roman"/>
              </w:rPr>
            </w:pPr>
            <w:r w:rsidRPr="1F6C244A">
              <w:rPr>
                <w:rFonts w:ascii="Times New Roman" w:hAnsi="Times New Roman"/>
              </w:rPr>
              <w:t>Year of Publication</w:t>
            </w:r>
          </w:p>
        </w:tc>
      </w:tr>
      <w:tr w:rsidR="00000934" w14:paraId="52C0949E" w14:textId="77777777" w:rsidTr="00F3198C">
        <w:trPr>
          <w:trHeight w:val="634"/>
        </w:trPr>
        <w:tc>
          <w:tcPr>
            <w:tcW w:w="1556" w:type="dxa"/>
            <w:tcBorders>
              <w:top w:val="single" w:sz="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6FB5E308" w14:textId="77777777" w:rsidR="00000934" w:rsidRDefault="00000934" w:rsidP="00F3198C">
            <w:pPr>
              <w:pStyle w:val="TableStyle2"/>
              <w:rPr>
                <w:rFonts w:ascii="Times New Roman" w:hAnsi="Times New Roman"/>
              </w:rPr>
            </w:pPr>
            <w:r w:rsidRPr="1F6C244A">
              <w:rPr>
                <w:rFonts w:ascii="Times New Roman" w:hAnsi="Times New Roman"/>
                <w:lang w:val="it-IT"/>
              </w:rPr>
              <w:t>Quantitative</w:t>
            </w:r>
            <w:r w:rsidRPr="1F6C244A">
              <w:rPr>
                <w:rFonts w:ascii="Times New Roman" w:hAnsi="Times New Roman"/>
              </w:rPr>
              <w:t xml:space="preserve"> </w:t>
            </w:r>
          </w:p>
          <w:p w14:paraId="2FD393EE" w14:textId="77777777" w:rsidR="00000934" w:rsidRDefault="00000934" w:rsidP="00F3198C">
            <w:pPr>
              <w:pStyle w:val="TableStyle2"/>
              <w:rPr>
                <w:rFonts w:ascii="Times New Roman" w:hAnsi="Times New Roman"/>
              </w:rPr>
            </w:pPr>
            <w:r w:rsidRPr="1F6C244A">
              <w:rPr>
                <w:rFonts w:ascii="Times New Roman" w:hAnsi="Times New Roman"/>
                <w:i/>
                <w:iCs/>
              </w:rPr>
              <w:t xml:space="preserve">k </w:t>
            </w:r>
            <w:r w:rsidRPr="1F6C244A">
              <w:rPr>
                <w:rFonts w:ascii="Times New Roman" w:hAnsi="Times New Roman"/>
              </w:rPr>
              <w:t>= 22</w:t>
            </w:r>
          </w:p>
        </w:tc>
        <w:tc>
          <w:tcPr>
            <w:tcW w:w="1536" w:type="dxa"/>
            <w:tcBorders>
              <w:top w:val="single" w:sz="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62DEEC33"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USA </w:t>
            </w:r>
            <w:r w:rsidRPr="1F6C244A">
              <w:rPr>
                <w:rFonts w:ascii="Times New Roman" w:hAnsi="Times New Roman"/>
                <w:i/>
                <w:iCs/>
              </w:rPr>
              <w:t xml:space="preserve">k </w:t>
            </w:r>
            <w:r w:rsidRPr="1F6C244A">
              <w:rPr>
                <w:rFonts w:ascii="Times New Roman" w:hAnsi="Times New Roman"/>
              </w:rPr>
              <w:t>= 27</w:t>
            </w:r>
          </w:p>
        </w:tc>
        <w:tc>
          <w:tcPr>
            <w:tcW w:w="1574" w:type="dxa"/>
            <w:tcBorders>
              <w:top w:val="single" w:sz="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1D183918" w14:textId="77777777" w:rsidR="00000934" w:rsidRDefault="00000934" w:rsidP="00F3198C">
            <w:pPr>
              <w:pStyle w:val="TableStyle2"/>
              <w:jc w:val="center"/>
              <w:rPr>
                <w:rFonts w:ascii="Times New Roman" w:hAnsi="Times New Roman"/>
              </w:rPr>
            </w:pPr>
            <w:r w:rsidRPr="1F6C244A">
              <w:rPr>
                <w:rFonts w:ascii="Times New Roman" w:hAnsi="Times New Roman"/>
                <w:lang w:val="it-IT"/>
              </w:rPr>
              <w:t>Australia</w:t>
            </w:r>
            <w:r w:rsidRPr="1F6C244A">
              <w:rPr>
                <w:rFonts w:ascii="Times New Roman" w:hAnsi="Times New Roman"/>
              </w:rPr>
              <w:t xml:space="preserve"> </w:t>
            </w:r>
          </w:p>
          <w:p w14:paraId="45531C05" w14:textId="77777777" w:rsidR="00000934" w:rsidRDefault="00000934" w:rsidP="00F3198C">
            <w:pPr>
              <w:pStyle w:val="TableStyle2"/>
              <w:jc w:val="center"/>
              <w:rPr>
                <w:rFonts w:ascii="Times New Roman" w:hAnsi="Times New Roman"/>
              </w:rPr>
            </w:pPr>
            <w:r w:rsidRPr="1F6C244A">
              <w:rPr>
                <w:rFonts w:ascii="Times New Roman" w:hAnsi="Times New Roman"/>
                <w:i/>
                <w:iCs/>
              </w:rPr>
              <w:t xml:space="preserve">k </w:t>
            </w:r>
            <w:r w:rsidRPr="1F6C244A">
              <w:rPr>
                <w:rFonts w:ascii="Times New Roman" w:hAnsi="Times New Roman"/>
              </w:rPr>
              <w:t>= 1</w:t>
            </w:r>
          </w:p>
        </w:tc>
        <w:tc>
          <w:tcPr>
            <w:tcW w:w="1555" w:type="dxa"/>
            <w:tcBorders>
              <w:top w:val="single" w:sz="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2066BE8A"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2024 </w:t>
            </w:r>
            <w:r w:rsidRPr="1F6C244A">
              <w:rPr>
                <w:rFonts w:ascii="Times New Roman" w:hAnsi="Times New Roman"/>
                <w:i/>
                <w:iCs/>
              </w:rPr>
              <w:t xml:space="preserve">k </w:t>
            </w:r>
            <w:r w:rsidRPr="1F6C244A">
              <w:rPr>
                <w:rFonts w:ascii="Times New Roman" w:hAnsi="Times New Roman"/>
              </w:rPr>
              <w:t>= 7</w:t>
            </w:r>
          </w:p>
        </w:tc>
        <w:tc>
          <w:tcPr>
            <w:tcW w:w="1289" w:type="dxa"/>
            <w:tcBorders>
              <w:top w:val="single" w:sz="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20A87BFE"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2020 </w:t>
            </w:r>
            <w:r w:rsidRPr="1F6C244A">
              <w:rPr>
                <w:rFonts w:ascii="Times New Roman" w:hAnsi="Times New Roman"/>
                <w:i/>
                <w:iCs/>
              </w:rPr>
              <w:t xml:space="preserve">k </w:t>
            </w:r>
            <w:r w:rsidRPr="1F6C244A">
              <w:rPr>
                <w:rFonts w:ascii="Times New Roman" w:hAnsi="Times New Roman"/>
              </w:rPr>
              <w:t>= 2</w:t>
            </w:r>
          </w:p>
        </w:tc>
        <w:tc>
          <w:tcPr>
            <w:tcW w:w="1821" w:type="dxa"/>
            <w:tcBorders>
              <w:top w:val="single" w:sz="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7AA97A2A"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2016 </w:t>
            </w:r>
            <w:r w:rsidRPr="1F6C244A">
              <w:rPr>
                <w:rFonts w:ascii="Times New Roman" w:hAnsi="Times New Roman"/>
                <w:i/>
                <w:iCs/>
              </w:rPr>
              <w:t xml:space="preserve">k </w:t>
            </w:r>
            <w:r w:rsidRPr="1F6C244A">
              <w:rPr>
                <w:rFonts w:ascii="Times New Roman" w:hAnsi="Times New Roman"/>
              </w:rPr>
              <w:t>= 1</w:t>
            </w:r>
          </w:p>
        </w:tc>
      </w:tr>
      <w:tr w:rsidR="00000934" w14:paraId="1CEDF3C9" w14:textId="77777777" w:rsidTr="00F3198C">
        <w:trPr>
          <w:trHeight w:val="634"/>
        </w:trPr>
        <w:tc>
          <w:tcPr>
            <w:tcW w:w="15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411258E0" w14:textId="77777777" w:rsidR="00000934" w:rsidRDefault="00000934" w:rsidP="00F3198C">
            <w:pPr>
              <w:pStyle w:val="TableStyle2"/>
              <w:rPr>
                <w:rFonts w:ascii="Times New Roman" w:hAnsi="Times New Roman"/>
              </w:rPr>
            </w:pPr>
            <w:r w:rsidRPr="1F6C244A">
              <w:rPr>
                <w:rFonts w:ascii="Times New Roman" w:hAnsi="Times New Roman"/>
                <w:lang w:val="it-IT"/>
              </w:rPr>
              <w:t>Qualitative</w:t>
            </w:r>
            <w:r w:rsidRPr="1F6C244A">
              <w:rPr>
                <w:rFonts w:ascii="Times New Roman" w:hAnsi="Times New Roman"/>
              </w:rPr>
              <w:t xml:space="preserve"> </w:t>
            </w:r>
          </w:p>
          <w:p w14:paraId="77E85D4B" w14:textId="77777777" w:rsidR="00000934" w:rsidRDefault="00000934" w:rsidP="00F3198C">
            <w:pPr>
              <w:pStyle w:val="TableStyle2"/>
              <w:rPr>
                <w:rFonts w:ascii="Times New Roman" w:hAnsi="Times New Roman"/>
              </w:rPr>
            </w:pPr>
            <w:r w:rsidRPr="1F6C244A">
              <w:rPr>
                <w:rFonts w:ascii="Times New Roman" w:hAnsi="Times New Roman"/>
                <w:i/>
                <w:iCs/>
              </w:rPr>
              <w:t xml:space="preserve">k </w:t>
            </w:r>
            <w:r w:rsidRPr="1F6C244A">
              <w:rPr>
                <w:rFonts w:ascii="Times New Roman" w:hAnsi="Times New Roman"/>
              </w:rPr>
              <w:t>= 18</w:t>
            </w: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284FF0DF" w14:textId="77777777" w:rsidR="00000934" w:rsidRDefault="00000934" w:rsidP="00F3198C">
            <w:pPr>
              <w:pStyle w:val="TableStyle2"/>
              <w:jc w:val="center"/>
              <w:rPr>
                <w:rFonts w:ascii="Times New Roman" w:hAnsi="Times New Roman"/>
              </w:rPr>
            </w:pPr>
            <w:r w:rsidRPr="1F6C244A">
              <w:rPr>
                <w:rFonts w:ascii="Times New Roman" w:hAnsi="Times New Roman"/>
                <w:lang w:val="es-ES"/>
              </w:rPr>
              <w:t>Canada</w:t>
            </w:r>
            <w:r w:rsidRPr="1F6C244A">
              <w:rPr>
                <w:rFonts w:ascii="Times New Roman" w:hAnsi="Times New Roman"/>
              </w:rPr>
              <w:t xml:space="preserve"> </w:t>
            </w:r>
            <w:r w:rsidRPr="1F6C244A">
              <w:rPr>
                <w:rFonts w:ascii="Times New Roman" w:hAnsi="Times New Roman"/>
                <w:i/>
                <w:iCs/>
              </w:rPr>
              <w:t xml:space="preserve">k </w:t>
            </w:r>
            <w:r w:rsidRPr="1F6C244A">
              <w:rPr>
                <w:rFonts w:ascii="Times New Roman" w:hAnsi="Times New Roman"/>
              </w:rPr>
              <w:t>= 5</w:t>
            </w:r>
          </w:p>
        </w:tc>
        <w:tc>
          <w:tcPr>
            <w:tcW w:w="15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1DD860C6"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Norway </w:t>
            </w:r>
            <w:r w:rsidRPr="1F6C244A">
              <w:rPr>
                <w:rFonts w:ascii="Times New Roman" w:hAnsi="Times New Roman"/>
                <w:i/>
                <w:iCs/>
              </w:rPr>
              <w:t xml:space="preserve">k </w:t>
            </w:r>
            <w:r w:rsidRPr="1F6C244A">
              <w:rPr>
                <w:rFonts w:ascii="Times New Roman" w:hAnsi="Times New Roman"/>
              </w:rPr>
              <w:t>= 1</w:t>
            </w:r>
          </w:p>
        </w:tc>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11054388"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2023 </w:t>
            </w:r>
            <w:r w:rsidRPr="1F6C244A">
              <w:rPr>
                <w:rFonts w:ascii="Times New Roman" w:hAnsi="Times New Roman"/>
                <w:i/>
                <w:iCs/>
              </w:rPr>
              <w:t xml:space="preserve">k </w:t>
            </w:r>
            <w:r w:rsidRPr="1F6C244A">
              <w:rPr>
                <w:rFonts w:ascii="Times New Roman" w:hAnsi="Times New Roman"/>
              </w:rPr>
              <w:t>= 6</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11FC6358"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2019 </w:t>
            </w:r>
            <w:r w:rsidRPr="1F6C244A">
              <w:rPr>
                <w:rFonts w:ascii="Times New Roman" w:hAnsi="Times New Roman"/>
                <w:i/>
                <w:iCs/>
              </w:rPr>
              <w:t xml:space="preserve">k </w:t>
            </w:r>
            <w:r w:rsidRPr="1F6C244A">
              <w:rPr>
                <w:rFonts w:ascii="Times New Roman" w:hAnsi="Times New Roman"/>
              </w:rPr>
              <w:t>= 6</w:t>
            </w: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1A7BDD85"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2015 </w:t>
            </w:r>
            <w:r w:rsidRPr="1F6C244A">
              <w:rPr>
                <w:rFonts w:ascii="Times New Roman" w:hAnsi="Times New Roman"/>
                <w:i/>
                <w:iCs/>
              </w:rPr>
              <w:t xml:space="preserve">k </w:t>
            </w:r>
            <w:r w:rsidRPr="1F6C244A">
              <w:rPr>
                <w:rFonts w:ascii="Times New Roman" w:hAnsi="Times New Roman"/>
              </w:rPr>
              <w:t>= 1</w:t>
            </w:r>
          </w:p>
        </w:tc>
      </w:tr>
      <w:tr w:rsidR="00000934" w14:paraId="4362FB33" w14:textId="77777777" w:rsidTr="00F3198C">
        <w:trPr>
          <w:trHeight w:val="594"/>
        </w:trPr>
        <w:tc>
          <w:tcPr>
            <w:tcW w:w="15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6FAE2FE5" w14:textId="77777777" w:rsidR="00000934" w:rsidRDefault="00000934" w:rsidP="00F3198C">
            <w:pPr>
              <w:pStyle w:val="TableStyle2"/>
              <w:rPr>
                <w:rFonts w:ascii="Times New Roman" w:hAnsi="Times New Roman"/>
              </w:rPr>
            </w:pPr>
            <w:r w:rsidRPr="1F6C244A">
              <w:rPr>
                <w:rFonts w:ascii="Times New Roman" w:hAnsi="Times New Roman"/>
              </w:rPr>
              <w:t xml:space="preserve">Mixed-Methods </w:t>
            </w:r>
            <w:r w:rsidRPr="1F6C244A">
              <w:rPr>
                <w:rFonts w:ascii="Times New Roman" w:hAnsi="Times New Roman"/>
                <w:i/>
                <w:iCs/>
              </w:rPr>
              <w:t xml:space="preserve">k </w:t>
            </w:r>
            <w:r w:rsidRPr="1F6C244A">
              <w:rPr>
                <w:rFonts w:ascii="Times New Roman" w:hAnsi="Times New Roman"/>
              </w:rPr>
              <w:t>= 1</w:t>
            </w: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08706825" w14:textId="77777777" w:rsidR="00000934" w:rsidRDefault="00000934" w:rsidP="00F3198C">
            <w:pPr>
              <w:pStyle w:val="TableStyle2"/>
              <w:jc w:val="center"/>
              <w:rPr>
                <w:rFonts w:ascii="Times New Roman" w:hAnsi="Times New Roman"/>
              </w:rPr>
            </w:pPr>
            <w:r w:rsidRPr="1F6C244A">
              <w:rPr>
                <w:rFonts w:ascii="Times New Roman" w:hAnsi="Times New Roman"/>
                <w:lang w:val="de-DE"/>
              </w:rPr>
              <w:t>China</w:t>
            </w:r>
            <w:r w:rsidRPr="1F6C244A">
              <w:rPr>
                <w:rFonts w:ascii="Times New Roman" w:hAnsi="Times New Roman"/>
              </w:rPr>
              <w:t xml:space="preserve"> </w:t>
            </w:r>
            <w:r w:rsidRPr="1F6C244A">
              <w:rPr>
                <w:rFonts w:ascii="Times New Roman" w:hAnsi="Times New Roman"/>
                <w:i/>
                <w:iCs/>
              </w:rPr>
              <w:t xml:space="preserve">k </w:t>
            </w:r>
            <w:r w:rsidRPr="1F6C244A">
              <w:rPr>
                <w:rFonts w:ascii="Times New Roman" w:hAnsi="Times New Roman"/>
              </w:rPr>
              <w:t>= 3</w:t>
            </w:r>
          </w:p>
        </w:tc>
        <w:tc>
          <w:tcPr>
            <w:tcW w:w="15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5B5801F8"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Türkiye </w:t>
            </w:r>
            <w:r w:rsidRPr="1F6C244A">
              <w:rPr>
                <w:rFonts w:ascii="Times New Roman" w:hAnsi="Times New Roman"/>
                <w:i/>
                <w:iCs/>
              </w:rPr>
              <w:t xml:space="preserve">k </w:t>
            </w:r>
            <w:r w:rsidRPr="1F6C244A">
              <w:rPr>
                <w:rFonts w:ascii="Times New Roman" w:hAnsi="Times New Roman"/>
              </w:rPr>
              <w:t>= 1</w:t>
            </w:r>
          </w:p>
        </w:tc>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5A507F94"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2022 </w:t>
            </w:r>
            <w:r w:rsidRPr="1F6C244A">
              <w:rPr>
                <w:rFonts w:ascii="Times New Roman" w:hAnsi="Times New Roman"/>
                <w:i/>
                <w:iCs/>
              </w:rPr>
              <w:t xml:space="preserve">k </w:t>
            </w:r>
            <w:r w:rsidRPr="1F6C244A">
              <w:rPr>
                <w:rFonts w:ascii="Times New Roman" w:hAnsi="Times New Roman"/>
              </w:rPr>
              <w:t>= 6</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5D3B2D9A"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2018 </w:t>
            </w:r>
            <w:r w:rsidRPr="1F6C244A">
              <w:rPr>
                <w:rFonts w:ascii="Times New Roman" w:hAnsi="Times New Roman"/>
                <w:i/>
                <w:iCs/>
              </w:rPr>
              <w:t xml:space="preserve">k </w:t>
            </w:r>
            <w:r w:rsidRPr="1F6C244A">
              <w:rPr>
                <w:rFonts w:ascii="Times New Roman" w:hAnsi="Times New Roman"/>
              </w:rPr>
              <w:t>= 1</w:t>
            </w: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top w:w="80" w:type="dxa"/>
              <w:left w:w="80" w:type="dxa"/>
              <w:bottom w:w="80" w:type="dxa"/>
              <w:right w:w="80" w:type="dxa"/>
            </w:tcMar>
          </w:tcPr>
          <w:p w14:paraId="425148CF"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2014 </w:t>
            </w:r>
            <w:r w:rsidRPr="1F6C244A">
              <w:rPr>
                <w:rFonts w:ascii="Times New Roman" w:hAnsi="Times New Roman"/>
                <w:i/>
                <w:iCs/>
              </w:rPr>
              <w:t xml:space="preserve">k </w:t>
            </w:r>
            <w:r w:rsidRPr="1F6C244A">
              <w:rPr>
                <w:rFonts w:ascii="Times New Roman" w:hAnsi="Times New Roman"/>
              </w:rPr>
              <w:t>= 1</w:t>
            </w:r>
          </w:p>
        </w:tc>
      </w:tr>
      <w:tr w:rsidR="00000934" w14:paraId="7C66CDA7" w14:textId="77777777" w:rsidTr="00F3198C">
        <w:trPr>
          <w:trHeight w:val="634"/>
        </w:trPr>
        <w:tc>
          <w:tcPr>
            <w:tcW w:w="1556" w:type="dxa"/>
            <w:tcBorders>
              <w:top w:val="single" w:sz="4" w:space="0" w:color="FFFFFF" w:themeColor="background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tcPr>
          <w:p w14:paraId="474BB0BD" w14:textId="77777777" w:rsidR="00000934" w:rsidRDefault="00000934" w:rsidP="00F3198C">
            <w:pPr>
              <w:rPr>
                <w:sz w:val="20"/>
                <w:szCs w:val="20"/>
              </w:rPr>
            </w:pPr>
          </w:p>
        </w:tc>
        <w:tc>
          <w:tcPr>
            <w:tcW w:w="1536" w:type="dxa"/>
            <w:tcBorders>
              <w:top w:val="single" w:sz="4" w:space="0" w:color="FFFFFF" w:themeColor="background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tcPr>
          <w:p w14:paraId="3DC81B00" w14:textId="77777777" w:rsidR="00000934" w:rsidRDefault="00000934" w:rsidP="00F3198C">
            <w:pPr>
              <w:pStyle w:val="TableStyle2"/>
              <w:jc w:val="center"/>
              <w:rPr>
                <w:rFonts w:ascii="Times New Roman" w:eastAsia="Times New Roman" w:hAnsi="Times New Roman" w:cs="Times New Roman"/>
              </w:rPr>
            </w:pPr>
            <w:r w:rsidRPr="1F6C244A">
              <w:rPr>
                <w:rFonts w:ascii="Times New Roman" w:hAnsi="Times New Roman"/>
              </w:rPr>
              <w:t>Hong Kong</w:t>
            </w:r>
          </w:p>
          <w:p w14:paraId="40C0AEC2" w14:textId="77777777" w:rsidR="00000934" w:rsidRDefault="00000934" w:rsidP="00F3198C">
            <w:pPr>
              <w:pStyle w:val="TableStyle2"/>
              <w:jc w:val="center"/>
              <w:rPr>
                <w:rFonts w:ascii="Times New Roman" w:hAnsi="Times New Roman"/>
              </w:rPr>
            </w:pPr>
            <w:r w:rsidRPr="1F6C244A">
              <w:rPr>
                <w:rFonts w:ascii="Times New Roman" w:hAnsi="Times New Roman"/>
                <w:i/>
                <w:iCs/>
              </w:rPr>
              <w:t xml:space="preserve">k </w:t>
            </w:r>
            <w:r w:rsidRPr="1F6C244A">
              <w:rPr>
                <w:rFonts w:ascii="Times New Roman" w:hAnsi="Times New Roman"/>
              </w:rPr>
              <w:t>= 2</w:t>
            </w:r>
          </w:p>
        </w:tc>
        <w:tc>
          <w:tcPr>
            <w:tcW w:w="1574" w:type="dxa"/>
            <w:tcBorders>
              <w:top w:val="single" w:sz="4" w:space="0" w:color="FFFFFF" w:themeColor="background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tcPr>
          <w:p w14:paraId="3AFD2790"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UK </w:t>
            </w:r>
            <w:r w:rsidRPr="1F6C244A">
              <w:rPr>
                <w:rFonts w:ascii="Times New Roman" w:hAnsi="Times New Roman"/>
                <w:i/>
                <w:iCs/>
              </w:rPr>
              <w:t xml:space="preserve">k </w:t>
            </w:r>
            <w:r w:rsidRPr="1F6C244A">
              <w:rPr>
                <w:rFonts w:ascii="Times New Roman" w:hAnsi="Times New Roman"/>
              </w:rPr>
              <w:t>= 1</w:t>
            </w:r>
          </w:p>
        </w:tc>
        <w:tc>
          <w:tcPr>
            <w:tcW w:w="1555" w:type="dxa"/>
            <w:tcBorders>
              <w:top w:val="single" w:sz="4" w:space="0" w:color="FFFFFF" w:themeColor="background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tcPr>
          <w:p w14:paraId="1CE3860C"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2021 </w:t>
            </w:r>
            <w:r w:rsidRPr="1F6C244A">
              <w:rPr>
                <w:rFonts w:ascii="Times New Roman" w:hAnsi="Times New Roman"/>
                <w:i/>
                <w:iCs/>
              </w:rPr>
              <w:t xml:space="preserve">k </w:t>
            </w:r>
            <w:r w:rsidRPr="1F6C244A">
              <w:rPr>
                <w:rFonts w:ascii="Times New Roman" w:hAnsi="Times New Roman"/>
              </w:rPr>
              <w:t>= 6</w:t>
            </w:r>
          </w:p>
        </w:tc>
        <w:tc>
          <w:tcPr>
            <w:tcW w:w="1289" w:type="dxa"/>
            <w:tcBorders>
              <w:top w:val="single" w:sz="4" w:space="0" w:color="FFFFFF" w:themeColor="background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tcPr>
          <w:p w14:paraId="5F9A3FD1"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2017 </w:t>
            </w:r>
            <w:r w:rsidRPr="1F6C244A">
              <w:rPr>
                <w:rFonts w:ascii="Times New Roman" w:hAnsi="Times New Roman"/>
                <w:i/>
                <w:iCs/>
              </w:rPr>
              <w:t xml:space="preserve">k </w:t>
            </w:r>
            <w:r w:rsidRPr="1F6C244A">
              <w:rPr>
                <w:rFonts w:ascii="Times New Roman" w:hAnsi="Times New Roman"/>
              </w:rPr>
              <w:t>= 2</w:t>
            </w:r>
          </w:p>
        </w:tc>
        <w:tc>
          <w:tcPr>
            <w:tcW w:w="1821" w:type="dxa"/>
            <w:tcBorders>
              <w:top w:val="single" w:sz="4" w:space="0" w:color="FFFFFF" w:themeColor="background1"/>
              <w:left w:val="single" w:sz="4" w:space="0" w:color="FFFFFF" w:themeColor="background1"/>
              <w:bottom w:val="single" w:sz="2" w:space="0" w:color="000000" w:themeColor="text1"/>
              <w:right w:val="single" w:sz="4" w:space="0" w:color="FFFFFF" w:themeColor="background1"/>
            </w:tcBorders>
            <w:shd w:val="clear" w:color="auto" w:fill="FFFFFF" w:themeFill="background1"/>
            <w:tcMar>
              <w:top w:w="80" w:type="dxa"/>
              <w:left w:w="80" w:type="dxa"/>
              <w:bottom w:w="80" w:type="dxa"/>
              <w:right w:w="80" w:type="dxa"/>
            </w:tcMar>
          </w:tcPr>
          <w:p w14:paraId="3B8F1D60" w14:textId="77777777" w:rsidR="00000934" w:rsidRDefault="00000934" w:rsidP="00F3198C">
            <w:pPr>
              <w:pStyle w:val="TableStyle2"/>
              <w:jc w:val="center"/>
              <w:rPr>
                <w:rFonts w:ascii="Times New Roman" w:hAnsi="Times New Roman"/>
              </w:rPr>
            </w:pPr>
            <w:r w:rsidRPr="1F6C244A">
              <w:rPr>
                <w:rFonts w:ascii="Times New Roman" w:hAnsi="Times New Roman"/>
              </w:rPr>
              <w:t xml:space="preserve">2002-2013 </w:t>
            </w:r>
            <w:r w:rsidRPr="1F6C244A">
              <w:rPr>
                <w:rFonts w:ascii="Times New Roman" w:hAnsi="Times New Roman"/>
                <w:i/>
                <w:iCs/>
              </w:rPr>
              <w:t xml:space="preserve">k </w:t>
            </w:r>
            <w:r w:rsidRPr="1F6C244A">
              <w:rPr>
                <w:rFonts w:ascii="Times New Roman" w:hAnsi="Times New Roman"/>
              </w:rPr>
              <w:t>= 7</w:t>
            </w:r>
          </w:p>
        </w:tc>
      </w:tr>
    </w:tbl>
    <w:p w14:paraId="0EEC8172" w14:textId="77777777" w:rsidR="00000934" w:rsidRDefault="00000934" w:rsidP="00000934">
      <w:pPr>
        <w:pStyle w:val="Body"/>
        <w:spacing w:line="240" w:lineRule="auto"/>
        <w:rPr>
          <w:rFonts w:ascii="Times New Roman" w:hAnsi="Times New Roman"/>
          <w:b/>
          <w:bCs/>
          <w:sz w:val="20"/>
          <w:szCs w:val="20"/>
        </w:rPr>
      </w:pPr>
    </w:p>
    <w:p w14:paraId="510315E4" w14:textId="5997C20C" w:rsidR="000C30C5" w:rsidRPr="00755FD9" w:rsidRDefault="56E1F25D" w:rsidP="000C30C5">
      <w:pPr>
        <w:pStyle w:val="Body"/>
        <w:spacing w:line="240" w:lineRule="auto"/>
        <w:rPr>
          <w:rFonts w:ascii="Times New Roman" w:eastAsia="Times New Roman" w:hAnsi="Times New Roman" w:cs="Times New Roman"/>
          <w:sz w:val="20"/>
          <w:szCs w:val="20"/>
        </w:rPr>
      </w:pPr>
      <w:r w:rsidRPr="510EEA1C">
        <w:rPr>
          <w:rFonts w:ascii="Times New Roman" w:hAnsi="Times New Roman"/>
          <w:b/>
          <w:bCs/>
          <w:sz w:val="20"/>
          <w:szCs w:val="20"/>
        </w:rPr>
        <w:t xml:space="preserve">Table </w:t>
      </w:r>
      <w:r w:rsidR="4FE55A74" w:rsidRPr="510EEA1C">
        <w:rPr>
          <w:rFonts w:ascii="Times New Roman" w:hAnsi="Times New Roman"/>
          <w:b/>
          <w:bCs/>
          <w:sz w:val="20"/>
          <w:szCs w:val="20"/>
        </w:rPr>
        <w:t>3</w:t>
      </w:r>
      <w:r w:rsidRPr="510EEA1C">
        <w:rPr>
          <w:rFonts w:ascii="Times New Roman" w:hAnsi="Times New Roman"/>
          <w:b/>
          <w:bCs/>
          <w:sz w:val="20"/>
          <w:szCs w:val="20"/>
        </w:rPr>
        <w:t xml:space="preserve">. </w:t>
      </w:r>
      <w:r w:rsidR="000C30C5">
        <w:br/>
      </w:r>
      <w:r w:rsidRPr="510EEA1C">
        <w:rPr>
          <w:rFonts w:ascii="Times New Roman" w:hAnsi="Times New Roman"/>
          <w:i/>
          <w:iCs/>
          <w:sz w:val="20"/>
          <w:szCs w:val="20"/>
        </w:rPr>
        <w:t>Occurrences of Identity Abuse Themes Across Included Papers</w:t>
      </w:r>
    </w:p>
    <w:tbl>
      <w:tblPr>
        <w:tblStyle w:val="PlainTable5"/>
        <w:tblW w:w="9013" w:type="dxa"/>
        <w:tblLayout w:type="fixed"/>
        <w:tblLook w:val="04A0" w:firstRow="1" w:lastRow="0" w:firstColumn="1" w:lastColumn="0" w:noHBand="0" w:noVBand="1"/>
      </w:tblPr>
      <w:tblGrid>
        <w:gridCol w:w="6096"/>
        <w:gridCol w:w="1785"/>
        <w:gridCol w:w="1132"/>
      </w:tblGrid>
      <w:tr w:rsidR="000C30C5" w14:paraId="3C486C4B" w14:textId="77777777" w:rsidTr="00F3198C">
        <w:trPr>
          <w:cnfStyle w:val="100000000000" w:firstRow="1" w:lastRow="0" w:firstColumn="0" w:lastColumn="0" w:oddVBand="0" w:evenVBand="0" w:oddHBand="0" w:evenHBand="0" w:firstRowFirstColumn="0" w:firstRowLastColumn="0" w:lastRowFirstColumn="0" w:lastRowLastColumn="0"/>
          <w:trHeight w:val="990"/>
        </w:trPr>
        <w:tc>
          <w:tcPr>
            <w:cnfStyle w:val="001000000100" w:firstRow="0" w:lastRow="0" w:firstColumn="1" w:lastColumn="0" w:oddVBand="0" w:evenVBand="0" w:oddHBand="0" w:evenHBand="0" w:firstRowFirstColumn="1" w:firstRowLastColumn="0" w:lastRowFirstColumn="0" w:lastRowLastColumn="0"/>
            <w:tcW w:w="6096" w:type="dxa"/>
            <w:tcBorders>
              <w:top w:val="single" w:sz="4" w:space="0" w:color="auto"/>
              <w:right w:val="none" w:sz="0" w:space="0" w:color="auto"/>
            </w:tcBorders>
            <w:vAlign w:val="center"/>
          </w:tcPr>
          <w:p w14:paraId="7E6BA451" w14:textId="77777777" w:rsidR="000C30C5" w:rsidRPr="00755FD9" w:rsidRDefault="000C30C5" w:rsidP="00F3198C">
            <w:pPr>
              <w:pStyle w:val="TableStyle2"/>
              <w:suppressAutoHyphens/>
              <w:jc w:val="both"/>
            </w:pPr>
            <w:r w:rsidRPr="1F6C244A">
              <w:rPr>
                <w:rFonts w:ascii="Times New Roman" w:hAnsi="Times New Roman"/>
                <w:i w:val="0"/>
                <w:iCs w:val="0"/>
              </w:rPr>
              <w:t>Author(s) &amp; Year</w:t>
            </w:r>
          </w:p>
        </w:tc>
        <w:tc>
          <w:tcPr>
            <w:tcW w:w="1785" w:type="dxa"/>
            <w:tcBorders>
              <w:top w:val="single" w:sz="4" w:space="0" w:color="auto"/>
            </w:tcBorders>
            <w:vAlign w:val="center"/>
          </w:tcPr>
          <w:p w14:paraId="028BA520" w14:textId="77777777" w:rsidR="000C30C5" w:rsidRPr="00755FD9" w:rsidRDefault="000C30C5" w:rsidP="00F3198C">
            <w:pPr>
              <w:pStyle w:val="TableStyle2"/>
              <w:suppressAutoHyphens/>
              <w:jc w:val="center"/>
              <w:cnfStyle w:val="100000000000" w:firstRow="1" w:lastRow="0" w:firstColumn="0" w:lastColumn="0" w:oddVBand="0" w:evenVBand="0" w:oddHBand="0" w:evenHBand="0" w:firstRowFirstColumn="0" w:firstRowLastColumn="0" w:lastRowFirstColumn="0" w:lastRowLastColumn="0"/>
            </w:pPr>
            <w:r w:rsidRPr="1F6C244A">
              <w:rPr>
                <w:rFonts w:ascii="Times New Roman" w:hAnsi="Times New Roman"/>
                <w:i w:val="0"/>
                <w:iCs w:val="0"/>
              </w:rPr>
              <w:t>Identity Abuse Theme(s)</w:t>
            </w:r>
          </w:p>
        </w:tc>
        <w:tc>
          <w:tcPr>
            <w:tcW w:w="1132" w:type="dxa"/>
            <w:tcBorders>
              <w:top w:val="single" w:sz="4" w:space="0" w:color="auto"/>
            </w:tcBorders>
            <w:vAlign w:val="center"/>
          </w:tcPr>
          <w:p w14:paraId="424A6D1B" w14:textId="77777777" w:rsidR="000C30C5" w:rsidRPr="00755FD9" w:rsidRDefault="000C30C5" w:rsidP="00F3198C">
            <w:pPr>
              <w:pStyle w:val="TableStyle2"/>
              <w:suppressAutoHyphens/>
              <w:jc w:val="center"/>
              <w:cnfStyle w:val="100000000000" w:firstRow="1" w:lastRow="0" w:firstColumn="0" w:lastColumn="0" w:oddVBand="0" w:evenVBand="0" w:oddHBand="0" w:evenHBand="0" w:firstRowFirstColumn="0" w:firstRowLastColumn="0" w:lastRowFirstColumn="0" w:lastRowLastColumn="0"/>
            </w:pPr>
            <w:r w:rsidRPr="1F6C244A">
              <w:rPr>
                <w:rFonts w:ascii="Times New Roman" w:hAnsi="Times New Roman"/>
                <w:i w:val="0"/>
                <w:iCs w:val="0"/>
              </w:rPr>
              <w:t>Number of Papers</w:t>
            </w:r>
          </w:p>
        </w:tc>
      </w:tr>
      <w:tr w:rsidR="000C30C5" w14:paraId="56CE8F11" w14:textId="77777777" w:rsidTr="00F3198C">
        <w:trPr>
          <w:cnfStyle w:val="000000100000" w:firstRow="0" w:lastRow="0" w:firstColumn="0" w:lastColumn="0" w:oddVBand="0" w:evenVBand="0" w:oddHBand="1" w:evenHBand="0" w:firstRowFirstColumn="0" w:firstRowLastColumn="0" w:lastRowFirstColumn="0" w:lastRowLastColumn="0"/>
          <w:trHeight w:val="1297"/>
        </w:trPr>
        <w:tc>
          <w:tcPr>
            <w:cnfStyle w:val="001000000000" w:firstRow="0" w:lastRow="0" w:firstColumn="1" w:lastColumn="0" w:oddVBand="0" w:evenVBand="0" w:oddHBand="0" w:evenHBand="0" w:firstRowFirstColumn="0" w:firstRowLastColumn="0" w:lastRowFirstColumn="0" w:lastRowLastColumn="0"/>
            <w:tcW w:w="6096" w:type="dxa"/>
            <w:tcBorders>
              <w:right w:val="none" w:sz="0" w:space="0" w:color="auto"/>
            </w:tcBorders>
          </w:tcPr>
          <w:p w14:paraId="416F4EAA" w14:textId="77777777" w:rsidR="000C30C5" w:rsidRPr="00755FD9" w:rsidRDefault="000C30C5" w:rsidP="00F3198C">
            <w:pPr>
              <w:pStyle w:val="TableStyle2"/>
              <w:suppressAutoHyphens/>
              <w:jc w:val="left"/>
            </w:pPr>
            <w:proofErr w:type="spellStart"/>
            <w:r w:rsidRPr="1F6C244A">
              <w:rPr>
                <w:rFonts w:ascii="Times New Roman" w:hAnsi="Times New Roman"/>
                <w:i w:val="0"/>
                <w:iCs w:val="0"/>
                <w:lang w:val="fr-FR"/>
              </w:rPr>
              <w:t>Balsam</w:t>
            </w:r>
            <w:proofErr w:type="spellEnd"/>
            <w:r w:rsidRPr="1F6C244A">
              <w:rPr>
                <w:rFonts w:ascii="Times New Roman" w:hAnsi="Times New Roman"/>
                <w:i w:val="0"/>
                <w:iCs w:val="0"/>
                <w:lang w:val="fr-FR"/>
              </w:rPr>
              <w:t xml:space="preserve"> &amp; </w:t>
            </w:r>
            <w:proofErr w:type="spellStart"/>
            <w:r w:rsidRPr="1F6C244A">
              <w:rPr>
                <w:rFonts w:ascii="Times New Roman" w:hAnsi="Times New Roman"/>
                <w:i w:val="0"/>
                <w:iCs w:val="0"/>
                <w:lang w:val="fr-FR"/>
              </w:rPr>
              <w:t>Szymanski</w:t>
            </w:r>
            <w:proofErr w:type="spellEnd"/>
            <w:r w:rsidRPr="1F6C244A">
              <w:rPr>
                <w:rFonts w:ascii="Times New Roman" w:hAnsi="Times New Roman"/>
                <w:i w:val="0"/>
                <w:iCs w:val="0"/>
                <w:lang w:val="fr-FR"/>
              </w:rPr>
              <w:t xml:space="preserve"> (2005</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w:t>
            </w:r>
            <w:proofErr w:type="spellStart"/>
            <w:r w:rsidRPr="1F6C244A">
              <w:rPr>
                <w:rFonts w:ascii="Times New Roman" w:hAnsi="Times New Roman"/>
                <w:i w:val="0"/>
                <w:iCs w:val="0"/>
                <w:lang w:val="fr-FR"/>
              </w:rPr>
              <w:t>Freedner</w:t>
            </w:r>
            <w:proofErr w:type="spellEnd"/>
            <w:r w:rsidRPr="1F6C244A">
              <w:rPr>
                <w:rFonts w:ascii="Times New Roman" w:hAnsi="Times New Roman"/>
                <w:i w:val="0"/>
                <w:iCs w:val="0"/>
                <w:lang w:val="fr-FR"/>
              </w:rPr>
              <w:t xml:space="preserve"> et al. (2002</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Goldenberg et al. (2017</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Kanuha et al. (2013</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w:t>
            </w:r>
            <w:proofErr w:type="spellStart"/>
            <w:r w:rsidRPr="1F6C244A">
              <w:rPr>
                <w:rFonts w:ascii="Times New Roman" w:hAnsi="Times New Roman"/>
                <w:i w:val="0"/>
                <w:iCs w:val="0"/>
                <w:lang w:val="fr-FR"/>
              </w:rPr>
              <w:t>Kattari</w:t>
            </w:r>
            <w:proofErr w:type="spellEnd"/>
            <w:r w:rsidRPr="1F6C244A">
              <w:rPr>
                <w:rFonts w:ascii="Times New Roman" w:hAnsi="Times New Roman"/>
                <w:i w:val="0"/>
                <w:iCs w:val="0"/>
                <w:lang w:val="fr-FR"/>
              </w:rPr>
              <w:t xml:space="preserve"> et al. (2022</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Mak et al. (2010</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Rogers (2019</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Roy et al. (2022</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Salter et al. (2021) ; Sarno et al. (2023</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Steele et al. (2017</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Stults et al. (2022</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Swann et al. (2022</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Tsang (2020</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Yu et al. (2013</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Yu et al. (2023</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Kubicek et al. (2015)</w:t>
            </w:r>
          </w:p>
        </w:tc>
        <w:tc>
          <w:tcPr>
            <w:tcW w:w="1785" w:type="dxa"/>
            <w:shd w:val="clear" w:color="auto" w:fill="FFFFFF" w:themeFill="background1"/>
          </w:tcPr>
          <w:p w14:paraId="6629AC4B" w14:textId="77777777" w:rsidR="000C30C5" w:rsidRPr="00755FD9" w:rsidRDefault="000C30C5" w:rsidP="00F3198C">
            <w:pPr>
              <w:pStyle w:val="TableStyle2"/>
              <w:suppressAutoHyphens/>
              <w:jc w:val="center"/>
              <w:cnfStyle w:val="000000100000" w:firstRow="0" w:lastRow="0" w:firstColumn="0" w:lastColumn="0" w:oddVBand="0" w:evenVBand="0" w:oddHBand="1" w:evenHBand="0" w:firstRowFirstColumn="0" w:firstRowLastColumn="0" w:lastRowFirstColumn="0" w:lastRowLastColumn="0"/>
            </w:pPr>
            <w:r w:rsidRPr="1F6C244A">
              <w:rPr>
                <w:rFonts w:ascii="Times New Roman" w:hAnsi="Times New Roman"/>
              </w:rPr>
              <w:t>Threats of Outing</w:t>
            </w:r>
          </w:p>
        </w:tc>
        <w:tc>
          <w:tcPr>
            <w:tcW w:w="1132" w:type="dxa"/>
            <w:shd w:val="clear" w:color="auto" w:fill="FFFFFF" w:themeFill="background1"/>
          </w:tcPr>
          <w:p w14:paraId="67C39F99" w14:textId="77777777" w:rsidR="000C30C5" w:rsidRPr="00755FD9" w:rsidRDefault="000C30C5" w:rsidP="00F3198C">
            <w:pPr>
              <w:pStyle w:val="TableStyle2"/>
              <w:suppressAutoHyphens/>
              <w:jc w:val="center"/>
              <w:cnfStyle w:val="000000100000" w:firstRow="0" w:lastRow="0" w:firstColumn="0" w:lastColumn="0" w:oddVBand="0" w:evenVBand="0" w:oddHBand="1" w:evenHBand="0" w:firstRowFirstColumn="0" w:firstRowLastColumn="0" w:lastRowFirstColumn="0" w:lastRowLastColumn="0"/>
            </w:pPr>
            <w:r w:rsidRPr="1F6C244A">
              <w:rPr>
                <w:rFonts w:ascii="Times New Roman" w:hAnsi="Times New Roman"/>
              </w:rPr>
              <w:t>17</w:t>
            </w:r>
          </w:p>
        </w:tc>
      </w:tr>
      <w:tr w:rsidR="000C30C5" w14:paraId="5718EDBF" w14:textId="77777777" w:rsidTr="00F3198C">
        <w:trPr>
          <w:trHeight w:val="1253"/>
        </w:trPr>
        <w:tc>
          <w:tcPr>
            <w:cnfStyle w:val="001000000000" w:firstRow="0" w:lastRow="0" w:firstColumn="1" w:lastColumn="0" w:oddVBand="0" w:evenVBand="0" w:oddHBand="0" w:evenHBand="0" w:firstRowFirstColumn="0" w:firstRowLastColumn="0" w:lastRowFirstColumn="0" w:lastRowLastColumn="0"/>
            <w:tcW w:w="6096" w:type="dxa"/>
            <w:tcBorders>
              <w:right w:val="none" w:sz="0" w:space="0" w:color="auto"/>
            </w:tcBorders>
          </w:tcPr>
          <w:p w14:paraId="4D535AE3" w14:textId="77777777" w:rsidR="000C30C5" w:rsidRPr="00755FD9" w:rsidRDefault="000C30C5" w:rsidP="00F3198C">
            <w:pPr>
              <w:pStyle w:val="TableStyle2"/>
              <w:suppressAutoHyphens/>
              <w:jc w:val="left"/>
            </w:pPr>
            <w:r w:rsidRPr="1F6C244A">
              <w:rPr>
                <w:rFonts w:ascii="Times New Roman" w:hAnsi="Times New Roman"/>
                <w:i w:val="0"/>
                <w:iCs w:val="0"/>
              </w:rPr>
              <w:t xml:space="preserve">Balsam &amp; Szymanski (2005); Brewer et al. (2024); Brown (2007); Drouillard &amp; Foster (2024); </w:t>
            </w:r>
            <w:proofErr w:type="spellStart"/>
            <w:r w:rsidRPr="1F6C244A">
              <w:rPr>
                <w:rFonts w:ascii="Times New Roman" w:hAnsi="Times New Roman"/>
                <w:i w:val="0"/>
                <w:iCs w:val="0"/>
              </w:rPr>
              <w:t>Gamarel</w:t>
            </w:r>
            <w:proofErr w:type="spellEnd"/>
            <w:r w:rsidRPr="1F6C244A">
              <w:rPr>
                <w:rFonts w:ascii="Times New Roman" w:hAnsi="Times New Roman"/>
                <w:i w:val="0"/>
                <w:iCs w:val="0"/>
              </w:rPr>
              <w:t xml:space="preserve"> et al. (2022); Giorgio (2002); Guadalupe-Diaz &amp; Anthony (2016); </w:t>
            </w:r>
            <w:proofErr w:type="spellStart"/>
            <w:r w:rsidRPr="1F6C244A">
              <w:rPr>
                <w:rFonts w:ascii="Times New Roman" w:hAnsi="Times New Roman"/>
                <w:i w:val="0"/>
                <w:iCs w:val="0"/>
              </w:rPr>
              <w:t>Kattari</w:t>
            </w:r>
            <w:proofErr w:type="spellEnd"/>
            <w:r w:rsidRPr="1F6C244A">
              <w:rPr>
                <w:rFonts w:ascii="Times New Roman" w:hAnsi="Times New Roman"/>
                <w:i w:val="0"/>
                <w:iCs w:val="0"/>
              </w:rPr>
              <w:t xml:space="preserve"> et al. (2022</w:t>
            </w:r>
            <w:proofErr w:type="gramStart"/>
            <w:r w:rsidRPr="1F6C244A">
              <w:rPr>
                <w:rFonts w:ascii="Times New Roman" w:hAnsi="Times New Roman"/>
                <w:i w:val="0"/>
                <w:iCs w:val="0"/>
              </w:rPr>
              <w:t>) ;</w:t>
            </w:r>
            <w:proofErr w:type="gramEnd"/>
            <w:r w:rsidRPr="1F6C244A">
              <w:rPr>
                <w:rFonts w:ascii="Times New Roman" w:hAnsi="Times New Roman"/>
                <w:i w:val="0"/>
                <w:iCs w:val="0"/>
              </w:rPr>
              <w:t xml:space="preserve"> Maclin et al. (2024); Mak et al. (2010); Rogers (2019); Roy et al. (2022); Wesley et al. (2019); </w:t>
            </w:r>
            <w:proofErr w:type="spellStart"/>
            <w:r w:rsidRPr="1F6C244A">
              <w:rPr>
                <w:rFonts w:ascii="Times New Roman" w:hAnsi="Times New Roman"/>
                <w:i w:val="0"/>
                <w:iCs w:val="0"/>
              </w:rPr>
              <w:t>Ummak</w:t>
            </w:r>
            <w:proofErr w:type="spellEnd"/>
            <w:r w:rsidRPr="1F6C244A">
              <w:rPr>
                <w:rFonts w:ascii="Times New Roman" w:hAnsi="Times New Roman"/>
                <w:i w:val="0"/>
                <w:iCs w:val="0"/>
              </w:rPr>
              <w:t xml:space="preserve"> et al. (2024)</w:t>
            </w:r>
          </w:p>
        </w:tc>
        <w:tc>
          <w:tcPr>
            <w:tcW w:w="1785" w:type="dxa"/>
          </w:tcPr>
          <w:p w14:paraId="11D29CE5" w14:textId="77777777" w:rsidR="000C30C5" w:rsidRPr="00755FD9" w:rsidRDefault="000C30C5" w:rsidP="00F3198C">
            <w:pPr>
              <w:pStyle w:val="TableStyle2"/>
              <w:suppressAutoHyphens/>
              <w:jc w:val="center"/>
              <w:cnfStyle w:val="000000000000" w:firstRow="0" w:lastRow="0" w:firstColumn="0" w:lastColumn="0" w:oddVBand="0" w:evenVBand="0" w:oddHBand="0" w:evenHBand="0" w:firstRowFirstColumn="0" w:firstRowLastColumn="0" w:lastRowFirstColumn="0" w:lastRowLastColumn="0"/>
            </w:pPr>
            <w:r w:rsidRPr="1F6C244A">
              <w:rPr>
                <w:rFonts w:ascii="Times New Roman" w:hAnsi="Times New Roman"/>
              </w:rPr>
              <w:t xml:space="preserve">Belittling Identity </w:t>
            </w:r>
          </w:p>
        </w:tc>
        <w:tc>
          <w:tcPr>
            <w:tcW w:w="1132" w:type="dxa"/>
          </w:tcPr>
          <w:p w14:paraId="57D9BC48" w14:textId="77777777" w:rsidR="000C30C5" w:rsidRPr="00755FD9" w:rsidRDefault="000C30C5" w:rsidP="00F3198C">
            <w:pPr>
              <w:pStyle w:val="TableStyle2"/>
              <w:suppressAutoHyphens/>
              <w:jc w:val="center"/>
              <w:cnfStyle w:val="000000000000" w:firstRow="0" w:lastRow="0" w:firstColumn="0" w:lastColumn="0" w:oddVBand="0" w:evenVBand="0" w:oddHBand="0" w:evenHBand="0" w:firstRowFirstColumn="0" w:firstRowLastColumn="0" w:lastRowFirstColumn="0" w:lastRowLastColumn="0"/>
            </w:pPr>
            <w:r w:rsidRPr="1F6C244A">
              <w:rPr>
                <w:rFonts w:ascii="Times New Roman" w:hAnsi="Times New Roman"/>
              </w:rPr>
              <w:t>14</w:t>
            </w:r>
          </w:p>
        </w:tc>
      </w:tr>
      <w:tr w:rsidR="000C30C5" w14:paraId="64C979AE" w14:textId="77777777" w:rsidTr="00F3198C">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6096" w:type="dxa"/>
            <w:tcBorders>
              <w:right w:val="none" w:sz="0" w:space="0" w:color="auto"/>
            </w:tcBorders>
          </w:tcPr>
          <w:p w14:paraId="72659F30" w14:textId="77777777" w:rsidR="000C30C5" w:rsidRPr="00755FD9" w:rsidRDefault="000C30C5" w:rsidP="00F3198C">
            <w:pPr>
              <w:pStyle w:val="TableStyle2"/>
              <w:suppressAutoHyphens/>
              <w:jc w:val="left"/>
            </w:pPr>
            <w:r w:rsidRPr="64562B33">
              <w:rPr>
                <w:rFonts w:ascii="Times New Roman" w:hAnsi="Times New Roman"/>
                <w:i w:val="0"/>
                <w:iCs w:val="0"/>
              </w:rPr>
              <w:t xml:space="preserve">Guadalupe-Diaz &amp; Anthony (2016); </w:t>
            </w:r>
            <w:proofErr w:type="spellStart"/>
            <w:r w:rsidRPr="64562B33">
              <w:rPr>
                <w:rFonts w:ascii="Times New Roman" w:hAnsi="Times New Roman"/>
                <w:i w:val="0"/>
                <w:iCs w:val="0"/>
              </w:rPr>
              <w:t>Oliffe</w:t>
            </w:r>
            <w:proofErr w:type="spellEnd"/>
            <w:r w:rsidRPr="64562B33">
              <w:rPr>
                <w:rFonts w:ascii="Times New Roman" w:hAnsi="Times New Roman"/>
                <w:i w:val="0"/>
                <w:iCs w:val="0"/>
              </w:rPr>
              <w:t xml:space="preserve"> et al. (2014</w:t>
            </w:r>
            <w:proofErr w:type="gramStart"/>
            <w:r w:rsidRPr="64562B33">
              <w:rPr>
                <w:rFonts w:ascii="Times New Roman" w:hAnsi="Times New Roman"/>
                <w:i w:val="0"/>
                <w:iCs w:val="0"/>
              </w:rPr>
              <w:t>) ;</w:t>
            </w:r>
            <w:proofErr w:type="gramEnd"/>
            <w:r w:rsidRPr="64562B33">
              <w:rPr>
                <w:rFonts w:ascii="Times New Roman" w:hAnsi="Times New Roman"/>
                <w:i w:val="0"/>
                <w:iCs w:val="0"/>
              </w:rPr>
              <w:t xml:space="preserve"> Stults et al. (2022); Tsang (2020); Roy et al. (2024)</w:t>
            </w:r>
          </w:p>
        </w:tc>
        <w:tc>
          <w:tcPr>
            <w:tcW w:w="1785" w:type="dxa"/>
            <w:shd w:val="clear" w:color="auto" w:fill="FFFFFF" w:themeFill="background1"/>
          </w:tcPr>
          <w:p w14:paraId="3F98D65E" w14:textId="77777777" w:rsidR="000C30C5" w:rsidRPr="00755FD9" w:rsidRDefault="000C30C5" w:rsidP="00F3198C">
            <w:pPr>
              <w:pStyle w:val="TableStyle2"/>
              <w:suppressAutoHyphens/>
              <w:jc w:val="center"/>
              <w:cnfStyle w:val="000000100000" w:firstRow="0" w:lastRow="0" w:firstColumn="0" w:lastColumn="0" w:oddVBand="0" w:evenVBand="0" w:oddHBand="1" w:evenHBand="0" w:firstRowFirstColumn="0" w:firstRowLastColumn="0" w:lastRowFirstColumn="0" w:lastRowLastColumn="0"/>
            </w:pPr>
            <w:r w:rsidRPr="1F6C244A">
              <w:rPr>
                <w:rFonts w:ascii="Times New Roman" w:hAnsi="Times New Roman"/>
              </w:rPr>
              <w:t xml:space="preserve"> Derogatory Language</w:t>
            </w:r>
          </w:p>
        </w:tc>
        <w:tc>
          <w:tcPr>
            <w:tcW w:w="1132" w:type="dxa"/>
            <w:shd w:val="clear" w:color="auto" w:fill="FFFFFF" w:themeFill="background1"/>
          </w:tcPr>
          <w:p w14:paraId="6564BD92" w14:textId="77777777" w:rsidR="000C30C5" w:rsidRPr="00755FD9" w:rsidRDefault="000C30C5" w:rsidP="00F3198C">
            <w:pPr>
              <w:pStyle w:val="TableStyle2"/>
              <w:suppressAutoHyphens/>
              <w:jc w:val="center"/>
              <w:cnfStyle w:val="000000100000" w:firstRow="0" w:lastRow="0" w:firstColumn="0" w:lastColumn="0" w:oddVBand="0" w:evenVBand="0" w:oddHBand="1" w:evenHBand="0" w:firstRowFirstColumn="0" w:firstRowLastColumn="0" w:lastRowFirstColumn="0" w:lastRowLastColumn="0"/>
            </w:pPr>
            <w:r w:rsidRPr="1F6C244A">
              <w:rPr>
                <w:rFonts w:ascii="Times New Roman" w:hAnsi="Times New Roman"/>
              </w:rPr>
              <w:t>5</w:t>
            </w:r>
          </w:p>
        </w:tc>
      </w:tr>
      <w:tr w:rsidR="000C30C5" w14:paraId="7D6330C3" w14:textId="77777777" w:rsidTr="00F3198C">
        <w:trPr>
          <w:trHeight w:val="886"/>
        </w:trPr>
        <w:tc>
          <w:tcPr>
            <w:cnfStyle w:val="001000000000" w:firstRow="0" w:lastRow="0" w:firstColumn="1" w:lastColumn="0" w:oddVBand="0" w:evenVBand="0" w:oddHBand="0" w:evenHBand="0" w:firstRowFirstColumn="0" w:firstRowLastColumn="0" w:lastRowFirstColumn="0" w:lastRowLastColumn="0"/>
            <w:tcW w:w="6096" w:type="dxa"/>
            <w:tcBorders>
              <w:right w:val="none" w:sz="0" w:space="0" w:color="auto"/>
            </w:tcBorders>
          </w:tcPr>
          <w:p w14:paraId="204DFAC7" w14:textId="77777777" w:rsidR="000C30C5" w:rsidRPr="00755FD9" w:rsidRDefault="000C30C5" w:rsidP="00F3198C">
            <w:pPr>
              <w:pStyle w:val="TableStyle2"/>
              <w:suppressAutoHyphens/>
              <w:jc w:val="left"/>
              <w:rPr>
                <w:rFonts w:ascii="Times New Roman" w:hAnsi="Times New Roman"/>
                <w:i w:val="0"/>
                <w:iCs w:val="0"/>
                <w:lang w:val="fr-FR"/>
              </w:rPr>
            </w:pPr>
            <w:r w:rsidRPr="1F6C244A">
              <w:rPr>
                <w:rFonts w:ascii="Times New Roman" w:hAnsi="Times New Roman"/>
                <w:i w:val="0"/>
                <w:iCs w:val="0"/>
                <w:lang w:val="fr-FR"/>
              </w:rPr>
              <w:lastRenderedPageBreak/>
              <w:t>Drouillard &amp; Foster (2024</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w:t>
            </w:r>
            <w:r w:rsidRPr="1F6C244A">
              <w:rPr>
                <w:rFonts w:ascii="Times New Roman" w:hAnsi="Times New Roman"/>
                <w:i w:val="0"/>
                <w:iCs w:val="0"/>
              </w:rPr>
              <w:t xml:space="preserve">Mak et al. (2010); </w:t>
            </w:r>
            <w:r w:rsidRPr="1F6C244A">
              <w:rPr>
                <w:rFonts w:ascii="Times New Roman" w:hAnsi="Times New Roman"/>
                <w:i w:val="0"/>
                <w:iCs w:val="0"/>
                <w:lang w:val="fr-FR"/>
              </w:rPr>
              <w:t>Sarno et al. (2023); Swann et al. (2022)</w:t>
            </w:r>
          </w:p>
        </w:tc>
        <w:tc>
          <w:tcPr>
            <w:tcW w:w="1785" w:type="dxa"/>
            <w:shd w:val="clear" w:color="auto" w:fill="FFFFFF" w:themeFill="background1"/>
          </w:tcPr>
          <w:p w14:paraId="6A9A73B7" w14:textId="77777777" w:rsidR="000C30C5" w:rsidRPr="00755FD9" w:rsidRDefault="000C30C5" w:rsidP="00F3198C">
            <w:pPr>
              <w:pStyle w:val="TableStyle2"/>
              <w:suppressAutoHyphens/>
              <w:jc w:val="center"/>
              <w:cnfStyle w:val="000000000000" w:firstRow="0" w:lastRow="0" w:firstColumn="0" w:lastColumn="0" w:oddVBand="0" w:evenVBand="0" w:oddHBand="0" w:evenHBand="0" w:firstRowFirstColumn="0" w:firstRowLastColumn="0" w:lastRowFirstColumn="0" w:lastRowLastColumn="0"/>
            </w:pPr>
            <w:r w:rsidRPr="1F6C244A">
              <w:rPr>
                <w:rFonts w:ascii="Times New Roman" w:hAnsi="Times New Roman"/>
              </w:rPr>
              <w:t>Isolation from LGBTQ+ Community</w:t>
            </w:r>
          </w:p>
        </w:tc>
        <w:tc>
          <w:tcPr>
            <w:tcW w:w="1132" w:type="dxa"/>
            <w:shd w:val="clear" w:color="auto" w:fill="FFFFFF" w:themeFill="background1"/>
          </w:tcPr>
          <w:p w14:paraId="42562200" w14:textId="77777777" w:rsidR="000C30C5" w:rsidRPr="00755FD9" w:rsidRDefault="000C30C5" w:rsidP="00F3198C">
            <w:pPr>
              <w:pStyle w:val="TableStyle2"/>
              <w:suppressAutoHyphens/>
              <w:jc w:val="center"/>
              <w:cnfStyle w:val="000000000000" w:firstRow="0" w:lastRow="0" w:firstColumn="0" w:lastColumn="0" w:oddVBand="0" w:evenVBand="0" w:oddHBand="0" w:evenHBand="0" w:firstRowFirstColumn="0" w:firstRowLastColumn="0" w:lastRowFirstColumn="0" w:lastRowLastColumn="0"/>
            </w:pPr>
            <w:r w:rsidRPr="1F6C244A">
              <w:rPr>
                <w:rFonts w:ascii="Times New Roman" w:hAnsi="Times New Roman"/>
              </w:rPr>
              <w:t>4</w:t>
            </w:r>
          </w:p>
        </w:tc>
      </w:tr>
      <w:tr w:rsidR="000C30C5" w14:paraId="55110DFC" w14:textId="77777777" w:rsidTr="00F3198C">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6096" w:type="dxa"/>
            <w:tcBorders>
              <w:right w:val="none" w:sz="0" w:space="0" w:color="auto"/>
            </w:tcBorders>
          </w:tcPr>
          <w:p w14:paraId="6152B614" w14:textId="77777777" w:rsidR="000C30C5" w:rsidRPr="00755FD9" w:rsidRDefault="000C30C5" w:rsidP="00F3198C">
            <w:pPr>
              <w:pStyle w:val="TableStyle2"/>
              <w:suppressAutoHyphens/>
              <w:jc w:val="left"/>
              <w:rPr>
                <w:lang w:val="fr-FR"/>
              </w:rPr>
            </w:pPr>
            <w:r w:rsidRPr="1F6C244A">
              <w:rPr>
                <w:rFonts w:ascii="Times New Roman" w:hAnsi="Times New Roman"/>
                <w:i w:val="0"/>
                <w:iCs w:val="0"/>
                <w:lang w:val="fr-FR"/>
              </w:rPr>
              <w:t>Peitzmeier et al. (2021</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Taber et al. (2023</w:t>
            </w:r>
            <w:proofErr w:type="gramStart"/>
            <w:r w:rsidRPr="1F6C244A">
              <w:rPr>
                <w:rFonts w:ascii="Times New Roman" w:hAnsi="Times New Roman"/>
                <w:i w:val="0"/>
                <w:iCs w:val="0"/>
                <w:lang w:val="fr-FR"/>
              </w:rPr>
              <w:t>);</w:t>
            </w:r>
            <w:proofErr w:type="gramEnd"/>
            <w:r w:rsidRPr="1F6C244A">
              <w:rPr>
                <w:rFonts w:ascii="Times New Roman" w:hAnsi="Times New Roman"/>
                <w:i w:val="0"/>
                <w:iCs w:val="0"/>
                <w:lang w:val="fr-FR"/>
              </w:rPr>
              <w:t xml:space="preserve"> Wesley et al. (2019)</w:t>
            </w:r>
          </w:p>
        </w:tc>
        <w:tc>
          <w:tcPr>
            <w:tcW w:w="1785" w:type="dxa"/>
            <w:shd w:val="clear" w:color="auto" w:fill="FFFFFF" w:themeFill="background1"/>
          </w:tcPr>
          <w:p w14:paraId="3D20063E" w14:textId="77777777" w:rsidR="000C30C5" w:rsidRPr="00755FD9" w:rsidRDefault="000C30C5" w:rsidP="00F3198C">
            <w:pPr>
              <w:pStyle w:val="TableStyle2"/>
              <w:suppressAutoHyphens/>
              <w:jc w:val="center"/>
              <w:cnfStyle w:val="000000100000" w:firstRow="0" w:lastRow="0" w:firstColumn="0" w:lastColumn="0" w:oddVBand="0" w:evenVBand="0" w:oddHBand="1" w:evenHBand="0" w:firstRowFirstColumn="0" w:firstRowLastColumn="0" w:lastRowFirstColumn="0" w:lastRowLastColumn="0"/>
            </w:pPr>
            <w:r w:rsidRPr="1F6C244A">
              <w:rPr>
                <w:rFonts w:ascii="Times New Roman" w:hAnsi="Times New Roman"/>
              </w:rPr>
              <w:t>Transition-Related Control</w:t>
            </w:r>
          </w:p>
        </w:tc>
        <w:tc>
          <w:tcPr>
            <w:tcW w:w="1132" w:type="dxa"/>
            <w:shd w:val="clear" w:color="auto" w:fill="FFFFFF" w:themeFill="background1"/>
          </w:tcPr>
          <w:p w14:paraId="109C3E5C" w14:textId="77777777" w:rsidR="000C30C5" w:rsidRPr="00755FD9" w:rsidRDefault="000C30C5" w:rsidP="00F3198C">
            <w:pPr>
              <w:pStyle w:val="TableStyle2"/>
              <w:suppressAutoHyphens/>
              <w:jc w:val="center"/>
              <w:cnfStyle w:val="000000100000" w:firstRow="0" w:lastRow="0" w:firstColumn="0" w:lastColumn="0" w:oddVBand="0" w:evenVBand="0" w:oddHBand="1" w:evenHBand="0" w:firstRowFirstColumn="0" w:firstRowLastColumn="0" w:lastRowFirstColumn="0" w:lastRowLastColumn="0"/>
            </w:pPr>
            <w:r w:rsidRPr="1F6C244A">
              <w:rPr>
                <w:rFonts w:ascii="Times New Roman" w:hAnsi="Times New Roman"/>
              </w:rPr>
              <w:t>3</w:t>
            </w:r>
          </w:p>
        </w:tc>
      </w:tr>
      <w:tr w:rsidR="000C30C5" w14:paraId="201EB916" w14:textId="77777777" w:rsidTr="00F3198C">
        <w:trPr>
          <w:trHeight w:val="1155"/>
        </w:trPr>
        <w:tc>
          <w:tcPr>
            <w:cnfStyle w:val="001000000000" w:firstRow="0" w:lastRow="0" w:firstColumn="1" w:lastColumn="0" w:oddVBand="0" w:evenVBand="0" w:oddHBand="0" w:evenHBand="0" w:firstRowFirstColumn="0" w:firstRowLastColumn="0" w:lastRowFirstColumn="0" w:lastRowLastColumn="0"/>
            <w:tcW w:w="6096" w:type="dxa"/>
            <w:tcBorders>
              <w:bottom w:val="single" w:sz="4" w:space="0" w:color="auto"/>
              <w:right w:val="none" w:sz="0" w:space="0" w:color="auto"/>
            </w:tcBorders>
          </w:tcPr>
          <w:p w14:paraId="0A527017" w14:textId="77777777" w:rsidR="000C30C5" w:rsidRPr="00755FD9" w:rsidRDefault="000C30C5" w:rsidP="00F3198C">
            <w:pPr>
              <w:pStyle w:val="TableStyle2"/>
              <w:suppressAutoHyphens/>
              <w:jc w:val="left"/>
            </w:pPr>
            <w:r w:rsidRPr="64562B33">
              <w:rPr>
                <w:rFonts w:ascii="Times New Roman" w:hAnsi="Times New Roman"/>
                <w:i w:val="0"/>
                <w:iCs w:val="0"/>
              </w:rPr>
              <w:t xml:space="preserve">Gutekunst &amp; Liang (2023); Huff et al. (2023); Scheer &amp; Baams (2021); Scheer &amp; </w:t>
            </w:r>
            <w:proofErr w:type="spellStart"/>
            <w:r w:rsidRPr="64562B33">
              <w:rPr>
                <w:rFonts w:ascii="Times New Roman" w:hAnsi="Times New Roman"/>
                <w:i w:val="0"/>
                <w:iCs w:val="0"/>
              </w:rPr>
              <w:t>Mereish</w:t>
            </w:r>
            <w:proofErr w:type="spellEnd"/>
            <w:r w:rsidRPr="64562B33">
              <w:rPr>
                <w:rFonts w:ascii="Times New Roman" w:hAnsi="Times New Roman"/>
                <w:i w:val="0"/>
                <w:iCs w:val="0"/>
              </w:rPr>
              <w:t xml:space="preserve"> (2021); Scheer et al. (2019); Whitton et al. (2019); Whitton et al. (2023); Woulfe &amp; Goodman (2020); Woulfe &amp; Goodman (2021); Yan et al. (2024)</w:t>
            </w:r>
          </w:p>
        </w:tc>
        <w:tc>
          <w:tcPr>
            <w:tcW w:w="1785" w:type="dxa"/>
            <w:tcBorders>
              <w:bottom w:val="single" w:sz="4" w:space="0" w:color="auto"/>
            </w:tcBorders>
            <w:shd w:val="clear" w:color="auto" w:fill="FFFFFF" w:themeFill="background1"/>
          </w:tcPr>
          <w:p w14:paraId="17A2D948" w14:textId="77777777" w:rsidR="000C30C5" w:rsidRPr="00755FD9" w:rsidRDefault="000C30C5" w:rsidP="00F3198C">
            <w:pPr>
              <w:pStyle w:val="TableStyle2"/>
              <w:suppressAutoHyphens/>
              <w:jc w:val="center"/>
              <w:cnfStyle w:val="000000000000" w:firstRow="0" w:lastRow="0" w:firstColumn="0" w:lastColumn="0" w:oddVBand="0" w:evenVBand="0" w:oddHBand="0" w:evenHBand="0" w:firstRowFirstColumn="0" w:firstRowLastColumn="0" w:lastRowFirstColumn="0" w:lastRowLastColumn="0"/>
            </w:pPr>
            <w:r w:rsidRPr="1F6C244A">
              <w:rPr>
                <w:rFonts w:ascii="Times New Roman" w:hAnsi="Times New Roman"/>
              </w:rPr>
              <w:t>General Identity Abuse/SGM-Specific Tactics</w:t>
            </w:r>
          </w:p>
        </w:tc>
        <w:tc>
          <w:tcPr>
            <w:tcW w:w="1132" w:type="dxa"/>
            <w:tcBorders>
              <w:bottom w:val="single" w:sz="4" w:space="0" w:color="auto"/>
            </w:tcBorders>
            <w:shd w:val="clear" w:color="auto" w:fill="FFFFFF" w:themeFill="background1"/>
          </w:tcPr>
          <w:p w14:paraId="5D76581A" w14:textId="77777777" w:rsidR="000C30C5" w:rsidRPr="00755FD9" w:rsidRDefault="000C30C5" w:rsidP="00F3198C">
            <w:pPr>
              <w:pStyle w:val="TableStyle2"/>
              <w:suppressAutoHyphens/>
              <w:jc w:val="center"/>
              <w:cnfStyle w:val="000000000000" w:firstRow="0" w:lastRow="0" w:firstColumn="0" w:lastColumn="0" w:oddVBand="0" w:evenVBand="0" w:oddHBand="0" w:evenHBand="0" w:firstRowFirstColumn="0" w:firstRowLastColumn="0" w:lastRowFirstColumn="0" w:lastRowLastColumn="0"/>
            </w:pPr>
            <w:r w:rsidRPr="1F6C244A">
              <w:rPr>
                <w:rFonts w:ascii="Times New Roman" w:hAnsi="Times New Roman"/>
              </w:rPr>
              <w:t>10</w:t>
            </w:r>
          </w:p>
        </w:tc>
      </w:tr>
    </w:tbl>
    <w:p w14:paraId="55AF3A16" w14:textId="77777777" w:rsidR="000C30C5" w:rsidRPr="004D4EEA" w:rsidRDefault="000C30C5" w:rsidP="000C30C5">
      <w:pPr>
        <w:pStyle w:val="Body"/>
        <w:spacing w:line="240" w:lineRule="auto"/>
        <w:rPr>
          <w:rFonts w:ascii="Times New Roman" w:eastAsia="Times New Roman" w:hAnsi="Times New Roman" w:cs="Times New Roman"/>
          <w:i/>
          <w:iCs/>
          <w:sz w:val="20"/>
          <w:szCs w:val="20"/>
        </w:rPr>
      </w:pPr>
      <w:r w:rsidRPr="64562B33">
        <w:rPr>
          <w:rFonts w:ascii="Times New Roman" w:hAnsi="Times New Roman"/>
          <w:i/>
          <w:iCs/>
          <w:sz w:val="20"/>
          <w:szCs w:val="20"/>
        </w:rPr>
        <w:t>Note.</w:t>
      </w:r>
      <w:r w:rsidRPr="64562B33">
        <w:rPr>
          <w:rFonts w:ascii="Times New Roman" w:hAnsi="Times New Roman"/>
          <w:sz w:val="20"/>
          <w:szCs w:val="20"/>
        </w:rPr>
        <w:t xml:space="preserve"> SGM = Sexual and Gender Minority</w:t>
      </w:r>
    </w:p>
    <w:p w14:paraId="3E544791" w14:textId="77777777" w:rsidR="000C30C5" w:rsidRDefault="000C30C5" w:rsidP="000C30C5">
      <w:pPr>
        <w:pStyle w:val="Body"/>
        <w:spacing w:line="240" w:lineRule="auto"/>
        <w:rPr>
          <w:rFonts w:ascii="Times New Roman" w:hAnsi="Times New Roman"/>
          <w:b/>
          <w:bCs/>
          <w:sz w:val="20"/>
          <w:szCs w:val="20"/>
        </w:rPr>
      </w:pPr>
    </w:p>
    <w:p w14:paraId="052674E8" w14:textId="77777777" w:rsidR="000C30C5" w:rsidRDefault="000C30C5" w:rsidP="510EEA1C">
      <w:pPr>
        <w:rPr>
          <w:rFonts w:ascii="Times New Roman" w:eastAsia="Times New Roman" w:hAnsi="Times New Roman" w:cs="Times New Roman"/>
          <w:b/>
          <w:bCs/>
          <w:color w:val="333333"/>
          <w:sz w:val="20"/>
          <w:szCs w:val="20"/>
          <w:shd w:val="clear" w:color="auto" w:fill="FFFFFF"/>
        </w:rPr>
      </w:pPr>
    </w:p>
    <w:p w14:paraId="2F5F9B02" w14:textId="77777777" w:rsidR="000C30C5" w:rsidRDefault="000C30C5" w:rsidP="510EEA1C">
      <w:pPr>
        <w:rPr>
          <w:rFonts w:ascii="Times New Roman" w:eastAsia="Times New Roman" w:hAnsi="Times New Roman" w:cs="Times New Roman"/>
          <w:b/>
          <w:bCs/>
          <w:color w:val="333333"/>
          <w:sz w:val="20"/>
          <w:szCs w:val="20"/>
        </w:rPr>
      </w:pPr>
    </w:p>
    <w:p w14:paraId="33B18A89" w14:textId="5183399B" w:rsidR="00914978" w:rsidRPr="00000934" w:rsidRDefault="2A3199FF" w:rsidP="2D0F3F7B">
      <w:pPr>
        <w:rPr>
          <w:rFonts w:ascii="Times New Roman" w:eastAsia="Times New Roman" w:hAnsi="Times New Roman" w:cs="Times New Roman"/>
          <w:color w:val="333333"/>
          <w:sz w:val="20"/>
          <w:szCs w:val="20"/>
        </w:rPr>
      </w:pPr>
      <w:r w:rsidRPr="2D0F3F7B">
        <w:rPr>
          <w:rFonts w:ascii="Times New Roman" w:eastAsia="Times New Roman" w:hAnsi="Times New Roman" w:cs="Times New Roman"/>
          <w:b/>
          <w:bCs/>
          <w:color w:val="333333"/>
          <w:sz w:val="20"/>
          <w:szCs w:val="20"/>
        </w:rPr>
        <w:t xml:space="preserve">Table 4. </w:t>
      </w:r>
    </w:p>
    <w:p w14:paraId="7DF0636F" w14:textId="77E2DEEF" w:rsidR="00914978" w:rsidRPr="00000934" w:rsidRDefault="2A3199FF" w:rsidP="2D0F3F7B">
      <w:pPr>
        <w:rPr>
          <w:rFonts w:ascii="Times New Roman" w:eastAsia="Times New Roman" w:hAnsi="Times New Roman" w:cs="Times New Roman"/>
          <w:color w:val="D13438"/>
          <w:sz w:val="20"/>
          <w:szCs w:val="20"/>
        </w:rPr>
      </w:pPr>
      <w:r w:rsidRPr="2D0F3F7B">
        <w:rPr>
          <w:rFonts w:ascii="Times New Roman" w:eastAsia="Times New Roman" w:hAnsi="Times New Roman" w:cs="Times New Roman"/>
          <w:i/>
          <w:iCs/>
          <w:color w:val="333333"/>
          <w:sz w:val="20"/>
          <w:szCs w:val="20"/>
        </w:rPr>
        <w:t xml:space="preserve">Critical Findings </w:t>
      </w:r>
    </w:p>
    <w:p w14:paraId="08C575E9" w14:textId="69051BF9" w:rsidR="00914978" w:rsidRPr="00000934" w:rsidRDefault="00914978" w:rsidP="2D0F3F7B">
      <w:pPr>
        <w:rPr>
          <w:rFonts w:ascii="Times New Roman" w:eastAsia="Times New Roman" w:hAnsi="Times New Roman" w:cs="Times New Roman"/>
          <w:color w:val="D13438"/>
          <w:sz w:val="20"/>
          <w:szCs w:val="20"/>
        </w:rPr>
      </w:pPr>
    </w:p>
    <w:p w14:paraId="7210DCE8" w14:textId="0D229DE9" w:rsidR="00914978" w:rsidRPr="00000934" w:rsidRDefault="00914978" w:rsidP="2D0F3F7B">
      <w:pPr>
        <w:rPr>
          <w:rFonts w:ascii="Aptos" w:eastAsia="Aptos" w:hAnsi="Aptos" w:cs="Aptos"/>
          <w:color w:val="D13438"/>
        </w:rPr>
      </w:pPr>
    </w:p>
    <w:tbl>
      <w:tblPr>
        <w:tblStyle w:val="TableGrid"/>
        <w:tblW w:w="0" w:type="auto"/>
        <w:tblInd w:w="72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90"/>
      </w:tblGrid>
      <w:tr w:rsidR="2D0F3F7B" w14:paraId="4A90231B" w14:textId="77777777" w:rsidTr="7659F71F">
        <w:trPr>
          <w:trHeight w:val="870"/>
        </w:trPr>
        <w:tc>
          <w:tcPr>
            <w:tcW w:w="8315" w:type="dxa"/>
            <w:tcBorders>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237B4997" w14:textId="1BF579F0" w:rsidR="2D0F3F7B" w:rsidRDefault="2D0F3F7B" w:rsidP="2D0F3F7B">
            <w:pPr>
              <w:rPr>
                <w:rFonts w:ascii="Times New Roman" w:eastAsia="Times New Roman" w:hAnsi="Times New Roman" w:cs="Times New Roman"/>
                <w:color w:val="333333"/>
                <w:sz w:val="20"/>
                <w:szCs w:val="20"/>
              </w:rPr>
            </w:pPr>
            <w:r w:rsidRPr="2D0F3F7B">
              <w:rPr>
                <w:rFonts w:ascii="Times New Roman" w:eastAsia="Times New Roman" w:hAnsi="Times New Roman" w:cs="Times New Roman"/>
                <w:color w:val="333333"/>
                <w:sz w:val="20"/>
                <w:szCs w:val="20"/>
              </w:rPr>
              <w:t>The conceptualisation of Identity Abuse (Woulfe and Goodman, 2021) can be expanded on to include enforced gender/ sexuality performativity and reflected in their IA scale.</w:t>
            </w:r>
          </w:p>
        </w:tc>
      </w:tr>
      <w:tr w:rsidR="2D0F3F7B" w14:paraId="0E617B93" w14:textId="77777777" w:rsidTr="7659F71F">
        <w:trPr>
          <w:trHeight w:val="870"/>
        </w:trPr>
        <w:tc>
          <w:tcPr>
            <w:tcW w:w="83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0FB3653" w14:textId="3BC18351" w:rsidR="2D0F3F7B" w:rsidRDefault="2D0F3F7B" w:rsidP="2D0F3F7B">
            <w:pPr>
              <w:rPr>
                <w:rFonts w:ascii="Times New Roman" w:eastAsia="Times New Roman" w:hAnsi="Times New Roman" w:cs="Times New Roman"/>
                <w:color w:val="333333"/>
                <w:sz w:val="20"/>
                <w:szCs w:val="20"/>
              </w:rPr>
            </w:pPr>
            <w:r w:rsidRPr="2D0F3F7B">
              <w:rPr>
                <w:rFonts w:ascii="Times New Roman" w:eastAsia="Times New Roman" w:hAnsi="Times New Roman" w:cs="Times New Roman"/>
                <w:color w:val="333333"/>
                <w:sz w:val="20"/>
                <w:szCs w:val="20"/>
              </w:rPr>
              <w:t>Mental health increases vulnerability to IA victimisation but can also be a risk factor for perpetration.</w:t>
            </w:r>
          </w:p>
        </w:tc>
      </w:tr>
      <w:tr w:rsidR="2D0F3F7B" w14:paraId="1D73D2D7" w14:textId="77777777" w:rsidTr="7659F71F">
        <w:trPr>
          <w:trHeight w:val="870"/>
        </w:trPr>
        <w:tc>
          <w:tcPr>
            <w:tcW w:w="83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965CEA9" w14:textId="00A09641" w:rsidR="2D0F3F7B" w:rsidRDefault="03F3C7A1" w:rsidP="7659F71F">
            <w:pPr>
              <w:rPr>
                <w:rFonts w:ascii="Times New Roman" w:eastAsia="Times New Roman" w:hAnsi="Times New Roman" w:cs="Times New Roman"/>
                <w:color w:val="333333"/>
                <w:sz w:val="20"/>
                <w:szCs w:val="20"/>
              </w:rPr>
            </w:pPr>
            <w:r w:rsidRPr="7659F71F">
              <w:rPr>
                <w:rFonts w:ascii="Times New Roman" w:eastAsia="Times New Roman" w:hAnsi="Times New Roman" w:cs="Times New Roman"/>
                <w:color w:val="333333"/>
                <w:sz w:val="20"/>
                <w:szCs w:val="20"/>
              </w:rPr>
              <w:t>Transgender and bisexual identit</w:t>
            </w:r>
            <w:r w:rsidR="295DD3B4" w:rsidRPr="7659F71F">
              <w:rPr>
                <w:rFonts w:ascii="Times New Roman" w:eastAsia="Times New Roman" w:hAnsi="Times New Roman" w:cs="Times New Roman"/>
                <w:color w:val="333333"/>
                <w:sz w:val="20"/>
                <w:szCs w:val="20"/>
              </w:rPr>
              <w:t>ies</w:t>
            </w:r>
            <w:r w:rsidRPr="7659F71F">
              <w:rPr>
                <w:rFonts w:ascii="Times New Roman" w:eastAsia="Times New Roman" w:hAnsi="Times New Roman" w:cs="Times New Roman"/>
                <w:color w:val="333333"/>
                <w:sz w:val="20"/>
                <w:szCs w:val="20"/>
              </w:rPr>
              <w:t xml:space="preserve"> w</w:t>
            </w:r>
            <w:r w:rsidR="5E2961A2" w:rsidRPr="7659F71F">
              <w:rPr>
                <w:rFonts w:ascii="Times New Roman" w:eastAsia="Times New Roman" w:hAnsi="Times New Roman" w:cs="Times New Roman"/>
                <w:color w:val="333333"/>
                <w:sz w:val="20"/>
                <w:szCs w:val="20"/>
              </w:rPr>
              <w:t>ere</w:t>
            </w:r>
            <w:r w:rsidRPr="7659F71F">
              <w:rPr>
                <w:rFonts w:ascii="Times New Roman" w:eastAsia="Times New Roman" w:hAnsi="Times New Roman" w:cs="Times New Roman"/>
                <w:color w:val="333333"/>
                <w:sz w:val="20"/>
                <w:szCs w:val="20"/>
              </w:rPr>
              <w:t xml:space="preserve"> identified as a risk factor for IA victimisation. The authors stress this is not victim-blaming, but rather a statement of what the included studies presented. </w:t>
            </w:r>
          </w:p>
        </w:tc>
      </w:tr>
      <w:tr w:rsidR="2D0F3F7B" w14:paraId="47BA6BF2" w14:textId="77777777" w:rsidTr="7659F71F">
        <w:trPr>
          <w:trHeight w:val="870"/>
        </w:trPr>
        <w:tc>
          <w:tcPr>
            <w:tcW w:w="83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EA8D319" w14:textId="43F9E198" w:rsidR="2D0F3F7B" w:rsidRDefault="2D0F3F7B" w:rsidP="2D0F3F7B">
            <w:pPr>
              <w:rPr>
                <w:rFonts w:ascii="Times New Roman" w:eastAsia="Times New Roman" w:hAnsi="Times New Roman" w:cs="Times New Roman"/>
                <w:color w:val="333333"/>
                <w:sz w:val="20"/>
                <w:szCs w:val="20"/>
              </w:rPr>
            </w:pPr>
            <w:r w:rsidRPr="2D0F3F7B">
              <w:rPr>
                <w:rFonts w:ascii="Times New Roman" w:eastAsia="Times New Roman" w:hAnsi="Times New Roman" w:cs="Times New Roman"/>
                <w:color w:val="333333"/>
                <w:sz w:val="20"/>
                <w:szCs w:val="20"/>
              </w:rPr>
              <w:t xml:space="preserve">Risks for IA victimisation include past-year sex work, homelessness, drug and alcohol abuse, and exposure to homophobia/enacted stigma. Other risks such as internalised homophobia and being over 40 were identified. ‘Outness’ and gender affirmation are protective of IA victimisation. </w:t>
            </w:r>
          </w:p>
        </w:tc>
      </w:tr>
      <w:tr w:rsidR="2D0F3F7B" w14:paraId="501280D6" w14:textId="77777777" w:rsidTr="7659F71F">
        <w:trPr>
          <w:trHeight w:val="870"/>
        </w:trPr>
        <w:tc>
          <w:tcPr>
            <w:tcW w:w="8315" w:type="dxa"/>
            <w:tcBorders>
              <w:top w:val="single" w:sz="6" w:space="0" w:color="FFFFFF" w:themeColor="background1"/>
              <w:left w:val="single" w:sz="6" w:space="0" w:color="FFFFFF" w:themeColor="background1"/>
              <w:right w:val="single" w:sz="6" w:space="0" w:color="FFFFFF" w:themeColor="background1"/>
            </w:tcBorders>
            <w:tcMar>
              <w:left w:w="105" w:type="dxa"/>
              <w:right w:w="105" w:type="dxa"/>
            </w:tcMar>
            <w:vAlign w:val="center"/>
          </w:tcPr>
          <w:p w14:paraId="3839E3A0" w14:textId="2E836436" w:rsidR="2D0F3F7B" w:rsidRDefault="2D0F3F7B" w:rsidP="2D0F3F7B">
            <w:pPr>
              <w:rPr>
                <w:rFonts w:ascii="Times New Roman" w:eastAsia="Times New Roman" w:hAnsi="Times New Roman" w:cs="Times New Roman"/>
                <w:sz w:val="20"/>
                <w:szCs w:val="20"/>
              </w:rPr>
            </w:pPr>
            <w:r w:rsidRPr="2D0F3F7B">
              <w:rPr>
                <w:rFonts w:ascii="Times New Roman" w:eastAsia="Times New Roman" w:hAnsi="Times New Roman" w:cs="Times New Roman"/>
                <w:color w:val="333333"/>
                <w:sz w:val="20"/>
                <w:szCs w:val="20"/>
              </w:rPr>
              <w:t xml:space="preserve">Quantitative research has not effectively established the prevalence of IA </w:t>
            </w:r>
            <w:r w:rsidRPr="2D0F3F7B">
              <w:rPr>
                <w:rFonts w:ascii="Times New Roman" w:eastAsia="Times New Roman" w:hAnsi="Times New Roman" w:cs="Times New Roman"/>
                <w:sz w:val="20"/>
                <w:szCs w:val="20"/>
              </w:rPr>
              <w:t>due to multiple methodological options such as different instruments, within/between groups, and recall periods (lifetime exposure, past 6 months). Therefore cross-study consolidation is yet to be achieved.</w:t>
            </w:r>
          </w:p>
        </w:tc>
      </w:tr>
    </w:tbl>
    <w:p w14:paraId="2E32CCC9" w14:textId="6B513E43" w:rsidR="00914978" w:rsidRPr="00000934" w:rsidRDefault="00914978" w:rsidP="2D0F3F7B">
      <w:pPr>
        <w:ind w:left="720"/>
        <w:rPr>
          <w:rFonts w:ascii="Times New Roman" w:eastAsia="Times New Roman" w:hAnsi="Times New Roman" w:cs="Times New Roman"/>
          <w:color w:val="D13438"/>
          <w:sz w:val="20"/>
          <w:szCs w:val="20"/>
        </w:rPr>
      </w:pPr>
    </w:p>
    <w:p w14:paraId="3B715171" w14:textId="6542899A" w:rsidR="00914978" w:rsidRPr="00000934" w:rsidRDefault="00914978" w:rsidP="2D0F3F7B">
      <w:pPr>
        <w:rPr>
          <w:rFonts w:ascii="Times New Roman" w:eastAsia="Times New Roman" w:hAnsi="Times New Roman" w:cs="Times New Roman"/>
          <w:color w:val="333333"/>
          <w:sz w:val="20"/>
          <w:szCs w:val="20"/>
        </w:rPr>
      </w:pPr>
    </w:p>
    <w:p w14:paraId="7854E070" w14:textId="0F7A62AD" w:rsidR="00914978" w:rsidRPr="00000934" w:rsidRDefault="00914978" w:rsidP="2D0F3F7B">
      <w:pPr>
        <w:rPr>
          <w:rFonts w:ascii="Times New Roman" w:eastAsia="Times New Roman" w:hAnsi="Times New Roman" w:cs="Times New Roman"/>
          <w:color w:val="333333"/>
          <w:sz w:val="20"/>
          <w:szCs w:val="20"/>
        </w:rPr>
      </w:pPr>
    </w:p>
    <w:p w14:paraId="38F543B4" w14:textId="5A610006" w:rsidR="00914978" w:rsidRPr="00000934" w:rsidRDefault="00914978" w:rsidP="2D0F3F7B">
      <w:pPr>
        <w:rPr>
          <w:rFonts w:ascii="Times New Roman" w:eastAsia="Times New Roman" w:hAnsi="Times New Roman" w:cs="Times New Roman"/>
          <w:color w:val="333333"/>
          <w:sz w:val="20"/>
          <w:szCs w:val="20"/>
        </w:rPr>
      </w:pPr>
    </w:p>
    <w:p w14:paraId="06DBC080" w14:textId="694F83BE" w:rsidR="00914978" w:rsidRPr="00000934" w:rsidRDefault="00914978" w:rsidP="2D0F3F7B">
      <w:pPr>
        <w:rPr>
          <w:rFonts w:ascii="Times New Roman" w:eastAsia="Times New Roman" w:hAnsi="Times New Roman" w:cs="Times New Roman"/>
          <w:color w:val="333333"/>
          <w:sz w:val="20"/>
          <w:szCs w:val="20"/>
        </w:rPr>
      </w:pPr>
    </w:p>
    <w:p w14:paraId="6C682107" w14:textId="6EA9DE74" w:rsidR="00914978" w:rsidRPr="00000934" w:rsidRDefault="00914978" w:rsidP="2D0F3F7B">
      <w:pPr>
        <w:rPr>
          <w:rFonts w:ascii="Times New Roman" w:eastAsia="Times New Roman" w:hAnsi="Times New Roman" w:cs="Times New Roman"/>
          <w:color w:val="333333"/>
          <w:sz w:val="20"/>
          <w:szCs w:val="20"/>
        </w:rPr>
      </w:pPr>
    </w:p>
    <w:p w14:paraId="0B3F2EB0" w14:textId="733AD373" w:rsidR="00914978" w:rsidRPr="00000934" w:rsidRDefault="00914978" w:rsidP="2D0F3F7B">
      <w:pPr>
        <w:rPr>
          <w:rFonts w:ascii="Times New Roman" w:eastAsia="Times New Roman" w:hAnsi="Times New Roman" w:cs="Times New Roman"/>
          <w:color w:val="333333"/>
          <w:sz w:val="20"/>
          <w:szCs w:val="20"/>
        </w:rPr>
      </w:pPr>
    </w:p>
    <w:p w14:paraId="2B307F1D" w14:textId="7E626D7D" w:rsidR="00914978" w:rsidRPr="00000934" w:rsidRDefault="00914978" w:rsidP="2D0F3F7B">
      <w:pPr>
        <w:rPr>
          <w:rFonts w:ascii="Times New Roman" w:eastAsia="Times New Roman" w:hAnsi="Times New Roman" w:cs="Times New Roman"/>
          <w:color w:val="333333"/>
          <w:sz w:val="20"/>
          <w:szCs w:val="20"/>
        </w:rPr>
      </w:pPr>
    </w:p>
    <w:p w14:paraId="25F177CE" w14:textId="43550899" w:rsidR="00914978" w:rsidRPr="00000934" w:rsidRDefault="00914978" w:rsidP="2D0F3F7B">
      <w:pPr>
        <w:rPr>
          <w:rFonts w:ascii="Times New Roman" w:eastAsia="Times New Roman" w:hAnsi="Times New Roman" w:cs="Times New Roman"/>
          <w:color w:val="333333"/>
          <w:sz w:val="20"/>
          <w:szCs w:val="20"/>
        </w:rPr>
      </w:pPr>
    </w:p>
    <w:p w14:paraId="600A9028" w14:textId="4B818977" w:rsidR="00914978" w:rsidRPr="00000934" w:rsidRDefault="00914978" w:rsidP="2D0F3F7B">
      <w:pPr>
        <w:rPr>
          <w:rFonts w:ascii="Times New Roman" w:eastAsia="Times New Roman" w:hAnsi="Times New Roman" w:cs="Times New Roman"/>
          <w:color w:val="333333"/>
          <w:sz w:val="20"/>
          <w:szCs w:val="20"/>
        </w:rPr>
      </w:pPr>
    </w:p>
    <w:p w14:paraId="6B2E9BCD" w14:textId="1C02CCDB" w:rsidR="00914978" w:rsidRPr="00000934" w:rsidRDefault="00914978" w:rsidP="2D0F3F7B">
      <w:pPr>
        <w:rPr>
          <w:rFonts w:ascii="Times New Roman" w:eastAsia="Times New Roman" w:hAnsi="Times New Roman" w:cs="Times New Roman"/>
          <w:color w:val="333333"/>
          <w:sz w:val="20"/>
          <w:szCs w:val="20"/>
        </w:rPr>
      </w:pPr>
    </w:p>
    <w:p w14:paraId="3798984C" w14:textId="3D94878B" w:rsidR="00914978" w:rsidRPr="00000934" w:rsidRDefault="00914978" w:rsidP="2D0F3F7B">
      <w:pPr>
        <w:rPr>
          <w:rFonts w:ascii="Times New Roman" w:eastAsia="Times New Roman" w:hAnsi="Times New Roman" w:cs="Times New Roman"/>
          <w:color w:val="333333"/>
          <w:sz w:val="20"/>
          <w:szCs w:val="20"/>
        </w:rPr>
      </w:pPr>
    </w:p>
    <w:p w14:paraId="0E379098" w14:textId="0E073985" w:rsidR="00914978" w:rsidRPr="00000934" w:rsidRDefault="00914978" w:rsidP="2D0F3F7B">
      <w:pPr>
        <w:rPr>
          <w:rFonts w:ascii="Times New Roman" w:eastAsia="Times New Roman" w:hAnsi="Times New Roman" w:cs="Times New Roman"/>
          <w:color w:val="333333"/>
          <w:sz w:val="20"/>
          <w:szCs w:val="20"/>
        </w:rPr>
      </w:pPr>
    </w:p>
    <w:p w14:paraId="2BE48B86" w14:textId="19923E2B" w:rsidR="00914978" w:rsidRPr="00000934" w:rsidRDefault="00914978" w:rsidP="2D0F3F7B">
      <w:pPr>
        <w:rPr>
          <w:rFonts w:ascii="Times New Roman" w:eastAsia="Times New Roman" w:hAnsi="Times New Roman" w:cs="Times New Roman"/>
          <w:color w:val="333333"/>
          <w:sz w:val="20"/>
          <w:szCs w:val="20"/>
        </w:rPr>
      </w:pPr>
    </w:p>
    <w:p w14:paraId="0A37E0AB" w14:textId="40BD1F44" w:rsidR="00914978" w:rsidRPr="00000934" w:rsidRDefault="00914978" w:rsidP="2D0F3F7B">
      <w:pPr>
        <w:rPr>
          <w:rFonts w:ascii="Times New Roman" w:eastAsia="Times New Roman" w:hAnsi="Times New Roman" w:cs="Times New Roman"/>
          <w:color w:val="333333"/>
          <w:sz w:val="20"/>
          <w:szCs w:val="20"/>
        </w:rPr>
      </w:pPr>
    </w:p>
    <w:p w14:paraId="0D3D1370" w14:textId="50718982" w:rsidR="00914978" w:rsidRPr="00000934" w:rsidRDefault="00914978" w:rsidP="2D0F3F7B">
      <w:pPr>
        <w:rPr>
          <w:rFonts w:ascii="Times New Roman" w:eastAsia="Times New Roman" w:hAnsi="Times New Roman" w:cs="Times New Roman"/>
          <w:color w:val="333333"/>
          <w:sz w:val="20"/>
          <w:szCs w:val="20"/>
        </w:rPr>
      </w:pPr>
    </w:p>
    <w:p w14:paraId="3E5EA6C5" w14:textId="6D441B82" w:rsidR="00914978" w:rsidRPr="00000934" w:rsidRDefault="00914978" w:rsidP="2D0F3F7B">
      <w:pPr>
        <w:rPr>
          <w:rFonts w:ascii="Times New Roman" w:eastAsia="Times New Roman" w:hAnsi="Times New Roman" w:cs="Times New Roman"/>
          <w:color w:val="333333"/>
          <w:sz w:val="20"/>
          <w:szCs w:val="20"/>
        </w:rPr>
      </w:pPr>
    </w:p>
    <w:p w14:paraId="717400E5" w14:textId="7FFDAAC8" w:rsidR="00914978" w:rsidRPr="00000934" w:rsidRDefault="00914978" w:rsidP="2D0F3F7B">
      <w:pPr>
        <w:rPr>
          <w:rFonts w:ascii="Times New Roman" w:eastAsia="Times New Roman" w:hAnsi="Times New Roman" w:cs="Times New Roman"/>
          <w:color w:val="333333"/>
          <w:sz w:val="20"/>
          <w:szCs w:val="20"/>
        </w:rPr>
      </w:pPr>
    </w:p>
    <w:p w14:paraId="4B4CD24F" w14:textId="1348AE23" w:rsidR="00914978" w:rsidRPr="00000934" w:rsidRDefault="00914978" w:rsidP="2D0F3F7B">
      <w:pPr>
        <w:rPr>
          <w:rFonts w:ascii="Times New Roman" w:eastAsia="Times New Roman" w:hAnsi="Times New Roman" w:cs="Times New Roman"/>
          <w:color w:val="333333"/>
          <w:sz w:val="20"/>
          <w:szCs w:val="20"/>
        </w:rPr>
      </w:pPr>
    </w:p>
    <w:p w14:paraId="57A4BC1C" w14:textId="0CB2DA9F" w:rsidR="00914978" w:rsidRPr="00000934" w:rsidRDefault="00914978" w:rsidP="2D0F3F7B">
      <w:pPr>
        <w:rPr>
          <w:rFonts w:ascii="Times New Roman" w:eastAsia="Times New Roman" w:hAnsi="Times New Roman" w:cs="Times New Roman"/>
          <w:color w:val="333333"/>
          <w:sz w:val="20"/>
          <w:szCs w:val="20"/>
        </w:rPr>
      </w:pPr>
    </w:p>
    <w:p w14:paraId="740B5034" w14:textId="0699AE50" w:rsidR="00914978" w:rsidRPr="00000934" w:rsidRDefault="00914978" w:rsidP="2D0F3F7B">
      <w:pPr>
        <w:rPr>
          <w:rFonts w:ascii="Times New Roman" w:eastAsia="Times New Roman" w:hAnsi="Times New Roman" w:cs="Times New Roman"/>
          <w:color w:val="333333"/>
          <w:sz w:val="20"/>
          <w:szCs w:val="20"/>
        </w:rPr>
      </w:pPr>
    </w:p>
    <w:p w14:paraId="1D002048" w14:textId="197D324E" w:rsidR="00914978" w:rsidRPr="00000934" w:rsidRDefault="00914978" w:rsidP="7659F71F">
      <w:pPr>
        <w:rPr>
          <w:rFonts w:ascii="Times New Roman" w:eastAsia="Times New Roman" w:hAnsi="Times New Roman" w:cs="Times New Roman"/>
          <w:color w:val="333333"/>
          <w:sz w:val="20"/>
          <w:szCs w:val="20"/>
        </w:rPr>
      </w:pPr>
    </w:p>
    <w:p w14:paraId="5AB64481" w14:textId="3E5FD6B3" w:rsidR="00914978" w:rsidRPr="00000934" w:rsidRDefault="00914978" w:rsidP="2D0F3F7B">
      <w:pPr>
        <w:rPr>
          <w:rFonts w:ascii="Times New Roman" w:eastAsia="Times New Roman" w:hAnsi="Times New Roman" w:cs="Times New Roman"/>
          <w:color w:val="333333"/>
          <w:sz w:val="20"/>
          <w:szCs w:val="20"/>
        </w:rPr>
      </w:pPr>
    </w:p>
    <w:p w14:paraId="4A42C00D" w14:textId="50BB8B9C" w:rsidR="00914978" w:rsidRPr="00000934" w:rsidRDefault="00914978" w:rsidP="2D0F3F7B">
      <w:pPr>
        <w:rPr>
          <w:rFonts w:ascii="Times New Roman" w:eastAsia="Times New Roman" w:hAnsi="Times New Roman" w:cs="Times New Roman"/>
          <w:color w:val="333333"/>
          <w:sz w:val="20"/>
          <w:szCs w:val="20"/>
        </w:rPr>
      </w:pPr>
    </w:p>
    <w:p w14:paraId="43927BF4" w14:textId="7E246215" w:rsidR="00914978" w:rsidRPr="00000934" w:rsidRDefault="00914978" w:rsidP="2D0F3F7B">
      <w:pPr>
        <w:rPr>
          <w:rFonts w:ascii="Times New Roman" w:eastAsia="Times New Roman" w:hAnsi="Times New Roman" w:cs="Times New Roman"/>
          <w:color w:val="333333"/>
          <w:sz w:val="20"/>
          <w:szCs w:val="20"/>
        </w:rPr>
      </w:pPr>
    </w:p>
    <w:p w14:paraId="2A7B2BD5" w14:textId="5E2B05EF" w:rsidR="00914978" w:rsidRPr="00000934" w:rsidRDefault="00914978" w:rsidP="2D0F3F7B">
      <w:pPr>
        <w:rPr>
          <w:rFonts w:ascii="Times New Roman" w:eastAsia="Times New Roman" w:hAnsi="Times New Roman" w:cs="Times New Roman"/>
          <w:color w:val="333333"/>
          <w:sz w:val="20"/>
          <w:szCs w:val="20"/>
        </w:rPr>
      </w:pPr>
    </w:p>
    <w:p w14:paraId="46155EB5" w14:textId="6490A10A" w:rsidR="00914978" w:rsidRPr="00000934" w:rsidRDefault="00914978" w:rsidP="2D0F3F7B">
      <w:pPr>
        <w:rPr>
          <w:rFonts w:ascii="Times New Roman" w:eastAsia="Times New Roman" w:hAnsi="Times New Roman" w:cs="Times New Roman"/>
          <w:color w:val="333333"/>
          <w:sz w:val="20"/>
          <w:szCs w:val="20"/>
        </w:rPr>
      </w:pPr>
    </w:p>
    <w:p w14:paraId="6A7E1D30" w14:textId="73AE6404" w:rsidR="00914978" w:rsidRPr="00000934" w:rsidRDefault="2A3199FF" w:rsidP="2D0F3F7B">
      <w:pPr>
        <w:rPr>
          <w:rFonts w:ascii="Times New Roman" w:eastAsia="Times New Roman" w:hAnsi="Times New Roman" w:cs="Times New Roman"/>
          <w:color w:val="333333"/>
          <w:sz w:val="20"/>
          <w:szCs w:val="20"/>
        </w:rPr>
      </w:pPr>
      <w:r w:rsidRPr="2D0F3F7B">
        <w:rPr>
          <w:rFonts w:ascii="Times New Roman" w:eastAsia="Times New Roman" w:hAnsi="Times New Roman" w:cs="Times New Roman"/>
          <w:b/>
          <w:bCs/>
          <w:color w:val="333333"/>
          <w:sz w:val="20"/>
          <w:szCs w:val="20"/>
        </w:rPr>
        <w:t xml:space="preserve">Table 5. </w:t>
      </w:r>
    </w:p>
    <w:p w14:paraId="25603ADE" w14:textId="4A473D4D" w:rsidR="00914978" w:rsidRPr="00000934" w:rsidRDefault="2A3199FF" w:rsidP="2D0F3F7B">
      <w:pPr>
        <w:rPr>
          <w:rFonts w:ascii="Times New Roman" w:eastAsia="Times New Roman" w:hAnsi="Times New Roman" w:cs="Times New Roman"/>
          <w:color w:val="333333"/>
          <w:sz w:val="20"/>
          <w:szCs w:val="20"/>
        </w:rPr>
      </w:pPr>
      <w:r w:rsidRPr="2D0F3F7B">
        <w:rPr>
          <w:rFonts w:ascii="Times New Roman" w:eastAsia="Times New Roman" w:hAnsi="Times New Roman" w:cs="Times New Roman"/>
          <w:i/>
          <w:iCs/>
          <w:color w:val="333333"/>
          <w:sz w:val="20"/>
          <w:szCs w:val="20"/>
        </w:rPr>
        <w:t>Implications for Practice, Policy, and Research</w:t>
      </w:r>
    </w:p>
    <w:p w14:paraId="5134C502" w14:textId="78BA697B" w:rsidR="00914978" w:rsidRPr="00000934" w:rsidRDefault="00914978" w:rsidP="2D0F3F7B">
      <w:pPr>
        <w:rPr>
          <w:rFonts w:ascii="Times New Roman" w:eastAsia="Times New Roman" w:hAnsi="Times New Roman" w:cs="Times New Roman"/>
          <w:color w:val="333333"/>
          <w:sz w:val="20"/>
          <w:szCs w:val="20"/>
        </w:rPr>
      </w:pPr>
    </w:p>
    <w:tbl>
      <w:tblPr>
        <w:tblStyle w:val="TableGrid"/>
        <w:tblW w:w="0" w:type="auto"/>
        <w:tblInd w:w="72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90"/>
      </w:tblGrid>
      <w:tr w:rsidR="2D0F3F7B" w14:paraId="0068F85A" w14:textId="77777777" w:rsidTr="655E3B59">
        <w:trPr>
          <w:trHeight w:val="855"/>
        </w:trPr>
        <w:tc>
          <w:tcPr>
            <w:tcW w:w="8315" w:type="dxa"/>
            <w:tcBorders>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5E4188D" w14:textId="434DFFB0" w:rsidR="2D0F3F7B" w:rsidRDefault="2D0F3F7B" w:rsidP="2D0F3F7B">
            <w:pPr>
              <w:rPr>
                <w:rFonts w:ascii="Times New Roman" w:eastAsia="Times New Roman" w:hAnsi="Times New Roman" w:cs="Times New Roman"/>
                <w:sz w:val="20"/>
                <w:szCs w:val="20"/>
              </w:rPr>
            </w:pPr>
            <w:r w:rsidRPr="2D0F3F7B">
              <w:rPr>
                <w:rFonts w:ascii="Times New Roman" w:eastAsia="Times New Roman" w:hAnsi="Times New Roman" w:cs="Times New Roman"/>
                <w:sz w:val="20"/>
                <w:szCs w:val="20"/>
              </w:rPr>
              <w:t>Research needs to be carried out across diverse cultures and countries to understand how the nuanced differences in socio-political contexts impact IA experiences in LGBTQ+ romantic relationships</w:t>
            </w:r>
          </w:p>
        </w:tc>
      </w:tr>
      <w:tr w:rsidR="2D0F3F7B" w14:paraId="7B429BC1" w14:textId="77777777" w:rsidTr="655E3B59">
        <w:trPr>
          <w:trHeight w:val="855"/>
        </w:trPr>
        <w:tc>
          <w:tcPr>
            <w:tcW w:w="83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7A6C48B" w14:textId="76AA6DBA" w:rsidR="2D0F3F7B" w:rsidRDefault="2D0F3F7B" w:rsidP="2D0F3F7B">
            <w:pPr>
              <w:rPr>
                <w:rFonts w:ascii="Times New Roman" w:eastAsia="Times New Roman" w:hAnsi="Times New Roman" w:cs="Times New Roman"/>
                <w:sz w:val="20"/>
                <w:szCs w:val="20"/>
              </w:rPr>
            </w:pPr>
            <w:r w:rsidRPr="2D0F3F7B">
              <w:rPr>
                <w:rFonts w:ascii="Times New Roman" w:eastAsia="Times New Roman" w:hAnsi="Times New Roman" w:cs="Times New Roman"/>
                <w:sz w:val="20"/>
                <w:szCs w:val="20"/>
              </w:rPr>
              <w:t>Future research should adopt an intersectional feminist perspective to ensure the research is victim-centric and not seem to be placing blame on an individual level.</w:t>
            </w:r>
          </w:p>
        </w:tc>
      </w:tr>
      <w:tr w:rsidR="2D0F3F7B" w14:paraId="184D21B0" w14:textId="77777777" w:rsidTr="655E3B59">
        <w:trPr>
          <w:trHeight w:val="855"/>
        </w:trPr>
        <w:tc>
          <w:tcPr>
            <w:tcW w:w="831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CC2B70B" w14:textId="034B2EDF" w:rsidR="2D0F3F7B" w:rsidRDefault="2D0F3F7B" w:rsidP="2D0F3F7B">
            <w:pPr>
              <w:rPr>
                <w:rFonts w:ascii="Times New Roman" w:eastAsia="Times New Roman" w:hAnsi="Times New Roman" w:cs="Times New Roman"/>
                <w:sz w:val="20"/>
                <w:szCs w:val="20"/>
              </w:rPr>
            </w:pPr>
            <w:r w:rsidRPr="2D0F3F7B">
              <w:rPr>
                <w:rFonts w:ascii="Times New Roman" w:eastAsia="Times New Roman" w:hAnsi="Times New Roman" w:cs="Times New Roman"/>
                <w:sz w:val="20"/>
                <w:szCs w:val="20"/>
              </w:rPr>
              <w:t xml:space="preserve">Methodologically, qualitative research exploring IA such as interpretative phenomenological analysis would be able to map IA experiences across social structures to have a more holistic picture of IA. </w:t>
            </w:r>
          </w:p>
        </w:tc>
      </w:tr>
      <w:tr w:rsidR="2D0F3F7B" w14:paraId="3C2B026D" w14:textId="77777777" w:rsidTr="655E3B59">
        <w:trPr>
          <w:trHeight w:val="855"/>
        </w:trPr>
        <w:tc>
          <w:tcPr>
            <w:tcW w:w="8315"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tcMar>
              <w:left w:w="105" w:type="dxa"/>
              <w:right w:w="105" w:type="dxa"/>
            </w:tcMar>
            <w:vAlign w:val="center"/>
          </w:tcPr>
          <w:p w14:paraId="12D1A590" w14:textId="7D0DE1C1" w:rsidR="2D0F3F7B" w:rsidRDefault="2D0F3F7B" w:rsidP="2D0F3F7B">
            <w:pPr>
              <w:rPr>
                <w:rFonts w:ascii="Times New Roman" w:eastAsia="Times New Roman" w:hAnsi="Times New Roman" w:cs="Times New Roman"/>
                <w:sz w:val="20"/>
                <w:szCs w:val="20"/>
              </w:rPr>
            </w:pPr>
            <w:r w:rsidRPr="2D0F3F7B">
              <w:rPr>
                <w:rFonts w:ascii="Times New Roman" w:eastAsia="Times New Roman" w:hAnsi="Times New Roman" w:cs="Times New Roman"/>
                <w:sz w:val="20"/>
                <w:szCs w:val="20"/>
              </w:rPr>
              <w:t xml:space="preserve">Prevalence of IA is hard to determine, more longitudinal research with gender and sexuality disaggregated data needs to be obtained so researchers, policy makers, and practitioners an understand the extent of the phenomena in specific identities. </w:t>
            </w:r>
          </w:p>
        </w:tc>
      </w:tr>
      <w:tr w:rsidR="2D0F3F7B" w14:paraId="011727EA" w14:textId="77777777" w:rsidTr="655E3B59">
        <w:trPr>
          <w:trHeight w:val="855"/>
        </w:trPr>
        <w:tc>
          <w:tcPr>
            <w:tcW w:w="8315" w:type="dxa"/>
            <w:tcBorders>
              <w:top w:val="single" w:sz="6" w:space="0" w:color="FFFFFF" w:themeColor="background1"/>
              <w:left w:val="single" w:sz="6" w:space="0" w:color="FFFFFF" w:themeColor="background1"/>
              <w:right w:val="single" w:sz="6" w:space="0" w:color="FFFFFF" w:themeColor="background1"/>
            </w:tcBorders>
            <w:tcMar>
              <w:left w:w="105" w:type="dxa"/>
              <w:right w:w="105" w:type="dxa"/>
            </w:tcMar>
            <w:vAlign w:val="center"/>
          </w:tcPr>
          <w:p w14:paraId="21167E15" w14:textId="0E46E513" w:rsidR="505C9873" w:rsidRPr="0023680D" w:rsidRDefault="505C9873" w:rsidP="655E3B59">
            <w:pPr>
              <w:rPr>
                <w:rFonts w:ascii="Times New Roman" w:eastAsia="Times New Roman" w:hAnsi="Times New Roman" w:cs="Times New Roman"/>
                <w:color w:val="000000" w:themeColor="text1"/>
                <w:sz w:val="20"/>
                <w:szCs w:val="20"/>
              </w:rPr>
            </w:pPr>
            <w:r w:rsidRPr="0023680D">
              <w:rPr>
                <w:rFonts w:ascii="Times New Roman" w:eastAsia="Times New Roman" w:hAnsi="Times New Roman" w:cs="Times New Roman"/>
                <w:color w:val="000000" w:themeColor="text1"/>
                <w:sz w:val="20"/>
                <w:szCs w:val="20"/>
                <w:lang w:val="en-US"/>
              </w:rPr>
              <w:t>The association between mental health vulnerabilities (depression, anxiety, PTSD) and both IA victimization and perpetration suggests that mental health services represent a critical intervention point, requiring trauma-informed approaches that recognize IA as a distinct form of coercive control with unique psychological impacts.</w:t>
            </w:r>
          </w:p>
          <w:p w14:paraId="7A0DD834" w14:textId="3BFD3F26" w:rsidR="2D0F3F7B" w:rsidRPr="0023680D" w:rsidRDefault="2D0F3F7B" w:rsidP="2D0F3F7B">
            <w:pPr>
              <w:rPr>
                <w:rFonts w:ascii="Times New Roman" w:eastAsia="Times New Roman" w:hAnsi="Times New Roman" w:cs="Times New Roman"/>
                <w:color w:val="000000" w:themeColor="text1"/>
                <w:sz w:val="20"/>
                <w:szCs w:val="20"/>
              </w:rPr>
            </w:pPr>
          </w:p>
        </w:tc>
      </w:tr>
    </w:tbl>
    <w:p w14:paraId="4A2B0695" w14:textId="637F5050" w:rsidR="00914978" w:rsidRPr="00000934" w:rsidRDefault="00914978" w:rsidP="2D0F3F7B">
      <w:pPr>
        <w:rPr>
          <w:rFonts w:ascii="Times New Roman" w:eastAsia="Times New Roman" w:hAnsi="Times New Roman" w:cs="Times New Roman"/>
          <w:color w:val="333333"/>
          <w:sz w:val="20"/>
          <w:szCs w:val="20"/>
        </w:rPr>
      </w:pPr>
    </w:p>
    <w:p w14:paraId="1A8337FB" w14:textId="649F7042" w:rsidR="00914978" w:rsidRPr="00000934" w:rsidRDefault="00914978" w:rsidP="2D0F3F7B">
      <w:pPr>
        <w:rPr>
          <w:rFonts w:ascii="Times New Roman" w:eastAsia="Times New Roman" w:hAnsi="Times New Roman" w:cs="Times New Roman"/>
          <w:sz w:val="20"/>
          <w:szCs w:val="20"/>
        </w:rPr>
      </w:pPr>
    </w:p>
    <w:p w14:paraId="4E5D5CF1" w14:textId="50D3375C" w:rsidR="00914978" w:rsidRPr="00000934" w:rsidRDefault="00914978" w:rsidP="510EEA1C">
      <w:pPr>
        <w:rPr>
          <w:rFonts w:ascii="Times New Roman" w:eastAsia="Times New Roman" w:hAnsi="Times New Roman" w:cs="Times New Roman"/>
        </w:rPr>
      </w:pPr>
    </w:p>
    <w:sectPr w:rsidR="00914978" w:rsidRPr="00000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2F"/>
    <w:rsid w:val="00000934"/>
    <w:rsid w:val="000C30C5"/>
    <w:rsid w:val="0023680D"/>
    <w:rsid w:val="002A5400"/>
    <w:rsid w:val="002A6CBA"/>
    <w:rsid w:val="00636526"/>
    <w:rsid w:val="007372FC"/>
    <w:rsid w:val="008F3554"/>
    <w:rsid w:val="00914978"/>
    <w:rsid w:val="00945A08"/>
    <w:rsid w:val="00994B52"/>
    <w:rsid w:val="00A620DA"/>
    <w:rsid w:val="00C2572F"/>
    <w:rsid w:val="00C973A1"/>
    <w:rsid w:val="00D733B1"/>
    <w:rsid w:val="00E73F3F"/>
    <w:rsid w:val="00FD3FD8"/>
    <w:rsid w:val="03F3C7A1"/>
    <w:rsid w:val="1A3E8193"/>
    <w:rsid w:val="295DD3B4"/>
    <w:rsid w:val="2A3199FF"/>
    <w:rsid w:val="2D0F3F7B"/>
    <w:rsid w:val="2EAD91FD"/>
    <w:rsid w:val="38F5A6B2"/>
    <w:rsid w:val="4DD82CD9"/>
    <w:rsid w:val="4FE55A74"/>
    <w:rsid w:val="505C9873"/>
    <w:rsid w:val="510EEA1C"/>
    <w:rsid w:val="56E1F25D"/>
    <w:rsid w:val="5E2961A2"/>
    <w:rsid w:val="655E3B59"/>
    <w:rsid w:val="6B3FB1E2"/>
    <w:rsid w:val="6E057E7D"/>
    <w:rsid w:val="7659F71F"/>
    <w:rsid w:val="79C6C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6C19"/>
  <w15:chartTrackingRefBased/>
  <w15:docId w15:val="{CE2B0B9C-CA52-4C7E-B1C1-C8F598A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C5"/>
    <w:pPr>
      <w:spacing w:after="0" w:line="240" w:lineRule="auto"/>
    </w:pPr>
    <w:rPr>
      <w:kern w:val="0"/>
      <w14:ligatures w14:val="none"/>
    </w:rPr>
  </w:style>
  <w:style w:type="paragraph" w:styleId="Heading1">
    <w:name w:val="heading 1"/>
    <w:basedOn w:val="Normal"/>
    <w:next w:val="Normal"/>
    <w:link w:val="Heading1Char"/>
    <w:uiPriority w:val="9"/>
    <w:qFormat/>
    <w:rsid w:val="00C257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57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572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572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572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572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572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572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572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72F"/>
    <w:rPr>
      <w:rFonts w:eastAsiaTheme="majorEastAsia" w:cstheme="majorBidi"/>
      <w:color w:val="272727" w:themeColor="text1" w:themeTint="D8"/>
    </w:rPr>
  </w:style>
  <w:style w:type="paragraph" w:styleId="Title">
    <w:name w:val="Title"/>
    <w:basedOn w:val="Normal"/>
    <w:next w:val="Normal"/>
    <w:link w:val="TitleChar"/>
    <w:uiPriority w:val="10"/>
    <w:qFormat/>
    <w:rsid w:val="00C257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72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72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2572F"/>
    <w:rPr>
      <w:i/>
      <w:iCs/>
      <w:color w:val="404040" w:themeColor="text1" w:themeTint="BF"/>
    </w:rPr>
  </w:style>
  <w:style w:type="paragraph" w:styleId="ListParagraph">
    <w:name w:val="List Paragraph"/>
    <w:basedOn w:val="Normal"/>
    <w:uiPriority w:val="34"/>
    <w:qFormat/>
    <w:rsid w:val="00C2572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C2572F"/>
    <w:rPr>
      <w:i/>
      <w:iCs/>
      <w:color w:val="0F4761" w:themeColor="accent1" w:themeShade="BF"/>
    </w:rPr>
  </w:style>
  <w:style w:type="paragraph" w:styleId="IntenseQuote">
    <w:name w:val="Intense Quote"/>
    <w:basedOn w:val="Normal"/>
    <w:next w:val="Normal"/>
    <w:link w:val="IntenseQuoteChar"/>
    <w:uiPriority w:val="30"/>
    <w:qFormat/>
    <w:rsid w:val="00C2572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2572F"/>
    <w:rPr>
      <w:i/>
      <w:iCs/>
      <w:color w:val="0F4761" w:themeColor="accent1" w:themeShade="BF"/>
    </w:rPr>
  </w:style>
  <w:style w:type="character" w:styleId="IntenseReference">
    <w:name w:val="Intense Reference"/>
    <w:basedOn w:val="DefaultParagraphFont"/>
    <w:uiPriority w:val="32"/>
    <w:qFormat/>
    <w:rsid w:val="00C2572F"/>
    <w:rPr>
      <w:b/>
      <w:bCs/>
      <w:smallCaps/>
      <w:color w:val="0F4761" w:themeColor="accent1" w:themeShade="BF"/>
      <w:spacing w:val="5"/>
    </w:rPr>
  </w:style>
  <w:style w:type="paragraph" w:customStyle="1" w:styleId="Body">
    <w:name w:val="Body"/>
    <w:rsid w:val="002A6CBA"/>
    <w:pPr>
      <w:pBdr>
        <w:top w:val="nil"/>
        <w:left w:val="nil"/>
        <w:bottom w:val="nil"/>
        <w:right w:val="nil"/>
        <w:between w:val="nil"/>
        <w:bar w:val="nil"/>
      </w:pBdr>
      <w:spacing w:after="240" w:line="312" w:lineRule="auto"/>
    </w:pPr>
    <w:rPr>
      <w:rFonts w:ascii="Helvetica Neue" w:eastAsia="Arial Unicode MS" w:hAnsi="Helvetica Neue" w:cs="Arial Unicode MS"/>
      <w:color w:val="000000"/>
      <w:spacing w:val="7"/>
      <w:kern w:val="0"/>
      <w:bdr w:val="nil"/>
      <w:lang w:val="en-US" w:eastAsia="ja-JP"/>
      <w14:textOutline w14:w="0" w14:cap="flat" w14:cmpd="sng" w14:algn="ctr">
        <w14:noFill/>
        <w14:prstDash w14:val="solid"/>
        <w14:bevel/>
      </w14:textOutline>
      <w14:ligatures w14:val="none"/>
    </w:rPr>
  </w:style>
  <w:style w:type="paragraph" w:customStyle="1" w:styleId="TableStyle2">
    <w:name w:val="Table Style 2"/>
    <w:rsid w:val="002A6CB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val="en-US" w:eastAsia="ja-JP"/>
      <w14:textOutline w14:w="0" w14:cap="flat" w14:cmpd="sng" w14:algn="ctr">
        <w14:noFill/>
        <w14:prstDash w14:val="solid"/>
        <w14:bevel/>
      </w14:textOutline>
      <w14:ligatures w14:val="none"/>
    </w:rPr>
  </w:style>
  <w:style w:type="table" w:styleId="PlainTable2">
    <w:name w:val="Plain Table 2"/>
    <w:basedOn w:val="TableNormal"/>
    <w:uiPriority w:val="42"/>
    <w:rsid w:val="002A6CB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eastAsia="ja-JP"/>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0C30C5"/>
    <w:pPr>
      <w:pBdr>
        <w:top w:val="nil"/>
        <w:left w:val="nil"/>
        <w:bottom w:val="nil"/>
        <w:right w:val="nil"/>
        <w:between w:val="nil"/>
        <w:bar w:val="nil"/>
      </w:pBdr>
      <w:suppressAutoHyphens/>
      <w:spacing w:after="0" w:line="240" w:lineRule="auto"/>
    </w:pPr>
    <w:rPr>
      <w:rFonts w:ascii="Arial Narrow" w:eastAsia="Arial Narrow" w:hAnsi="Arial Narrow" w:cs="Arial Narrow"/>
      <w:color w:val="000000"/>
      <w:kern w:val="0"/>
      <w:sz w:val="21"/>
      <w:szCs w:val="21"/>
      <w:bdr w:val="nil"/>
      <w:shd w:val="clear" w:color="auto" w:fill="FFFFFF"/>
      <w:lang w:val="en-US" w:eastAsia="ja-JP"/>
      <w14:textOutline w14:w="0" w14:cap="flat" w14:cmpd="sng" w14:algn="ctr">
        <w14:noFill/>
        <w14:prstDash w14:val="solid"/>
        <w14:bevel/>
      </w14:textOutline>
      <w14:textFill>
        <w14:solidFill>
          <w14:srgbClr w14:val="000000">
            <w14:alpha w14:val="15294"/>
          </w14:srgbClr>
        </w14:solidFill>
      </w14:textFill>
      <w14:ligatures w14:val="none"/>
    </w:rPr>
  </w:style>
  <w:style w:type="table" w:styleId="PlainTable3">
    <w:name w:val="Plain Table 3"/>
    <w:basedOn w:val="TableNormal"/>
    <w:uiPriority w:val="43"/>
    <w:rsid w:val="000C30C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eastAsia="ja-JP"/>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C30C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eastAsia="ja-JP"/>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3930</Characters>
  <Application>Microsoft Office Word</Application>
  <DocSecurity>0</DocSecurity>
  <Lines>170</Lines>
  <Paragraphs>95</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Sharpe</dc:creator>
  <cp:keywords/>
  <dc:description/>
  <cp:lastModifiedBy>Rylee Spooner</cp:lastModifiedBy>
  <cp:revision>6</cp:revision>
  <dcterms:created xsi:type="dcterms:W3CDTF">2026-01-09T16:14:00Z</dcterms:created>
  <dcterms:modified xsi:type="dcterms:W3CDTF">2026-03-23T17:09:00Z</dcterms:modified>
</cp:coreProperties>
</file>