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00A5E" w14:textId="77777777" w:rsidR="00D124CA" w:rsidRPr="00D124CA" w:rsidRDefault="00D124CA" w:rsidP="00D124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471922"/>
      <w:r w:rsidRPr="00D124CA">
        <w:rPr>
          <w:rFonts w:ascii="Times New Roman" w:hAnsi="Times New Roman" w:cs="Times New Roman"/>
          <w:b/>
          <w:sz w:val="24"/>
          <w:szCs w:val="24"/>
        </w:rPr>
        <w:t>Using 360-video to analyse visual exploratory activity in women’s soccer</w:t>
      </w:r>
    </w:p>
    <w:bookmarkEnd w:id="0"/>
    <w:p w14:paraId="30CA8A59" w14:textId="77777777" w:rsidR="00D124CA" w:rsidRPr="00D124CA" w:rsidRDefault="00D124CA" w:rsidP="00D124CA">
      <w:pPr>
        <w:pStyle w:val="NoSpacing"/>
        <w:spacing w:line="360" w:lineRule="auto"/>
        <w:jc w:val="center"/>
        <w:rPr>
          <w:rFonts w:cs="Times New Roman"/>
          <w:szCs w:val="24"/>
        </w:rPr>
      </w:pPr>
    </w:p>
    <w:p w14:paraId="652A35C5" w14:textId="77777777" w:rsidR="00D124CA" w:rsidRPr="00D124CA" w:rsidRDefault="00D124CA" w:rsidP="00D124CA">
      <w:pPr>
        <w:pStyle w:val="NoSpacing"/>
        <w:spacing w:line="360" w:lineRule="auto"/>
        <w:jc w:val="center"/>
        <w:rPr>
          <w:rFonts w:cs="Times New Roman"/>
          <w:szCs w:val="24"/>
          <w:vertAlign w:val="superscript"/>
        </w:rPr>
      </w:pPr>
      <w:r w:rsidRPr="00D124CA">
        <w:rPr>
          <w:rFonts w:cs="Times New Roman"/>
          <w:szCs w:val="24"/>
        </w:rPr>
        <w:t>James Feist</w:t>
      </w:r>
      <w:r w:rsidRPr="00D124CA">
        <w:rPr>
          <w:rFonts w:cs="Times New Roman"/>
          <w:szCs w:val="24"/>
          <w:vertAlign w:val="superscript"/>
        </w:rPr>
        <w:t>1</w:t>
      </w:r>
      <w:r w:rsidRPr="00D124CA">
        <w:rPr>
          <w:rFonts w:cs="Times New Roman"/>
          <w:szCs w:val="24"/>
        </w:rPr>
        <w:t>, Naomi Datson</w:t>
      </w:r>
      <w:r w:rsidRPr="00D124CA">
        <w:rPr>
          <w:rFonts w:cs="Times New Roman"/>
          <w:szCs w:val="24"/>
          <w:vertAlign w:val="superscript"/>
        </w:rPr>
        <w:t>2</w:t>
      </w:r>
      <w:r w:rsidRPr="00D124CA">
        <w:rPr>
          <w:rFonts w:cs="Times New Roman"/>
          <w:szCs w:val="24"/>
        </w:rPr>
        <w:t>, Oliver R. Runswick</w:t>
      </w:r>
      <w:r w:rsidRPr="00D124CA">
        <w:rPr>
          <w:rFonts w:cs="Times New Roman"/>
          <w:szCs w:val="24"/>
          <w:vertAlign w:val="superscript"/>
        </w:rPr>
        <w:t>3</w:t>
      </w:r>
      <w:r w:rsidRPr="00D124CA">
        <w:rPr>
          <w:rFonts w:cs="Times New Roman"/>
          <w:szCs w:val="24"/>
        </w:rPr>
        <w:t>, &amp; Chris Pocock</w:t>
      </w:r>
      <w:r w:rsidRPr="00D124CA">
        <w:rPr>
          <w:rFonts w:cs="Times New Roman"/>
          <w:szCs w:val="24"/>
          <w:vertAlign w:val="superscript"/>
        </w:rPr>
        <w:t>1</w:t>
      </w:r>
    </w:p>
    <w:p w14:paraId="1F5DC4AC" w14:textId="77777777" w:rsidR="00D124CA" w:rsidRPr="00D124CA" w:rsidRDefault="00D124CA" w:rsidP="00D124CA">
      <w:pPr>
        <w:pStyle w:val="NoSpacing"/>
        <w:spacing w:line="360" w:lineRule="auto"/>
        <w:rPr>
          <w:rFonts w:cs="Times New Roman"/>
          <w:i/>
          <w:iCs/>
          <w:szCs w:val="24"/>
          <w:vertAlign w:val="superscript"/>
        </w:rPr>
      </w:pPr>
    </w:p>
    <w:p w14:paraId="6B4EC8DB" w14:textId="77777777" w:rsidR="00D124CA" w:rsidRPr="00D124CA" w:rsidRDefault="00D124CA" w:rsidP="00D124CA">
      <w:pPr>
        <w:pStyle w:val="NoSpacing"/>
        <w:spacing w:line="360" w:lineRule="auto"/>
        <w:rPr>
          <w:rFonts w:cs="Times New Roman"/>
          <w:i/>
          <w:iCs/>
          <w:szCs w:val="24"/>
        </w:rPr>
      </w:pPr>
      <w:r w:rsidRPr="00D124CA">
        <w:rPr>
          <w:rFonts w:cs="Arial"/>
          <w:bCs/>
          <w:i/>
          <w:iCs/>
          <w:szCs w:val="24"/>
          <w:vertAlign w:val="superscript"/>
        </w:rPr>
        <w:t>1</w:t>
      </w:r>
      <w:r w:rsidRPr="00D124CA">
        <w:rPr>
          <w:rFonts w:cs="Arial"/>
          <w:bCs/>
          <w:i/>
          <w:iCs/>
          <w:szCs w:val="24"/>
        </w:rPr>
        <w:t>School of Sport, Science and Engineering, Faculty of Health, Science and Engineering,</w:t>
      </w:r>
      <w:r w:rsidRPr="00D124CA" w:rsidDel="00F13646">
        <w:rPr>
          <w:rFonts w:cs="Times New Roman"/>
          <w:i/>
          <w:iCs/>
          <w:szCs w:val="24"/>
          <w:vertAlign w:val="superscript"/>
        </w:rPr>
        <w:t xml:space="preserve"> </w:t>
      </w:r>
      <w:r w:rsidRPr="00D124CA">
        <w:rPr>
          <w:rFonts w:cs="Times New Roman"/>
          <w:i/>
          <w:iCs/>
          <w:szCs w:val="24"/>
        </w:rPr>
        <w:t>University of Chichester, U.K.</w:t>
      </w:r>
    </w:p>
    <w:p w14:paraId="487C799C" w14:textId="77777777" w:rsidR="00D124CA" w:rsidRPr="00D124CA" w:rsidRDefault="00D124CA" w:rsidP="00D124CA">
      <w:pPr>
        <w:pStyle w:val="NoSpacing"/>
        <w:spacing w:line="360" w:lineRule="auto"/>
        <w:rPr>
          <w:rFonts w:cs="Times New Roman"/>
          <w:i/>
          <w:iCs/>
          <w:szCs w:val="24"/>
        </w:rPr>
      </w:pPr>
      <w:r w:rsidRPr="00D124CA">
        <w:rPr>
          <w:rFonts w:cs="Times New Roman"/>
          <w:i/>
          <w:iCs/>
          <w:szCs w:val="24"/>
          <w:vertAlign w:val="superscript"/>
        </w:rPr>
        <w:t>2</w:t>
      </w:r>
      <w:r w:rsidRPr="00D124CA">
        <w:rPr>
          <w:rFonts w:cs="Times New Roman"/>
          <w:i/>
          <w:iCs/>
          <w:szCs w:val="24"/>
        </w:rPr>
        <w:t>Department of Sport and Exercise Sciences, Institute of Sport, Manchester Metropolitan University, U.K.</w:t>
      </w:r>
    </w:p>
    <w:p w14:paraId="6A523FD8" w14:textId="77777777" w:rsidR="00D124CA" w:rsidRPr="00D124CA" w:rsidRDefault="00D124CA" w:rsidP="00D124CA">
      <w:pPr>
        <w:pStyle w:val="NoSpacing"/>
        <w:spacing w:line="360" w:lineRule="auto"/>
        <w:rPr>
          <w:rFonts w:cs="Times New Roman"/>
          <w:i/>
          <w:iCs/>
          <w:szCs w:val="24"/>
        </w:rPr>
      </w:pPr>
      <w:r w:rsidRPr="00D124CA">
        <w:rPr>
          <w:rFonts w:cs="Times New Roman"/>
          <w:i/>
          <w:iCs/>
          <w:szCs w:val="24"/>
          <w:vertAlign w:val="superscript"/>
        </w:rPr>
        <w:t>3</w:t>
      </w:r>
      <w:r w:rsidRPr="00D124CA">
        <w:rPr>
          <w:rFonts w:cs="Times New Roman"/>
          <w:i/>
          <w:iCs/>
          <w:szCs w:val="24"/>
        </w:rPr>
        <w:t>Department of Psychology, Institute of Psychiatry, Psychology &amp; Neuroscience, King’s College London, U.K.</w:t>
      </w:r>
    </w:p>
    <w:p w14:paraId="50DF6E3A" w14:textId="77777777" w:rsidR="002B5935" w:rsidRPr="002B5935" w:rsidRDefault="002B5935" w:rsidP="002B5935">
      <w:pPr>
        <w:pStyle w:val="NoSpacing"/>
        <w:spacing w:line="360" w:lineRule="auto"/>
        <w:rPr>
          <w:rFonts w:cs="Times New Roman"/>
          <w:i/>
          <w:iCs/>
          <w:szCs w:val="24"/>
        </w:rPr>
      </w:pPr>
    </w:p>
    <w:p w14:paraId="2A66F652" w14:textId="07839DA9" w:rsidR="005807AA" w:rsidRDefault="005807AA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soccer, skilled players frequently scan their environment to identify nearby opponents, teammates, and potential passing options (Pokolm et al., 2022). </w:t>
      </w:r>
      <w:r w:rsidR="00023C38"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Higher frequencies of </w:t>
      </w:r>
      <w:r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visual exploratory activity, or ‘scanning’, has been linked to more successful actions with the ball in studies investigating </w:t>
      </w:r>
      <w:r w:rsidR="007E0EE3"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elite women’s soccer (Feist et al., 2025) and </w:t>
      </w:r>
      <w:r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>male soccer in the English Premier League (Jordet et al., 2020) and youth European tournaments (Aksum et al., 2021). Extended reality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technologies (XR) present new opportunities to measure sports performance i</w:t>
      </w:r>
      <w:r w:rsidR="009F26D5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immersive</w:t>
      </w:r>
      <w:r w:rsidR="000374AF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yet controlled environments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360-video provides a cost-effective method to study visual exploratory activity (VEA)</w:t>
      </w:r>
      <w:r w:rsidR="00023C38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players in consistent and controlled scenarios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Viewed through head-mounted displays (HMDs), 360-video can support understanding of how soccer players visually explore their surroundings</w:t>
      </w:r>
      <w:r w:rsidR="00023C38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 make decisions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This study aimed to i) assess the construct and face validity of a 360-video simulation for capturing VEA in women’s soccer and ii) understand players’ perceptions of acceptability and tolerability of the simulation. Eleven sub-elite women’s soccer players (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age = 22 years, 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SD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5) and eleven novices (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age = 20 years, 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SD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2) participated. Footage was recorded using a stationary GoPro 360 Max camera at eye height in six pitch locations. VEA was measured </w:t>
      </w:r>
      <w:r w:rsidRPr="002B5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the number of ‘scans’ away from the ball, prior to the ball arriving at the 360-video camera. 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Participants viewed 40 soccer videos in a HMD, with videos terminating following a pass 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from a teammate. Upon receiving the pass, participants </w:t>
      </w:r>
      <w:r w:rsidR="00023C38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simulated and 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verbalised an action response to continue play. Afterwards, participants completed an adapted presence questionnaire and answered open-ended questions on acceptability, physical fidelity, and tolerability of the task. Results supported construct and face validity, with findings indicating good acceptability, tolerability, and physical fidelity. Soccer players (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Mdn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0.31 scans/s) displayed significantly higher median scan frequencies than novices (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Mdn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0.06 scans/s, 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0.001) and generated significantly more verbal action responses per trial (</w:t>
      </w:r>
      <w:r w:rsidRPr="002B593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0.028). 360-video provides an alternative, low-cost solution compared to virtual reality </w:t>
      </w:r>
      <w:r w:rsidR="00431BF9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a more immersive </w:t>
      </w:r>
      <w:r w:rsidR="00397DA9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environment</w:t>
      </w:r>
      <w:r w:rsidR="00431BF9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6262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than video based footage</w:t>
      </w:r>
      <w:r w:rsidR="00397DA9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using computer screens</w:t>
      </w:r>
      <w:r w:rsidR="0016262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 visual-based soccer tasks. Practitioners should consider using first-person game footage as an individualised tool, incorporating additional contextual and perceptual factors to </w:t>
      </w:r>
      <w:r w:rsidR="00DB02F6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test and train</w:t>
      </w:r>
      <w:r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soccer players perceptual-cognitive skills. Further research is needed to investigate 360-video as a tool for training and testing VEA in women’s soccer.</w:t>
      </w:r>
      <w:r w:rsidR="00F663C8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5A44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More specifically</w:t>
      </w:r>
      <w:r w:rsidR="00F663C8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future research </w:t>
      </w:r>
      <w:r w:rsidR="00660FC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should </w:t>
      </w:r>
      <w:r w:rsidR="00D71954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endeavour</w:t>
      </w:r>
      <w:r w:rsidR="00660FC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</w:t>
      </w:r>
      <w:r w:rsidR="00E27BD0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C19E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understand the effect pitch location and sided game format </w:t>
      </w:r>
      <w:r w:rsidR="00660FC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 VEA in women’s soccer players. </w:t>
      </w:r>
      <w:r w:rsidR="007C19ED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27BD0" w:rsidRPr="002B59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F4416E9" w14:textId="522FE387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23887B0" w14:textId="1DBA3605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BB71172" w14:textId="0924FBAA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AD7538A" w14:textId="61ACCA78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CE048D1" w14:textId="035650FF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6DFCAA" w14:textId="1382B7D0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D266EE" w14:textId="5AC36D0F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63BC5EC" w14:textId="0E24B0AD" w:rsidR="00AC19E3" w:rsidRDefault="00AC19E3" w:rsidP="002B5935">
      <w:pPr>
        <w:spacing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09A8A55" w14:textId="528E6640" w:rsidR="00AC19E3" w:rsidRDefault="00AC19E3" w:rsidP="002B593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19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References</w:t>
      </w:r>
    </w:p>
    <w:p w14:paraId="56528D6B" w14:textId="77777777" w:rsidR="00AC19E3" w:rsidRPr="00CC665A" w:rsidRDefault="00AC19E3" w:rsidP="00AC19E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yperlink"/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Aksum, K. M., Pokolm, M., Bjørndal, C. T., Rein, R., Memmert, D., &amp; Jordet, G. (2021). Scanning activity in elite youth soccer players. </w:t>
      </w:r>
      <w:r w:rsidRPr="00CC665A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Journal of Sports Sciences</w:t>
      </w: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CC665A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39</w:t>
      </w: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(21), 2401–2410. </w:t>
      </w:r>
      <w:hyperlink r:id="rId4" w:history="1">
        <w:r w:rsidRPr="00CC665A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https://doi.org/10.1080/02640414.2021.1935115</w:t>
        </w:r>
      </w:hyperlink>
    </w:p>
    <w:p w14:paraId="38083749" w14:textId="77777777" w:rsidR="00AC19E3" w:rsidRPr="00CC665A" w:rsidRDefault="00AC19E3" w:rsidP="00AC19E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Feist, J., Datson, N., Runswick, O. R., Harkness-Armstrong, A., &amp; Pocock, C. (2024). Visual exploratory activity in elite women’s soccer: an analysis of the UEFA Women’s European Championship 2022. </w:t>
      </w:r>
      <w:r w:rsidRPr="00CC665A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International Journal of Sport and Exercise Psychology</w:t>
      </w: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1-23.</w:t>
      </w:r>
      <w:bookmarkStart w:id="1" w:name="_GoBack"/>
      <w:bookmarkEnd w:id="1"/>
    </w:p>
    <w:p w14:paraId="2E3DB733" w14:textId="77777777" w:rsidR="00AC19E3" w:rsidRPr="00CC665A" w:rsidRDefault="00AC19E3" w:rsidP="00AC19E3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Style w:val="Hyperlink"/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Jordet, G., Aksum, K. M., Pedersen, D. N., Walvekar, A., Trivedi, A., McCall, A., Ivarsson, A., &amp; Priestley, D. (2020). Scanning, Contextual Factors, and Association With Performance in English Premier League Soccerers: An Investigation Across a Season. </w:t>
      </w:r>
      <w:r w:rsidRPr="00CC665A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Frontiers in Psychology</w:t>
      </w: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Pr="00CC665A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11</w:t>
      </w:r>
      <w:r w:rsidRPr="00CC665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1–16.                             </w:t>
      </w:r>
      <w:hyperlink r:id="rId5" w:history="1">
        <w:r w:rsidRPr="00CC665A">
          <w:rPr>
            <w:rStyle w:val="Hyperlink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https://doi.org/10.3389/fpsyg.2020.553813</w:t>
        </w:r>
      </w:hyperlink>
    </w:p>
    <w:p w14:paraId="3BF58DED" w14:textId="1D28BD8E" w:rsidR="00AC19E3" w:rsidRPr="00AC19E3" w:rsidRDefault="00AC19E3" w:rsidP="00AC19E3">
      <w:pPr>
        <w:spacing w:line="360" w:lineRule="auto"/>
        <w:ind w:left="567" w:hanging="42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Pokolm</w:t>
      </w:r>
      <w:proofErr w:type="spellEnd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Rein, R., Müller, D., </w:t>
      </w:r>
      <w:proofErr w:type="spellStart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Nopp</w:t>
      </w:r>
      <w:proofErr w:type="spellEnd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S., </w:t>
      </w:r>
      <w:proofErr w:type="spellStart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Kirchhain</w:t>
      </w:r>
      <w:proofErr w:type="spellEnd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Aksum, K. M., ... &amp; </w:t>
      </w:r>
      <w:proofErr w:type="spellStart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Memmert</w:t>
      </w:r>
      <w:proofErr w:type="spellEnd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 (2022). </w:t>
      </w:r>
      <w:proofErr w:type="spellStart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Modeling</w:t>
      </w:r>
      <w:proofErr w:type="spellEnd"/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Players’ Scanning Activity in Football. </w:t>
      </w:r>
      <w:r w:rsidRPr="00CC6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Sport and Exercise Psychology</w:t>
      </w:r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CC66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44</w:t>
      </w:r>
      <w:r w:rsidRPr="00CC66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263-271. </w:t>
      </w:r>
      <w:hyperlink r:id="rId6" w:history="1">
        <w:r w:rsidRPr="00CC665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https://doi.org/10.1123/jsep.2020-0299</w:t>
        </w:r>
      </w:hyperlink>
    </w:p>
    <w:sectPr w:rsidR="00AC19E3" w:rsidRPr="00AC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AA"/>
    <w:rsid w:val="00023C38"/>
    <w:rsid w:val="00036B5C"/>
    <w:rsid w:val="000374AF"/>
    <w:rsid w:val="000D6791"/>
    <w:rsid w:val="00156711"/>
    <w:rsid w:val="0016262D"/>
    <w:rsid w:val="002B5935"/>
    <w:rsid w:val="003059B4"/>
    <w:rsid w:val="00385A44"/>
    <w:rsid w:val="00397DA9"/>
    <w:rsid w:val="00431BF9"/>
    <w:rsid w:val="005807AA"/>
    <w:rsid w:val="00581F6E"/>
    <w:rsid w:val="00656CB4"/>
    <w:rsid w:val="00660FCD"/>
    <w:rsid w:val="007C19ED"/>
    <w:rsid w:val="007E0EE3"/>
    <w:rsid w:val="007F3452"/>
    <w:rsid w:val="008902C5"/>
    <w:rsid w:val="009F26D5"/>
    <w:rsid w:val="00AC19E3"/>
    <w:rsid w:val="00D124CA"/>
    <w:rsid w:val="00D71954"/>
    <w:rsid w:val="00DB02F6"/>
    <w:rsid w:val="00E27BD0"/>
    <w:rsid w:val="00E27DDC"/>
    <w:rsid w:val="00E619AD"/>
    <w:rsid w:val="00F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24D1"/>
  <w15:chartTrackingRefBased/>
  <w15:docId w15:val="{3CD63E1C-A335-B045-B3E2-006AE06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7A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7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7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7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7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7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7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7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7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0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7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0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7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0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7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07A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023C3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3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C3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38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C19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23/jsep.2020-0299" TargetMode="External"/><Relationship Id="rId5" Type="http://schemas.openxmlformats.org/officeDocument/2006/relationships/hyperlink" Target="https://doi.org/10.3389/fpsyg.2020.553813" TargetMode="External"/><Relationship Id="rId4" Type="http://schemas.openxmlformats.org/officeDocument/2006/relationships/hyperlink" Target="https://doi.org/10.1080/02640414.2021.1935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Feist</dc:creator>
  <cp:keywords/>
  <dc:description/>
  <cp:lastModifiedBy>James Feist</cp:lastModifiedBy>
  <cp:revision>24</cp:revision>
  <dcterms:created xsi:type="dcterms:W3CDTF">2025-04-29T11:44:00Z</dcterms:created>
  <dcterms:modified xsi:type="dcterms:W3CDTF">2025-09-16T11:07:00Z</dcterms:modified>
</cp:coreProperties>
</file>