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37A27" w14:textId="614800EB" w:rsidR="00D0601F" w:rsidRPr="00D0601F" w:rsidRDefault="00D0601F" w:rsidP="005A62CC">
      <w:pPr>
        <w:tabs>
          <w:tab w:val="left" w:pos="613"/>
        </w:tabs>
        <w:spacing w:line="360" w:lineRule="auto"/>
        <w:contextualSpacing/>
        <w:rPr>
          <w:rFonts w:ascii="Times New Roman" w:eastAsia="Calibri" w:hAnsi="Times New Roman" w:cs="Times New Roman"/>
          <w:sz w:val="24"/>
          <w:szCs w:val="24"/>
        </w:rPr>
        <w:sectPr w:rsidR="00D0601F" w:rsidRPr="00D0601F">
          <w:footerReference w:type="default" r:id="rId11"/>
          <w:footnotePr>
            <w:numRestart w:val="eachSect"/>
          </w:footnotePr>
          <w:endnotePr>
            <w:numFmt w:val="decimal"/>
          </w:endnotePr>
          <w:pgSz w:w="11906" w:h="16838"/>
          <w:pgMar w:top="1440" w:right="1440" w:bottom="1440" w:left="1440" w:header="708" w:footer="708" w:gutter="0"/>
          <w:cols w:space="708"/>
          <w:docGrid w:linePitch="360"/>
        </w:sectPr>
      </w:pPr>
    </w:p>
    <w:p w14:paraId="0AF45588" w14:textId="5F806171" w:rsidR="004047D3" w:rsidRDefault="004047D3" w:rsidP="005A62CC">
      <w:pPr>
        <w:spacing w:line="360" w:lineRule="auto"/>
        <w:contextualSpacing/>
        <w:jc w:val="both"/>
        <w:rPr>
          <w:rFonts w:ascii="Times New Roman" w:eastAsia="Calibri" w:hAnsi="Times New Roman" w:cs="Times New Roman"/>
          <w:b/>
          <w:bCs/>
          <w:sz w:val="24"/>
          <w:szCs w:val="24"/>
        </w:rPr>
      </w:pPr>
      <w:r w:rsidRPr="004812EB">
        <w:rPr>
          <w:rFonts w:ascii="Times New Roman" w:eastAsia="Calibri" w:hAnsi="Times New Roman" w:cs="Times New Roman"/>
          <w:b/>
          <w:bCs/>
          <w:sz w:val="24"/>
          <w:szCs w:val="24"/>
        </w:rPr>
        <w:t>Introduction</w:t>
      </w:r>
    </w:p>
    <w:p w14:paraId="4470470E" w14:textId="77777777" w:rsidR="00421046" w:rsidRDefault="00421046" w:rsidP="005A62CC">
      <w:pPr>
        <w:spacing w:line="360" w:lineRule="auto"/>
        <w:contextualSpacing/>
        <w:jc w:val="both"/>
        <w:rPr>
          <w:rFonts w:ascii="Times New Roman" w:eastAsia="Calibri" w:hAnsi="Times New Roman" w:cs="Times New Roman"/>
          <w:b/>
          <w:bCs/>
          <w:sz w:val="24"/>
          <w:szCs w:val="24"/>
        </w:rPr>
      </w:pPr>
    </w:p>
    <w:p w14:paraId="43B94A00" w14:textId="0C9F636B" w:rsidR="004047D3" w:rsidRDefault="004047D3" w:rsidP="005A62CC">
      <w:pPr>
        <w:spacing w:line="360" w:lineRule="auto"/>
        <w:contextualSpacing/>
        <w:jc w:val="both"/>
        <w:rPr>
          <w:rFonts w:ascii="Times New Roman" w:eastAsia="Calibri" w:hAnsi="Times New Roman" w:cs="Times New Roman"/>
          <w:sz w:val="24"/>
          <w:szCs w:val="24"/>
        </w:rPr>
      </w:pPr>
      <w:r w:rsidRPr="00B212A8">
        <w:rPr>
          <w:rFonts w:ascii="Times New Roman" w:eastAsia="Calibri" w:hAnsi="Times New Roman" w:cs="Times New Roman"/>
          <w:sz w:val="24"/>
          <w:szCs w:val="24"/>
        </w:rPr>
        <w:t>Voluntariness</w:t>
      </w:r>
      <w:r>
        <w:rPr>
          <w:rFonts w:ascii="Times New Roman" w:eastAsia="Calibri" w:hAnsi="Times New Roman" w:cs="Times New Roman"/>
          <w:sz w:val="24"/>
          <w:szCs w:val="24"/>
        </w:rPr>
        <w:t xml:space="preserve"> is an important principle that appears regularly in the discourse of criminal </w:t>
      </w:r>
      <w:r w:rsidR="00B12774">
        <w:rPr>
          <w:rFonts w:ascii="Times New Roman" w:eastAsia="Calibri" w:hAnsi="Times New Roman" w:cs="Times New Roman"/>
          <w:sz w:val="24"/>
          <w:szCs w:val="24"/>
        </w:rPr>
        <w:t>law,</w:t>
      </w:r>
      <w:r w:rsidR="0003313A">
        <w:rPr>
          <w:rFonts w:ascii="Times New Roman" w:eastAsia="Calibri" w:hAnsi="Times New Roman" w:cs="Times New Roman"/>
          <w:sz w:val="24"/>
          <w:szCs w:val="24"/>
        </w:rPr>
        <w:t xml:space="preserve"> but </w:t>
      </w:r>
      <w:r w:rsidR="00813832">
        <w:rPr>
          <w:rFonts w:ascii="Times New Roman" w:eastAsia="Calibri" w:hAnsi="Times New Roman" w:cs="Times New Roman"/>
          <w:sz w:val="24"/>
          <w:szCs w:val="24"/>
        </w:rPr>
        <w:t xml:space="preserve">its definition </w:t>
      </w:r>
      <w:r w:rsidR="00FE6FE9">
        <w:rPr>
          <w:rFonts w:ascii="Times New Roman" w:eastAsia="Calibri" w:hAnsi="Times New Roman" w:cs="Times New Roman"/>
          <w:sz w:val="24"/>
          <w:szCs w:val="24"/>
        </w:rPr>
        <w:t>remain</w:t>
      </w:r>
      <w:r w:rsidR="00BA6677">
        <w:rPr>
          <w:rFonts w:ascii="Times New Roman" w:eastAsia="Calibri" w:hAnsi="Times New Roman" w:cs="Times New Roman"/>
          <w:sz w:val="24"/>
          <w:szCs w:val="24"/>
        </w:rPr>
        <w:t>s</w:t>
      </w:r>
      <w:r w:rsidR="00FE6FE9">
        <w:rPr>
          <w:rFonts w:ascii="Times New Roman" w:eastAsia="Calibri" w:hAnsi="Times New Roman" w:cs="Times New Roman"/>
          <w:sz w:val="24"/>
          <w:szCs w:val="24"/>
        </w:rPr>
        <w:t xml:space="preserve"> </w:t>
      </w:r>
      <w:r w:rsidR="00F313E0">
        <w:rPr>
          <w:rFonts w:ascii="Times New Roman" w:eastAsia="Calibri" w:hAnsi="Times New Roman" w:cs="Times New Roman"/>
          <w:sz w:val="24"/>
          <w:szCs w:val="24"/>
        </w:rPr>
        <w:t>ambiguous</w:t>
      </w:r>
      <w:r>
        <w:rPr>
          <w:rFonts w:ascii="Times New Roman" w:eastAsia="Calibri" w:hAnsi="Times New Roman" w:cs="Times New Roman"/>
          <w:sz w:val="24"/>
          <w:szCs w:val="24"/>
        </w:rPr>
        <w:t>.</w:t>
      </w:r>
      <w:r w:rsidR="00B67D83" w:rsidRPr="00326BDA">
        <w:rPr>
          <w:rStyle w:val="EndnoteReference"/>
          <w:rFonts w:ascii="Times New Roman" w:eastAsia="Calibri" w:hAnsi="Times New Roman" w:cs="Times New Roman"/>
          <w:sz w:val="24"/>
          <w:szCs w:val="24"/>
        </w:rPr>
        <w:endnoteReference w:id="2"/>
      </w:r>
      <w:r w:rsidR="007946EE">
        <w:rPr>
          <w:rFonts w:ascii="Times New Roman" w:eastAsia="Calibri" w:hAnsi="Times New Roman" w:cs="Times New Roman"/>
          <w:sz w:val="24"/>
          <w:szCs w:val="24"/>
        </w:rPr>
        <w:t xml:space="preserve">  Voluntariness is essential for determining criminal liability as it provides a means to distinguish between those who should be held responsible for their actions and those who are not (as) blameworthy</w:t>
      </w:r>
      <w:r w:rsidR="007946EE" w:rsidRPr="00C44D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For example: </w:t>
      </w:r>
      <w:r w:rsidR="00156FDB">
        <w:rPr>
          <w:rFonts w:ascii="Times New Roman" w:eastAsia="Calibri" w:hAnsi="Times New Roman" w:cs="Times New Roman"/>
          <w:sz w:val="24"/>
          <w:szCs w:val="24"/>
        </w:rPr>
        <w:t>T</w:t>
      </w:r>
      <w:r>
        <w:rPr>
          <w:rFonts w:ascii="Times New Roman" w:eastAsia="Calibri" w:hAnsi="Times New Roman" w:cs="Times New Roman"/>
          <w:sz w:val="24"/>
          <w:szCs w:val="24"/>
        </w:rPr>
        <w:t>he question of whether a defendant has become voluntarily or involuntarily intoxicated is central to the way the defence of intoxication operates</w:t>
      </w:r>
      <w:r w:rsidR="00344FB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56FDB">
        <w:rPr>
          <w:rFonts w:ascii="Times New Roman" w:eastAsia="Calibri" w:hAnsi="Times New Roman" w:cs="Times New Roman"/>
          <w:sz w:val="24"/>
          <w:szCs w:val="24"/>
        </w:rPr>
        <w:t>M</w:t>
      </w:r>
      <w:r>
        <w:rPr>
          <w:rFonts w:ascii="Times New Roman" w:eastAsia="Calibri" w:hAnsi="Times New Roman" w:cs="Times New Roman"/>
          <w:sz w:val="24"/>
          <w:szCs w:val="24"/>
        </w:rPr>
        <w:t xml:space="preserve">anslaughter can be categorised as voluntary when the defendant has the </w:t>
      </w:r>
      <w:r w:rsidRPr="004307A3">
        <w:rPr>
          <w:rFonts w:ascii="Times New Roman" w:eastAsia="Calibri" w:hAnsi="Times New Roman" w:cs="Times New Roman"/>
          <w:i/>
          <w:iCs/>
          <w:sz w:val="24"/>
          <w:szCs w:val="24"/>
        </w:rPr>
        <w:t>mens rea</w:t>
      </w:r>
      <w:r>
        <w:rPr>
          <w:rFonts w:ascii="Times New Roman" w:eastAsia="Calibri" w:hAnsi="Times New Roman" w:cs="Times New Roman"/>
          <w:sz w:val="24"/>
          <w:szCs w:val="24"/>
        </w:rPr>
        <w:t xml:space="preserve"> for murder but has a special partial defence, or involuntarily when the defendant has killed without malice aforethought.  </w:t>
      </w:r>
      <w:r w:rsidR="005B47B7">
        <w:rPr>
          <w:rFonts w:ascii="Times New Roman" w:eastAsia="Calibri" w:hAnsi="Times New Roman" w:cs="Times New Roman"/>
          <w:sz w:val="24"/>
          <w:szCs w:val="24"/>
        </w:rPr>
        <w:t>Voluntariness</w:t>
      </w:r>
      <w:r w:rsidRPr="00C44D22">
        <w:rPr>
          <w:rFonts w:ascii="Times New Roman" w:eastAsia="Calibri" w:hAnsi="Times New Roman" w:cs="Times New Roman"/>
          <w:sz w:val="24"/>
          <w:szCs w:val="24"/>
        </w:rPr>
        <w:t xml:space="preserve"> has particular relevance when considering issues of causation, as Hart and Honore state,</w:t>
      </w:r>
    </w:p>
    <w:p w14:paraId="6A812222" w14:textId="77777777" w:rsidR="005A62CC" w:rsidRPr="00C44D22" w:rsidRDefault="005A62CC" w:rsidP="005A62CC">
      <w:pPr>
        <w:spacing w:line="360" w:lineRule="auto"/>
        <w:contextualSpacing/>
        <w:jc w:val="both"/>
        <w:rPr>
          <w:rFonts w:ascii="Times New Roman" w:eastAsia="Calibri" w:hAnsi="Times New Roman" w:cs="Times New Roman"/>
          <w:sz w:val="24"/>
          <w:szCs w:val="24"/>
        </w:rPr>
      </w:pPr>
    </w:p>
    <w:p w14:paraId="31CEBABD" w14:textId="5F5CB4F9" w:rsidR="004047D3" w:rsidRDefault="000354C6" w:rsidP="005A62CC">
      <w:pPr>
        <w:spacing w:line="360" w:lineRule="auto"/>
        <w:ind w:left="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4047D3" w:rsidRPr="00ED5D8D">
        <w:rPr>
          <w:rFonts w:ascii="Times New Roman" w:hAnsi="Times New Roman" w:cs="Times New Roman"/>
          <w:sz w:val="24"/>
          <w:szCs w:val="24"/>
          <w:shd w:val="clear" w:color="auto" w:fill="FFFFFF"/>
        </w:rPr>
        <w:t>voluntary human action … has a special place in causal inquiries … because, when the question is how far back a cause shall be traced through a number of intervening causes, such a voluntary action is often regarded both as a limit and also as still the cause</w:t>
      </w:r>
      <w:r w:rsidR="00E03B1A">
        <w:rPr>
          <w:rFonts w:ascii="Times New Roman" w:hAnsi="Times New Roman" w:cs="Times New Roman"/>
          <w:sz w:val="24"/>
          <w:szCs w:val="24"/>
          <w:shd w:val="clear" w:color="auto" w:fill="FFFFFF"/>
        </w:rPr>
        <w:t>..</w:t>
      </w:r>
      <w:r w:rsidR="004047D3" w:rsidRPr="00ED5D8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4047D3" w:rsidRPr="00ED5D8D">
        <w:rPr>
          <w:rStyle w:val="EndnoteReference"/>
          <w:rFonts w:ascii="Times New Roman" w:hAnsi="Times New Roman" w:cs="Times New Roman"/>
          <w:sz w:val="24"/>
          <w:szCs w:val="24"/>
          <w:shd w:val="clear" w:color="auto" w:fill="FFFFFF"/>
        </w:rPr>
        <w:endnoteReference w:id="3"/>
      </w:r>
    </w:p>
    <w:p w14:paraId="7080E8C2" w14:textId="77777777" w:rsidR="005A62CC" w:rsidRPr="00ED5D8D" w:rsidRDefault="005A62CC" w:rsidP="005A62CC">
      <w:pPr>
        <w:spacing w:line="360" w:lineRule="auto"/>
        <w:ind w:left="720"/>
        <w:contextualSpacing/>
        <w:jc w:val="both"/>
        <w:rPr>
          <w:rFonts w:ascii="Times New Roman" w:hAnsi="Times New Roman" w:cs="Times New Roman"/>
          <w:sz w:val="24"/>
          <w:szCs w:val="24"/>
          <w:shd w:val="clear" w:color="auto" w:fill="FFFFFF"/>
        </w:rPr>
      </w:pPr>
    </w:p>
    <w:p w14:paraId="2DDD639F" w14:textId="766D841B" w:rsidR="004047D3" w:rsidRDefault="004047D3" w:rsidP="005A62CC">
      <w:pPr>
        <w:spacing w:line="360" w:lineRule="auto"/>
        <w:contextualSpacing/>
        <w:jc w:val="both"/>
        <w:rPr>
          <w:rFonts w:ascii="Times New Roman" w:eastAsia="Calibri" w:hAnsi="Times New Roman" w:cs="Times New Roman"/>
          <w:i/>
          <w:sz w:val="24"/>
          <w:szCs w:val="24"/>
        </w:rPr>
      </w:pPr>
      <w:r w:rsidRPr="004A0848">
        <w:rPr>
          <w:rFonts w:ascii="Times New Roman" w:eastAsia="Calibri" w:hAnsi="Times New Roman" w:cs="Times New Roman"/>
          <w:sz w:val="24"/>
          <w:szCs w:val="24"/>
        </w:rPr>
        <w:t xml:space="preserve">The recent case of </w:t>
      </w:r>
      <w:r w:rsidRPr="004A0848">
        <w:rPr>
          <w:rFonts w:ascii="Times New Roman" w:eastAsia="Calibri" w:hAnsi="Times New Roman" w:cs="Times New Roman"/>
          <w:i/>
          <w:sz w:val="24"/>
          <w:szCs w:val="24"/>
        </w:rPr>
        <w:t>R v Field</w:t>
      </w:r>
      <w:r w:rsidRPr="004A0848">
        <w:rPr>
          <w:rStyle w:val="EndnoteReference"/>
          <w:rFonts w:ascii="Times New Roman" w:eastAsia="Calibri" w:hAnsi="Times New Roman" w:cs="Times New Roman"/>
          <w:sz w:val="24"/>
          <w:szCs w:val="24"/>
        </w:rPr>
        <w:endnoteReference w:id="4"/>
      </w:r>
      <w:r w:rsidRPr="004A0848">
        <w:rPr>
          <w:rFonts w:ascii="Times New Roman" w:eastAsia="Calibri" w:hAnsi="Times New Roman" w:cs="Times New Roman"/>
          <w:sz w:val="24"/>
          <w:szCs w:val="24"/>
        </w:rPr>
        <w:t xml:space="preserve"> has once again brought to the fore this fundamental principle of criminal law</w:t>
      </w:r>
      <w:r w:rsidR="001B2540">
        <w:rPr>
          <w:rFonts w:ascii="Times New Roman" w:eastAsia="Calibri" w:hAnsi="Times New Roman" w:cs="Times New Roman"/>
          <w:sz w:val="24"/>
          <w:szCs w:val="24"/>
        </w:rPr>
        <w:t>; causation.  In other words,</w:t>
      </w:r>
      <w:r w:rsidRPr="004A0848">
        <w:rPr>
          <w:rFonts w:ascii="Times New Roman" w:eastAsia="Calibri" w:hAnsi="Times New Roman" w:cs="Times New Roman"/>
          <w:sz w:val="24"/>
          <w:szCs w:val="24"/>
        </w:rPr>
        <w:t xml:space="preserve"> that before a person can be found guilty of a crime it must be proved that they </w:t>
      </w:r>
      <w:r w:rsidR="001B2540" w:rsidRPr="004A0848">
        <w:rPr>
          <w:rFonts w:ascii="Times New Roman" w:eastAsia="Calibri" w:hAnsi="Times New Roman" w:cs="Times New Roman"/>
          <w:sz w:val="24"/>
          <w:szCs w:val="24"/>
        </w:rPr>
        <w:t>c</w:t>
      </w:r>
      <w:r w:rsidR="001B2540">
        <w:rPr>
          <w:rFonts w:ascii="Times New Roman" w:eastAsia="Calibri" w:hAnsi="Times New Roman" w:cs="Times New Roman"/>
          <w:sz w:val="24"/>
          <w:szCs w:val="24"/>
        </w:rPr>
        <w:t>aused</w:t>
      </w:r>
      <w:r w:rsidRPr="004A0848">
        <w:rPr>
          <w:rFonts w:ascii="Times New Roman" w:eastAsia="Calibri" w:hAnsi="Times New Roman" w:cs="Times New Roman"/>
          <w:sz w:val="24"/>
          <w:szCs w:val="24"/>
        </w:rPr>
        <w:t xml:space="preserve"> the required </w:t>
      </w:r>
      <w:r w:rsidRPr="004A0848">
        <w:rPr>
          <w:rFonts w:ascii="Times New Roman" w:eastAsia="Calibri" w:hAnsi="Times New Roman" w:cs="Times New Roman"/>
          <w:i/>
          <w:sz w:val="24"/>
          <w:szCs w:val="24"/>
        </w:rPr>
        <w:t>actus reus</w:t>
      </w:r>
      <w:r w:rsidRPr="004A0848">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A0848">
        <w:rPr>
          <w:rFonts w:ascii="Times New Roman" w:eastAsia="Calibri" w:hAnsi="Times New Roman" w:cs="Times New Roman"/>
          <w:sz w:val="24"/>
          <w:szCs w:val="24"/>
        </w:rPr>
        <w:t xml:space="preserve">with the accompanying </w:t>
      </w:r>
      <w:r w:rsidRPr="004A0848">
        <w:rPr>
          <w:rFonts w:ascii="Times New Roman" w:eastAsia="Calibri" w:hAnsi="Times New Roman" w:cs="Times New Roman"/>
          <w:i/>
          <w:sz w:val="24"/>
          <w:szCs w:val="24"/>
        </w:rPr>
        <w:t>mens rea</w:t>
      </w:r>
      <w:r>
        <w:rPr>
          <w:rFonts w:ascii="Times New Roman" w:eastAsia="Calibri" w:hAnsi="Times New Roman" w:cs="Times New Roman"/>
          <w:sz w:val="24"/>
          <w:szCs w:val="24"/>
        </w:rPr>
        <w:t>)</w:t>
      </w:r>
      <w:r w:rsidRPr="004A0848">
        <w:rPr>
          <w:rFonts w:ascii="Times New Roman" w:eastAsia="Calibri" w:hAnsi="Times New Roman" w:cs="Times New Roman"/>
          <w:sz w:val="24"/>
          <w:szCs w:val="24"/>
        </w:rPr>
        <w:t xml:space="preserve"> for the crime with which they are charged</w:t>
      </w:r>
      <w:r w:rsidRPr="004A0848">
        <w:rPr>
          <w:rFonts w:ascii="Times New Roman" w:eastAsia="Calibri" w:hAnsi="Times New Roman" w:cs="Times New Roman"/>
          <w:i/>
          <w:sz w:val="24"/>
          <w:szCs w:val="24"/>
        </w:rPr>
        <w:t xml:space="preserve">.  </w:t>
      </w:r>
    </w:p>
    <w:p w14:paraId="407AB751" w14:textId="77777777" w:rsidR="005A62CC" w:rsidRPr="004A0848" w:rsidRDefault="005A62CC" w:rsidP="005A62CC">
      <w:pPr>
        <w:spacing w:line="360" w:lineRule="auto"/>
        <w:contextualSpacing/>
        <w:jc w:val="both"/>
        <w:rPr>
          <w:rFonts w:ascii="Times New Roman" w:eastAsia="Calibri" w:hAnsi="Times New Roman" w:cs="Times New Roman"/>
          <w:i/>
          <w:sz w:val="24"/>
          <w:szCs w:val="24"/>
        </w:rPr>
      </w:pPr>
    </w:p>
    <w:p w14:paraId="32B1FE3F" w14:textId="4E7A2D2E" w:rsidR="004047D3" w:rsidRPr="001C4D51" w:rsidRDefault="004047D3" w:rsidP="005A62CC">
      <w:pPr>
        <w:spacing w:line="360" w:lineRule="auto"/>
        <w:contextualSpacing/>
        <w:jc w:val="both"/>
        <w:rPr>
          <w:rFonts w:ascii="Times New Roman" w:eastAsia="Calibri" w:hAnsi="Times New Roman" w:cs="Times New Roman"/>
          <w:sz w:val="24"/>
          <w:szCs w:val="24"/>
        </w:rPr>
      </w:pPr>
      <w:r w:rsidRPr="00326BDA">
        <w:rPr>
          <w:rFonts w:ascii="Times New Roman" w:eastAsia="Calibri" w:hAnsi="Times New Roman" w:cs="Times New Roman"/>
          <w:sz w:val="24"/>
          <w:szCs w:val="24"/>
        </w:rPr>
        <w:t>This article will explore</w:t>
      </w:r>
      <w:r w:rsidR="00E805F4">
        <w:rPr>
          <w:rFonts w:ascii="Times New Roman" w:eastAsia="Calibri" w:hAnsi="Times New Roman" w:cs="Times New Roman"/>
          <w:sz w:val="24"/>
          <w:szCs w:val="24"/>
        </w:rPr>
        <w:t xml:space="preserve"> </w:t>
      </w:r>
      <w:r w:rsidRPr="00326BDA">
        <w:rPr>
          <w:rFonts w:ascii="Times New Roman" w:eastAsia="Calibri" w:hAnsi="Times New Roman" w:cs="Times New Roman"/>
          <w:sz w:val="24"/>
          <w:szCs w:val="24"/>
        </w:rPr>
        <w:t xml:space="preserve">when the victim’s voluntary actions can be </w:t>
      </w:r>
      <w:r>
        <w:rPr>
          <w:rFonts w:ascii="Times New Roman" w:eastAsia="Calibri" w:hAnsi="Times New Roman" w:cs="Times New Roman"/>
          <w:sz w:val="24"/>
          <w:szCs w:val="24"/>
        </w:rPr>
        <w:t>said</w:t>
      </w:r>
      <w:r w:rsidRPr="00326BDA">
        <w:rPr>
          <w:rFonts w:ascii="Times New Roman" w:eastAsia="Calibri" w:hAnsi="Times New Roman" w:cs="Times New Roman"/>
          <w:sz w:val="24"/>
          <w:szCs w:val="24"/>
        </w:rPr>
        <w:t xml:space="preserve"> to have broken the chain of causation in establishing the defendant as the cause</w:t>
      </w:r>
      <w:r>
        <w:rPr>
          <w:rFonts w:ascii="Times New Roman" w:eastAsia="Calibri" w:hAnsi="Times New Roman" w:cs="Times New Roman"/>
          <w:sz w:val="24"/>
          <w:szCs w:val="24"/>
        </w:rPr>
        <w:t xml:space="preserve"> of the victim’s injuries</w:t>
      </w:r>
      <w:r w:rsidRPr="00326BDA">
        <w:rPr>
          <w:rFonts w:ascii="Times New Roman" w:eastAsia="Calibri" w:hAnsi="Times New Roman" w:cs="Times New Roman"/>
          <w:sz w:val="24"/>
          <w:szCs w:val="24"/>
        </w:rPr>
        <w:t>.  Whilst this should appear easy to determine</w:t>
      </w:r>
      <w:r>
        <w:rPr>
          <w:rFonts w:ascii="Times New Roman" w:eastAsia="Calibri" w:hAnsi="Times New Roman" w:cs="Times New Roman"/>
          <w:sz w:val="24"/>
          <w:szCs w:val="24"/>
        </w:rPr>
        <w:t>,</w:t>
      </w:r>
      <w:r w:rsidRPr="00326BDA">
        <w:rPr>
          <w:rFonts w:ascii="Times New Roman" w:eastAsia="Calibri" w:hAnsi="Times New Roman" w:cs="Times New Roman"/>
          <w:sz w:val="24"/>
          <w:szCs w:val="24"/>
        </w:rPr>
        <w:t xml:space="preserve"> this article will show from</w:t>
      </w:r>
      <w:r w:rsidR="001B2540">
        <w:rPr>
          <w:rFonts w:ascii="Times New Roman" w:eastAsia="Calibri" w:hAnsi="Times New Roman" w:cs="Times New Roman"/>
          <w:sz w:val="24"/>
          <w:szCs w:val="24"/>
        </w:rPr>
        <w:t xml:space="preserve"> the</w:t>
      </w:r>
      <w:r w:rsidRPr="00326BDA">
        <w:rPr>
          <w:rFonts w:ascii="Times New Roman" w:eastAsia="Calibri" w:hAnsi="Times New Roman" w:cs="Times New Roman"/>
          <w:sz w:val="24"/>
          <w:szCs w:val="24"/>
        </w:rPr>
        <w:t xml:space="preserve"> case decisions</w:t>
      </w:r>
      <w:r w:rsidR="00D76BA6">
        <w:rPr>
          <w:rFonts w:ascii="Times New Roman" w:eastAsia="Calibri" w:hAnsi="Times New Roman" w:cs="Times New Roman"/>
          <w:sz w:val="24"/>
          <w:szCs w:val="24"/>
        </w:rPr>
        <w:t xml:space="preserve"> of </w:t>
      </w:r>
      <w:r w:rsidR="00E3439C">
        <w:rPr>
          <w:rFonts w:ascii="Times New Roman" w:eastAsia="Calibri" w:hAnsi="Times New Roman" w:cs="Times New Roman"/>
          <w:i/>
          <w:iCs/>
          <w:sz w:val="24"/>
          <w:szCs w:val="24"/>
        </w:rPr>
        <w:t xml:space="preserve">R v </w:t>
      </w:r>
      <w:r w:rsidR="00D76BA6">
        <w:rPr>
          <w:rFonts w:ascii="Times New Roman" w:eastAsia="Calibri" w:hAnsi="Times New Roman" w:cs="Times New Roman"/>
          <w:i/>
          <w:iCs/>
          <w:sz w:val="24"/>
          <w:szCs w:val="24"/>
        </w:rPr>
        <w:t>Wallace</w:t>
      </w:r>
      <w:r w:rsidR="00E3439C" w:rsidRPr="00C757B4">
        <w:rPr>
          <w:rStyle w:val="EndnoteReference"/>
          <w:rFonts w:ascii="Times New Roman" w:eastAsia="Calibri" w:hAnsi="Times New Roman" w:cs="Times New Roman"/>
          <w:sz w:val="24"/>
          <w:szCs w:val="24"/>
        </w:rPr>
        <w:endnoteReference w:id="5"/>
      </w:r>
      <w:r w:rsidR="00D76BA6">
        <w:rPr>
          <w:rFonts w:ascii="Times New Roman" w:eastAsia="Calibri" w:hAnsi="Times New Roman" w:cs="Times New Roman"/>
          <w:i/>
          <w:iCs/>
          <w:sz w:val="24"/>
          <w:szCs w:val="24"/>
        </w:rPr>
        <w:t xml:space="preserve"> </w:t>
      </w:r>
      <w:r w:rsidR="00D76BA6">
        <w:rPr>
          <w:rFonts w:ascii="Times New Roman" w:eastAsia="Calibri" w:hAnsi="Times New Roman" w:cs="Times New Roman"/>
          <w:sz w:val="24"/>
          <w:szCs w:val="24"/>
        </w:rPr>
        <w:t xml:space="preserve">and </w:t>
      </w:r>
      <w:r w:rsidR="00045765">
        <w:rPr>
          <w:rFonts w:ascii="Times New Roman" w:eastAsia="Calibri" w:hAnsi="Times New Roman" w:cs="Times New Roman"/>
          <w:i/>
          <w:iCs/>
          <w:sz w:val="24"/>
          <w:szCs w:val="24"/>
        </w:rPr>
        <w:t xml:space="preserve">R v </w:t>
      </w:r>
      <w:r w:rsidR="00D76BA6">
        <w:rPr>
          <w:rFonts w:ascii="Times New Roman" w:eastAsia="Calibri" w:hAnsi="Times New Roman" w:cs="Times New Roman"/>
          <w:i/>
          <w:iCs/>
          <w:sz w:val="24"/>
          <w:szCs w:val="24"/>
        </w:rPr>
        <w:t>Field</w:t>
      </w:r>
      <w:r w:rsidR="00045765" w:rsidRPr="00C757B4">
        <w:rPr>
          <w:rStyle w:val="EndnoteReference"/>
          <w:rFonts w:ascii="Times New Roman" w:eastAsia="Calibri" w:hAnsi="Times New Roman" w:cs="Times New Roman"/>
          <w:sz w:val="24"/>
          <w:szCs w:val="24"/>
        </w:rPr>
        <w:endnoteReference w:id="6"/>
      </w:r>
      <w:r w:rsidRPr="00C757B4">
        <w:rPr>
          <w:rFonts w:ascii="Times New Roman" w:eastAsia="Calibri" w:hAnsi="Times New Roman" w:cs="Times New Roman"/>
          <w:sz w:val="24"/>
          <w:szCs w:val="24"/>
        </w:rPr>
        <w:t xml:space="preserve"> </w:t>
      </w:r>
      <w:r w:rsidRPr="00326BDA">
        <w:rPr>
          <w:rFonts w:ascii="Times New Roman" w:eastAsia="Calibri" w:hAnsi="Times New Roman" w:cs="Times New Roman"/>
          <w:sz w:val="24"/>
          <w:szCs w:val="24"/>
        </w:rPr>
        <w:t xml:space="preserve">that the opposite is true.  </w:t>
      </w:r>
      <w:r w:rsidR="00E805F4">
        <w:rPr>
          <w:rFonts w:ascii="Times New Roman" w:eastAsia="Calibri" w:hAnsi="Times New Roman" w:cs="Times New Roman"/>
          <w:sz w:val="24"/>
          <w:szCs w:val="24"/>
        </w:rPr>
        <w:t>T</w:t>
      </w:r>
      <w:r w:rsidRPr="00326BDA">
        <w:rPr>
          <w:rFonts w:ascii="Times New Roman" w:eastAsia="Calibri" w:hAnsi="Times New Roman" w:cs="Times New Roman"/>
          <w:sz w:val="24"/>
          <w:szCs w:val="24"/>
        </w:rPr>
        <w:t xml:space="preserve">his article will </w:t>
      </w:r>
      <w:r w:rsidR="00944A57">
        <w:rPr>
          <w:rFonts w:ascii="Times New Roman" w:eastAsia="Calibri" w:hAnsi="Times New Roman" w:cs="Times New Roman"/>
          <w:sz w:val="24"/>
          <w:szCs w:val="24"/>
        </w:rPr>
        <w:t xml:space="preserve">further </w:t>
      </w:r>
      <w:r w:rsidRPr="00326BDA">
        <w:rPr>
          <w:rFonts w:ascii="Times New Roman" w:eastAsia="Calibri" w:hAnsi="Times New Roman" w:cs="Times New Roman"/>
          <w:sz w:val="24"/>
          <w:szCs w:val="24"/>
        </w:rPr>
        <w:t xml:space="preserve">argue that the confusion caused by the way the issue of voluntariness was addressed in </w:t>
      </w:r>
      <w:r w:rsidR="001B2540">
        <w:rPr>
          <w:rFonts w:ascii="Times New Roman" w:eastAsia="Calibri" w:hAnsi="Times New Roman" w:cs="Times New Roman"/>
          <w:sz w:val="24"/>
          <w:szCs w:val="24"/>
        </w:rPr>
        <w:t xml:space="preserve">the </w:t>
      </w:r>
      <w:r w:rsidRPr="00326BDA">
        <w:rPr>
          <w:rFonts w:ascii="Times New Roman" w:eastAsia="Calibri" w:hAnsi="Times New Roman" w:cs="Times New Roman"/>
          <w:sz w:val="24"/>
          <w:szCs w:val="24"/>
        </w:rPr>
        <w:t xml:space="preserve">judgment of </w:t>
      </w:r>
      <w:r w:rsidRPr="00326BDA">
        <w:rPr>
          <w:rFonts w:ascii="Times New Roman" w:eastAsia="Calibri" w:hAnsi="Times New Roman" w:cs="Times New Roman"/>
          <w:i/>
          <w:sz w:val="24"/>
          <w:szCs w:val="24"/>
        </w:rPr>
        <w:t>R v Field</w:t>
      </w:r>
      <w:r w:rsidRPr="00326BDA">
        <w:rPr>
          <w:rFonts w:ascii="Times New Roman" w:eastAsia="Calibri" w:hAnsi="Times New Roman" w:cs="Times New Roman"/>
          <w:sz w:val="24"/>
          <w:szCs w:val="24"/>
        </w:rPr>
        <w:t xml:space="preserve"> could have been avoided.  This would have been achieved by applying </w:t>
      </w:r>
      <w:r w:rsidR="001B2540">
        <w:rPr>
          <w:rFonts w:ascii="Times New Roman" w:eastAsia="Calibri" w:hAnsi="Times New Roman" w:cs="Times New Roman"/>
          <w:sz w:val="24"/>
          <w:szCs w:val="24"/>
        </w:rPr>
        <w:t xml:space="preserve">the </w:t>
      </w:r>
      <w:r w:rsidRPr="00326BDA">
        <w:rPr>
          <w:rFonts w:ascii="Times New Roman" w:eastAsia="Calibri" w:hAnsi="Times New Roman" w:cs="Times New Roman"/>
          <w:sz w:val="24"/>
          <w:szCs w:val="24"/>
        </w:rPr>
        <w:t>established legal principles of omissions to determine whether the defendant had a duty to act</w:t>
      </w:r>
      <w:r>
        <w:rPr>
          <w:rFonts w:ascii="Times New Roman" w:eastAsia="Calibri" w:hAnsi="Times New Roman" w:cs="Times New Roman"/>
          <w:sz w:val="24"/>
          <w:szCs w:val="24"/>
        </w:rPr>
        <w:t>,</w:t>
      </w:r>
      <w:r w:rsidRPr="00326BDA">
        <w:rPr>
          <w:rFonts w:ascii="Times New Roman" w:eastAsia="Calibri" w:hAnsi="Times New Roman" w:cs="Times New Roman"/>
          <w:sz w:val="24"/>
          <w:szCs w:val="24"/>
        </w:rPr>
        <w:t xml:space="preserve"> and whether his failure to act breached this duty and caused the victim’s death, instead of considering if the defendant killed the victim with his supply of whisky.</w:t>
      </w:r>
    </w:p>
    <w:p w14:paraId="50336C20" w14:textId="5FC7E5A9" w:rsidR="004047D3" w:rsidRDefault="004047D3" w:rsidP="005A62CC">
      <w:pPr>
        <w:spacing w:line="360" w:lineRule="auto"/>
        <w:contextualSpacing/>
        <w:jc w:val="both"/>
        <w:rPr>
          <w:rFonts w:ascii="Times New Roman" w:eastAsia="Calibri" w:hAnsi="Times New Roman" w:cs="Times New Roman"/>
          <w:sz w:val="24"/>
          <w:szCs w:val="24"/>
        </w:rPr>
      </w:pPr>
    </w:p>
    <w:p w14:paraId="26B6DF54" w14:textId="1E2E8D48" w:rsidR="006A1E91" w:rsidRDefault="006A1E91" w:rsidP="006A1E91">
      <w:pPr>
        <w:pStyle w:val="ListParagraph"/>
        <w:numPr>
          <w:ilvl w:val="0"/>
          <w:numId w:val="4"/>
        </w:num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The Doctrine of </w:t>
      </w:r>
      <w:r w:rsidRPr="006A1E91">
        <w:rPr>
          <w:rFonts w:ascii="Times New Roman" w:eastAsia="Calibri" w:hAnsi="Times New Roman" w:cs="Times New Roman"/>
          <w:b/>
          <w:bCs/>
          <w:sz w:val="24"/>
          <w:szCs w:val="24"/>
        </w:rPr>
        <w:t>Causation</w:t>
      </w:r>
    </w:p>
    <w:p w14:paraId="647A42E3" w14:textId="77777777" w:rsidR="00586CFB" w:rsidRPr="00586CFB" w:rsidRDefault="00586CFB" w:rsidP="00586CFB">
      <w:pPr>
        <w:spacing w:line="360" w:lineRule="auto"/>
        <w:ind w:left="360"/>
        <w:jc w:val="both"/>
        <w:rPr>
          <w:rFonts w:ascii="Times New Roman" w:eastAsia="Calibri" w:hAnsi="Times New Roman" w:cs="Times New Roman"/>
          <w:b/>
          <w:bCs/>
          <w:sz w:val="24"/>
          <w:szCs w:val="24"/>
        </w:rPr>
      </w:pPr>
    </w:p>
    <w:p w14:paraId="23431736" w14:textId="361A9125" w:rsidR="00B12C6A" w:rsidRDefault="00837792" w:rsidP="005A62CC">
      <w:pPr>
        <w:spacing w:line="360" w:lineRule="auto"/>
        <w:jc w:val="both"/>
        <w:rPr>
          <w:rFonts w:ascii="Times New Roman" w:hAnsi="Times New Roman" w:cs="Times New Roman"/>
          <w:sz w:val="24"/>
          <w:szCs w:val="24"/>
        </w:rPr>
      </w:pPr>
      <w:r w:rsidRPr="006A1E91">
        <w:rPr>
          <w:rFonts w:ascii="Times New Roman" w:eastAsia="Calibri" w:hAnsi="Times New Roman" w:cs="Times New Roman"/>
          <w:sz w:val="24"/>
          <w:szCs w:val="24"/>
        </w:rPr>
        <w:t>In criminal law the traditional view is that before someone is convicted of a crime, and consequently punished, it must be established that they acted voluntarily in infringing the law.</w:t>
      </w:r>
      <w:r w:rsidRPr="004812EB">
        <w:rPr>
          <w:vertAlign w:val="superscript"/>
        </w:rPr>
        <w:endnoteReference w:id="7"/>
      </w:r>
      <w:r w:rsidRPr="006A1E91">
        <w:rPr>
          <w:rFonts w:ascii="Times New Roman" w:eastAsia="Calibri" w:hAnsi="Times New Roman" w:cs="Times New Roman"/>
          <w:sz w:val="24"/>
          <w:szCs w:val="24"/>
        </w:rPr>
        <w:t xml:space="preserve">  ‘M</w:t>
      </w:r>
      <w:r w:rsidRPr="006A1E91">
        <w:rPr>
          <w:rFonts w:ascii="Times New Roman" w:hAnsi="Times New Roman" w:cs="Times New Roman"/>
          <w:sz w:val="24"/>
          <w:szCs w:val="24"/>
        </w:rPr>
        <w:t>oralists and lawyers regard the individual’s will as the autonomous prime cause of his behaviour.’</w:t>
      </w:r>
      <w:r w:rsidRPr="00766430">
        <w:rPr>
          <w:rStyle w:val="EndnoteReference"/>
          <w:rFonts w:ascii="Times New Roman" w:hAnsi="Times New Roman" w:cs="Times New Roman"/>
          <w:sz w:val="24"/>
          <w:szCs w:val="24"/>
        </w:rPr>
        <w:endnoteReference w:id="8"/>
      </w:r>
      <w:r w:rsidRPr="006A1E91">
        <w:rPr>
          <w:rFonts w:ascii="Times New Roman" w:hAnsi="Times New Roman" w:cs="Times New Roman"/>
          <w:sz w:val="24"/>
          <w:szCs w:val="24"/>
        </w:rPr>
        <w:t xml:space="preserve">  Therefore, the way a person chooses to exercise his free-will in reference to established laws, or whether he has been free to make the choices he does, determines whether he has acted voluntarily and should be subject to the criminal law and the associated penalties.  As </w:t>
      </w:r>
      <w:r w:rsidRPr="006A1E91">
        <w:rPr>
          <w:rFonts w:ascii="Times New Roman" w:eastAsia="Calibri" w:hAnsi="Times New Roman" w:cs="Times New Roman"/>
          <w:sz w:val="24"/>
          <w:szCs w:val="24"/>
        </w:rPr>
        <w:t>Blackstone states, ‘punishments are only inflicted for the abuse of free-will’</w:t>
      </w:r>
      <w:r w:rsidRPr="004812EB">
        <w:rPr>
          <w:rStyle w:val="EndnoteReference"/>
          <w:rFonts w:ascii="Times New Roman" w:eastAsia="Calibri" w:hAnsi="Times New Roman" w:cs="Times New Roman"/>
          <w:sz w:val="24"/>
          <w:szCs w:val="24"/>
        </w:rPr>
        <w:endnoteReference w:id="9"/>
      </w:r>
      <w:r w:rsidRPr="006A1E91">
        <w:rPr>
          <w:rFonts w:ascii="Times New Roman" w:eastAsia="Calibri" w:hAnsi="Times New Roman" w:cs="Times New Roman"/>
          <w:sz w:val="24"/>
          <w:szCs w:val="24"/>
        </w:rPr>
        <w:t xml:space="preserve"> and punishment is not appropriate where the defendant acts without freewill.</w:t>
      </w:r>
      <w:r w:rsidRPr="004812EB">
        <w:rPr>
          <w:rStyle w:val="EndnoteReference"/>
          <w:rFonts w:ascii="Times New Roman" w:eastAsia="Calibri" w:hAnsi="Times New Roman" w:cs="Times New Roman"/>
          <w:sz w:val="24"/>
          <w:szCs w:val="24"/>
        </w:rPr>
        <w:endnoteReference w:id="10"/>
      </w:r>
      <w:r w:rsidRPr="006A1E91">
        <w:rPr>
          <w:rFonts w:ascii="Times New Roman" w:eastAsia="Calibri" w:hAnsi="Times New Roman" w:cs="Times New Roman"/>
          <w:sz w:val="24"/>
          <w:szCs w:val="24"/>
        </w:rPr>
        <w:t xml:space="preserve">  </w:t>
      </w:r>
      <w:r w:rsidR="005A62CC">
        <w:rPr>
          <w:rFonts w:ascii="Times New Roman" w:hAnsi="Times New Roman" w:cs="Times New Roman"/>
          <w:sz w:val="24"/>
          <w:szCs w:val="24"/>
        </w:rPr>
        <w:t>To establish</w:t>
      </w:r>
      <w:r w:rsidR="00371119">
        <w:rPr>
          <w:rFonts w:ascii="Times New Roman" w:hAnsi="Times New Roman" w:cs="Times New Roman"/>
          <w:sz w:val="24"/>
          <w:szCs w:val="24"/>
        </w:rPr>
        <w:t xml:space="preserve"> a defendant’s</w:t>
      </w:r>
      <w:r w:rsidR="005A62CC">
        <w:rPr>
          <w:rFonts w:ascii="Times New Roman" w:hAnsi="Times New Roman" w:cs="Times New Roman"/>
          <w:sz w:val="24"/>
          <w:szCs w:val="24"/>
        </w:rPr>
        <w:t xml:space="preserve"> criminal liability in result </w:t>
      </w:r>
      <w:r w:rsidR="00917576">
        <w:rPr>
          <w:rFonts w:ascii="Times New Roman" w:hAnsi="Times New Roman" w:cs="Times New Roman"/>
          <w:sz w:val="24"/>
          <w:szCs w:val="24"/>
        </w:rPr>
        <w:t>crimes</w:t>
      </w:r>
      <w:r w:rsidR="00B12C6A">
        <w:rPr>
          <w:rFonts w:ascii="Times New Roman" w:hAnsi="Times New Roman" w:cs="Times New Roman"/>
          <w:sz w:val="24"/>
          <w:szCs w:val="24"/>
        </w:rPr>
        <w:t xml:space="preserve"> it must be shown that</w:t>
      </w:r>
      <w:r w:rsidR="00010428" w:rsidRPr="005B534E">
        <w:rPr>
          <w:rFonts w:ascii="Times New Roman" w:hAnsi="Times New Roman" w:cs="Times New Roman"/>
          <w:sz w:val="24"/>
          <w:szCs w:val="24"/>
        </w:rPr>
        <w:t xml:space="preserve"> the defendant</w:t>
      </w:r>
      <w:r w:rsidR="006A1E91">
        <w:rPr>
          <w:rFonts w:ascii="Times New Roman" w:hAnsi="Times New Roman" w:cs="Times New Roman"/>
          <w:sz w:val="24"/>
          <w:szCs w:val="24"/>
        </w:rPr>
        <w:t>’s</w:t>
      </w:r>
      <w:r w:rsidR="00010428" w:rsidRPr="005B534E">
        <w:rPr>
          <w:rFonts w:ascii="Times New Roman" w:hAnsi="Times New Roman" w:cs="Times New Roman"/>
          <w:sz w:val="24"/>
          <w:szCs w:val="24"/>
        </w:rPr>
        <w:t xml:space="preserve"> contribution</w:t>
      </w:r>
      <w:r w:rsidR="006A1E91">
        <w:rPr>
          <w:rFonts w:ascii="Times New Roman" w:hAnsi="Times New Roman" w:cs="Times New Roman"/>
          <w:sz w:val="24"/>
          <w:szCs w:val="24"/>
        </w:rPr>
        <w:t>, through their own free-will,</w:t>
      </w:r>
      <w:r w:rsidR="00010428" w:rsidRPr="005B534E">
        <w:rPr>
          <w:rFonts w:ascii="Times New Roman" w:hAnsi="Times New Roman" w:cs="Times New Roman"/>
          <w:sz w:val="24"/>
          <w:szCs w:val="24"/>
        </w:rPr>
        <w:t xml:space="preserve"> resul</w:t>
      </w:r>
      <w:r w:rsidR="00B12C6A">
        <w:rPr>
          <w:rFonts w:ascii="Times New Roman" w:hAnsi="Times New Roman" w:cs="Times New Roman"/>
          <w:sz w:val="24"/>
          <w:szCs w:val="24"/>
        </w:rPr>
        <w:t>ted</w:t>
      </w:r>
      <w:r w:rsidR="00010428" w:rsidRPr="005B534E">
        <w:rPr>
          <w:rFonts w:ascii="Times New Roman" w:hAnsi="Times New Roman" w:cs="Times New Roman"/>
          <w:sz w:val="24"/>
          <w:szCs w:val="24"/>
        </w:rPr>
        <w:t xml:space="preserve"> in </w:t>
      </w:r>
      <w:r w:rsidR="008E649D">
        <w:rPr>
          <w:rFonts w:ascii="Times New Roman" w:hAnsi="Times New Roman" w:cs="Times New Roman"/>
          <w:sz w:val="24"/>
          <w:szCs w:val="24"/>
        </w:rPr>
        <w:t>the prohibited</w:t>
      </w:r>
      <w:r w:rsidR="00010428" w:rsidRPr="005B534E">
        <w:rPr>
          <w:rFonts w:ascii="Times New Roman" w:hAnsi="Times New Roman" w:cs="Times New Roman"/>
          <w:sz w:val="24"/>
          <w:szCs w:val="24"/>
        </w:rPr>
        <w:t xml:space="preserve"> outcome.  This is necessary where the offence, such a</w:t>
      </w:r>
      <w:r w:rsidR="00C46DFD">
        <w:rPr>
          <w:rFonts w:ascii="Times New Roman" w:hAnsi="Times New Roman" w:cs="Times New Roman"/>
          <w:sz w:val="24"/>
          <w:szCs w:val="24"/>
        </w:rPr>
        <w:t>s</w:t>
      </w:r>
      <w:r w:rsidR="00010428" w:rsidRPr="005B534E">
        <w:rPr>
          <w:rFonts w:ascii="Times New Roman" w:hAnsi="Times New Roman" w:cs="Times New Roman"/>
          <w:sz w:val="24"/>
          <w:szCs w:val="24"/>
        </w:rPr>
        <w:t xml:space="preserve"> murder or manslaughter, could occur by natural causes or accident, rather than the wrongful behaviour that is required for</w:t>
      </w:r>
      <w:r w:rsidR="00AD6724">
        <w:rPr>
          <w:rFonts w:ascii="Times New Roman" w:hAnsi="Times New Roman" w:cs="Times New Roman"/>
          <w:sz w:val="24"/>
          <w:szCs w:val="24"/>
        </w:rPr>
        <w:t xml:space="preserve"> a crime such as</w:t>
      </w:r>
      <w:r w:rsidR="00010428" w:rsidRPr="005B534E">
        <w:rPr>
          <w:rFonts w:ascii="Times New Roman" w:hAnsi="Times New Roman" w:cs="Times New Roman"/>
          <w:sz w:val="24"/>
          <w:szCs w:val="24"/>
        </w:rPr>
        <w:t xml:space="preserve"> theft.</w:t>
      </w:r>
      <w:r w:rsidR="00B12C6A" w:rsidRPr="005B534E">
        <w:rPr>
          <w:rStyle w:val="EndnoteReference"/>
          <w:rFonts w:ascii="Times New Roman" w:hAnsi="Times New Roman" w:cs="Times New Roman"/>
          <w:sz w:val="24"/>
          <w:szCs w:val="24"/>
        </w:rPr>
        <w:endnoteReference w:id="11"/>
      </w:r>
      <w:r w:rsidR="00B12C6A" w:rsidRPr="005B534E">
        <w:rPr>
          <w:rFonts w:ascii="Times New Roman" w:hAnsi="Times New Roman" w:cs="Times New Roman"/>
          <w:sz w:val="24"/>
          <w:szCs w:val="24"/>
        </w:rPr>
        <w:t xml:space="preserve">  For example, if a person dishonestly takes an item from a shop, whilst there may</w:t>
      </w:r>
      <w:r w:rsidR="00DA6BAC">
        <w:rPr>
          <w:rFonts w:ascii="Times New Roman" w:hAnsi="Times New Roman" w:cs="Times New Roman"/>
          <w:sz w:val="24"/>
          <w:szCs w:val="24"/>
        </w:rPr>
        <w:t xml:space="preserve"> </w:t>
      </w:r>
      <w:bookmarkStart w:id="0" w:name="_GoBack"/>
      <w:bookmarkEnd w:id="0"/>
      <w:r w:rsidR="00B12C6A" w:rsidRPr="005B534E">
        <w:rPr>
          <w:rFonts w:ascii="Times New Roman" w:hAnsi="Times New Roman" w:cs="Times New Roman"/>
          <w:sz w:val="24"/>
          <w:szCs w:val="24"/>
        </w:rPr>
        <w:t>be multiple reasons for this, it is not difficult to determine where the legal responsibility for the theft should lie.  In comparison, a person may punch another causing the victim to fall and bang his head</w:t>
      </w:r>
      <w:r w:rsidR="00B12C6A">
        <w:rPr>
          <w:rFonts w:ascii="Times New Roman" w:hAnsi="Times New Roman" w:cs="Times New Roman"/>
          <w:sz w:val="24"/>
          <w:szCs w:val="24"/>
        </w:rPr>
        <w:t>, but the</w:t>
      </w:r>
      <w:r w:rsidR="00B12C6A" w:rsidRPr="005B534E">
        <w:rPr>
          <w:rFonts w:ascii="Times New Roman" w:hAnsi="Times New Roman" w:cs="Times New Roman"/>
          <w:sz w:val="24"/>
          <w:szCs w:val="24"/>
        </w:rPr>
        <w:t xml:space="preserve"> ambulance</w:t>
      </w:r>
      <w:r w:rsidR="00B12C6A">
        <w:rPr>
          <w:rFonts w:ascii="Times New Roman" w:hAnsi="Times New Roman" w:cs="Times New Roman"/>
          <w:sz w:val="24"/>
          <w:szCs w:val="24"/>
        </w:rPr>
        <w:t xml:space="preserve"> sent to treat the victim</w:t>
      </w:r>
      <w:r w:rsidR="00B12C6A" w:rsidRPr="005B534E">
        <w:rPr>
          <w:rFonts w:ascii="Times New Roman" w:hAnsi="Times New Roman" w:cs="Times New Roman"/>
          <w:sz w:val="24"/>
          <w:szCs w:val="24"/>
        </w:rPr>
        <w:t xml:space="preserve"> may be delayed, the doctor may treat the </w:t>
      </w:r>
      <w:r w:rsidR="00B12C6A">
        <w:rPr>
          <w:rFonts w:ascii="Times New Roman" w:hAnsi="Times New Roman" w:cs="Times New Roman"/>
          <w:sz w:val="24"/>
          <w:szCs w:val="24"/>
        </w:rPr>
        <w:t>victim</w:t>
      </w:r>
      <w:r w:rsidR="00B12C6A" w:rsidRPr="005B534E">
        <w:rPr>
          <w:rFonts w:ascii="Times New Roman" w:hAnsi="Times New Roman" w:cs="Times New Roman"/>
          <w:sz w:val="24"/>
          <w:szCs w:val="24"/>
        </w:rPr>
        <w:t xml:space="preserve"> negligently, </w:t>
      </w:r>
      <w:r w:rsidR="00B12C6A">
        <w:rPr>
          <w:rFonts w:ascii="Times New Roman" w:hAnsi="Times New Roman" w:cs="Times New Roman"/>
          <w:sz w:val="24"/>
          <w:szCs w:val="24"/>
        </w:rPr>
        <w:t>the</w:t>
      </w:r>
      <w:r w:rsidR="00B12C6A" w:rsidRPr="005B534E">
        <w:rPr>
          <w:rFonts w:ascii="Times New Roman" w:hAnsi="Times New Roman" w:cs="Times New Roman"/>
          <w:sz w:val="24"/>
          <w:szCs w:val="24"/>
        </w:rPr>
        <w:t xml:space="preserve"> victim may</w:t>
      </w:r>
      <w:r w:rsidR="00B12C6A">
        <w:rPr>
          <w:rFonts w:ascii="Times New Roman" w:hAnsi="Times New Roman" w:cs="Times New Roman"/>
          <w:sz w:val="24"/>
          <w:szCs w:val="24"/>
        </w:rPr>
        <w:t xml:space="preserve"> refuse treatment, or</w:t>
      </w:r>
      <w:r w:rsidR="00B12C6A" w:rsidRPr="005B534E">
        <w:rPr>
          <w:rFonts w:ascii="Times New Roman" w:hAnsi="Times New Roman" w:cs="Times New Roman"/>
          <w:sz w:val="24"/>
          <w:szCs w:val="24"/>
        </w:rPr>
        <w:t xml:space="preserve"> </w:t>
      </w:r>
      <w:r w:rsidR="00B12C6A">
        <w:rPr>
          <w:rFonts w:ascii="Times New Roman" w:hAnsi="Times New Roman" w:cs="Times New Roman"/>
          <w:sz w:val="24"/>
          <w:szCs w:val="24"/>
        </w:rPr>
        <w:t>the victim</w:t>
      </w:r>
      <w:r w:rsidR="00C46DFD">
        <w:rPr>
          <w:rFonts w:ascii="Times New Roman" w:hAnsi="Times New Roman" w:cs="Times New Roman"/>
          <w:sz w:val="24"/>
          <w:szCs w:val="24"/>
        </w:rPr>
        <w:t xml:space="preserve"> may</w:t>
      </w:r>
      <w:r w:rsidR="00B12C6A">
        <w:rPr>
          <w:rFonts w:ascii="Times New Roman" w:hAnsi="Times New Roman" w:cs="Times New Roman"/>
          <w:sz w:val="24"/>
          <w:szCs w:val="24"/>
        </w:rPr>
        <w:t xml:space="preserve"> </w:t>
      </w:r>
      <w:r w:rsidR="00B12C6A" w:rsidRPr="005B534E">
        <w:rPr>
          <w:rFonts w:ascii="Times New Roman" w:hAnsi="Times New Roman" w:cs="Times New Roman"/>
          <w:sz w:val="24"/>
          <w:szCs w:val="24"/>
        </w:rPr>
        <w:t>have an underlying health condition.  If the victim dies, the question of who has caused th</w:t>
      </w:r>
      <w:r w:rsidR="00C46DFD">
        <w:rPr>
          <w:rFonts w:ascii="Times New Roman" w:hAnsi="Times New Roman" w:cs="Times New Roman"/>
          <w:sz w:val="24"/>
          <w:szCs w:val="24"/>
        </w:rPr>
        <w:t>e</w:t>
      </w:r>
      <w:r w:rsidR="00B12C6A" w:rsidRPr="005B534E">
        <w:rPr>
          <w:rFonts w:ascii="Times New Roman" w:hAnsi="Times New Roman" w:cs="Times New Roman"/>
          <w:sz w:val="24"/>
          <w:szCs w:val="24"/>
        </w:rPr>
        <w:t xml:space="preserve"> death becomes more complicat</w:t>
      </w:r>
      <w:r w:rsidR="00B12C6A">
        <w:rPr>
          <w:rFonts w:ascii="Times New Roman" w:hAnsi="Times New Roman" w:cs="Times New Roman"/>
          <w:sz w:val="24"/>
          <w:szCs w:val="24"/>
        </w:rPr>
        <w:t>ed to establish.</w:t>
      </w:r>
    </w:p>
    <w:p w14:paraId="0AA77DED" w14:textId="77777777" w:rsidR="0027069F" w:rsidRPr="005B534E" w:rsidRDefault="0027069F" w:rsidP="005A62CC">
      <w:pPr>
        <w:spacing w:line="360" w:lineRule="auto"/>
        <w:jc w:val="both"/>
        <w:rPr>
          <w:rFonts w:ascii="Times New Roman" w:hAnsi="Times New Roman" w:cs="Times New Roman"/>
          <w:sz w:val="24"/>
          <w:szCs w:val="24"/>
        </w:rPr>
      </w:pPr>
    </w:p>
    <w:p w14:paraId="5FDE3FDE" w14:textId="7EEE6E6D" w:rsidR="00B12C6A" w:rsidRDefault="00B12C6A" w:rsidP="00AB6A51">
      <w:pPr>
        <w:spacing w:line="360" w:lineRule="auto"/>
        <w:jc w:val="both"/>
        <w:rPr>
          <w:rFonts w:ascii="Times New Roman" w:hAnsi="Times New Roman" w:cs="Times New Roman"/>
          <w:sz w:val="24"/>
          <w:szCs w:val="24"/>
        </w:rPr>
      </w:pPr>
      <w:r w:rsidRPr="00AB6A51">
        <w:rPr>
          <w:rFonts w:ascii="Times New Roman" w:hAnsi="Times New Roman" w:cs="Times New Roman"/>
          <w:sz w:val="24"/>
          <w:szCs w:val="24"/>
        </w:rPr>
        <w:t xml:space="preserve">Causation is </w:t>
      </w:r>
      <w:r w:rsidR="003A04AB">
        <w:rPr>
          <w:rFonts w:ascii="Times New Roman" w:hAnsi="Times New Roman" w:cs="Times New Roman"/>
          <w:sz w:val="24"/>
          <w:szCs w:val="24"/>
        </w:rPr>
        <w:t>divided</w:t>
      </w:r>
      <w:r w:rsidRPr="00AB6A51">
        <w:rPr>
          <w:rFonts w:ascii="Times New Roman" w:hAnsi="Times New Roman" w:cs="Times New Roman"/>
          <w:sz w:val="24"/>
          <w:szCs w:val="24"/>
        </w:rPr>
        <w:t xml:space="preserve"> into two </w:t>
      </w:r>
      <w:r w:rsidR="00C46DFD">
        <w:rPr>
          <w:rFonts w:ascii="Times New Roman" w:hAnsi="Times New Roman" w:cs="Times New Roman"/>
          <w:sz w:val="24"/>
          <w:szCs w:val="24"/>
        </w:rPr>
        <w:t>limbs</w:t>
      </w:r>
      <w:r w:rsidRPr="00AB6A51">
        <w:rPr>
          <w:rFonts w:ascii="Times New Roman" w:hAnsi="Times New Roman" w:cs="Times New Roman"/>
          <w:sz w:val="24"/>
          <w:szCs w:val="24"/>
        </w:rPr>
        <w:t>, the first asking whether the defendant is the factual cause of the outcome and the second questioning whether the defendant is the legal cause.  In other words, causation asks who is responsible (factual causation) and who ought to be responsible (legal causation).  Whilst factual cau</w:t>
      </w:r>
      <w:r w:rsidR="00C46DFD">
        <w:rPr>
          <w:rFonts w:ascii="Times New Roman" w:hAnsi="Times New Roman" w:cs="Times New Roman"/>
          <w:sz w:val="24"/>
          <w:szCs w:val="24"/>
        </w:rPr>
        <w:t>sation</w:t>
      </w:r>
      <w:r w:rsidRPr="00AB6A51">
        <w:rPr>
          <w:rFonts w:ascii="Times New Roman" w:hAnsi="Times New Roman" w:cs="Times New Roman"/>
          <w:sz w:val="24"/>
          <w:szCs w:val="24"/>
        </w:rPr>
        <w:t xml:space="preserve"> can often be straight forward to determine, by asking the question ‘but for the defendant’s actions would that result have </w:t>
      </w:r>
      <w:r w:rsidR="008E649D" w:rsidRPr="00AB6A51">
        <w:rPr>
          <w:rFonts w:ascii="Times New Roman" w:hAnsi="Times New Roman" w:cs="Times New Roman"/>
          <w:sz w:val="24"/>
          <w:szCs w:val="24"/>
        </w:rPr>
        <w:t>occurred?</w:t>
      </w:r>
      <w:r w:rsidRPr="00AB6A51">
        <w:rPr>
          <w:rFonts w:ascii="Times New Roman" w:hAnsi="Times New Roman" w:cs="Times New Roman"/>
          <w:sz w:val="24"/>
          <w:szCs w:val="24"/>
        </w:rPr>
        <w:t>’</w:t>
      </w:r>
      <w:r w:rsidRPr="005B534E">
        <w:rPr>
          <w:rStyle w:val="EndnoteReference"/>
          <w:rFonts w:ascii="Times New Roman" w:hAnsi="Times New Roman" w:cs="Times New Roman"/>
          <w:sz w:val="24"/>
          <w:szCs w:val="24"/>
        </w:rPr>
        <w:endnoteReference w:id="12"/>
      </w:r>
      <w:r w:rsidRPr="00AB6A51">
        <w:rPr>
          <w:rFonts w:ascii="Times New Roman" w:hAnsi="Times New Roman" w:cs="Times New Roman"/>
          <w:sz w:val="24"/>
          <w:szCs w:val="24"/>
        </w:rPr>
        <w:t xml:space="preserve"> legal causation is more complex.  This is because it becomes a</w:t>
      </w:r>
      <w:r w:rsidR="002200C8">
        <w:rPr>
          <w:rFonts w:ascii="Times New Roman" w:hAnsi="Times New Roman" w:cs="Times New Roman"/>
          <w:sz w:val="24"/>
          <w:szCs w:val="24"/>
        </w:rPr>
        <w:t xml:space="preserve"> normative</w:t>
      </w:r>
      <w:r w:rsidRPr="00AB6A51">
        <w:rPr>
          <w:rFonts w:ascii="Times New Roman" w:hAnsi="Times New Roman" w:cs="Times New Roman"/>
          <w:sz w:val="24"/>
          <w:szCs w:val="24"/>
        </w:rPr>
        <w:t xml:space="preserve"> enquiry of where the correct place is to draw the line between what the defendant ought and ought not</w:t>
      </w:r>
      <w:r w:rsidR="008E649D">
        <w:rPr>
          <w:rFonts w:ascii="Times New Roman" w:hAnsi="Times New Roman" w:cs="Times New Roman"/>
          <w:sz w:val="24"/>
          <w:szCs w:val="24"/>
        </w:rPr>
        <w:t xml:space="preserve"> to</w:t>
      </w:r>
      <w:r w:rsidRPr="00AB6A51">
        <w:rPr>
          <w:rFonts w:ascii="Times New Roman" w:hAnsi="Times New Roman" w:cs="Times New Roman"/>
          <w:sz w:val="24"/>
          <w:szCs w:val="24"/>
        </w:rPr>
        <w:t xml:space="preserve"> be responsible for.</w:t>
      </w:r>
      <w:r w:rsidR="002200C8">
        <w:rPr>
          <w:rStyle w:val="EndnoteReference"/>
          <w:rFonts w:ascii="Times New Roman" w:hAnsi="Times New Roman" w:cs="Times New Roman"/>
          <w:sz w:val="24"/>
          <w:szCs w:val="24"/>
        </w:rPr>
        <w:endnoteReference w:id="13"/>
      </w:r>
    </w:p>
    <w:p w14:paraId="6AC642A4" w14:textId="77777777" w:rsidR="0027069F" w:rsidRPr="00AB6A51" w:rsidRDefault="0027069F" w:rsidP="00AB6A51">
      <w:pPr>
        <w:spacing w:line="360" w:lineRule="auto"/>
        <w:jc w:val="both"/>
        <w:rPr>
          <w:rFonts w:ascii="Times New Roman" w:hAnsi="Times New Roman" w:cs="Times New Roman"/>
          <w:sz w:val="24"/>
          <w:szCs w:val="24"/>
        </w:rPr>
      </w:pPr>
    </w:p>
    <w:p w14:paraId="2AD1C4F5" w14:textId="505F0A3B" w:rsidR="00B12C6A" w:rsidRPr="00837245" w:rsidRDefault="00B12C6A" w:rsidP="00837245">
      <w:pPr>
        <w:spacing w:line="360" w:lineRule="auto"/>
        <w:jc w:val="both"/>
        <w:rPr>
          <w:rFonts w:ascii="Times New Roman" w:hAnsi="Times New Roman" w:cs="Times New Roman"/>
          <w:sz w:val="24"/>
          <w:szCs w:val="24"/>
        </w:rPr>
      </w:pPr>
      <w:r w:rsidRPr="00837245">
        <w:rPr>
          <w:rFonts w:ascii="Times New Roman" w:hAnsi="Times New Roman" w:cs="Times New Roman"/>
          <w:sz w:val="24"/>
          <w:szCs w:val="24"/>
        </w:rPr>
        <w:t xml:space="preserve">Causation adopts </w:t>
      </w:r>
      <w:r w:rsidR="002E1843" w:rsidRPr="00837245">
        <w:rPr>
          <w:rFonts w:ascii="Times New Roman" w:hAnsi="Times New Roman" w:cs="Times New Roman"/>
          <w:sz w:val="24"/>
          <w:szCs w:val="24"/>
        </w:rPr>
        <w:t>several</w:t>
      </w:r>
      <w:r w:rsidRPr="00837245">
        <w:rPr>
          <w:rFonts w:ascii="Times New Roman" w:hAnsi="Times New Roman" w:cs="Times New Roman"/>
          <w:sz w:val="24"/>
          <w:szCs w:val="24"/>
        </w:rPr>
        <w:t xml:space="preserve"> principles to establish where th</w:t>
      </w:r>
      <w:r w:rsidR="00C46DFD">
        <w:rPr>
          <w:rFonts w:ascii="Times New Roman" w:hAnsi="Times New Roman" w:cs="Times New Roman"/>
          <w:sz w:val="24"/>
          <w:szCs w:val="24"/>
        </w:rPr>
        <w:t>is</w:t>
      </w:r>
      <w:r w:rsidRPr="00837245">
        <w:rPr>
          <w:rFonts w:ascii="Times New Roman" w:hAnsi="Times New Roman" w:cs="Times New Roman"/>
          <w:sz w:val="24"/>
          <w:szCs w:val="24"/>
        </w:rPr>
        <w:t xml:space="preserve"> line should be drawn for what prohibited consequences can be attributed to the defendant’s </w:t>
      </w:r>
      <w:r w:rsidR="008E649D">
        <w:rPr>
          <w:rFonts w:ascii="Times New Roman" w:hAnsi="Times New Roman" w:cs="Times New Roman"/>
          <w:sz w:val="24"/>
          <w:szCs w:val="24"/>
        </w:rPr>
        <w:t xml:space="preserve">voluntary </w:t>
      </w:r>
      <w:r w:rsidRPr="00837245">
        <w:rPr>
          <w:rFonts w:ascii="Times New Roman" w:hAnsi="Times New Roman" w:cs="Times New Roman"/>
          <w:sz w:val="24"/>
          <w:szCs w:val="24"/>
        </w:rPr>
        <w:t>action</w:t>
      </w:r>
      <w:r w:rsidR="008E649D">
        <w:rPr>
          <w:rFonts w:ascii="Times New Roman" w:hAnsi="Times New Roman" w:cs="Times New Roman"/>
          <w:sz w:val="24"/>
          <w:szCs w:val="24"/>
        </w:rPr>
        <w:t>s</w:t>
      </w:r>
      <w:r w:rsidRPr="00837245">
        <w:rPr>
          <w:rFonts w:ascii="Times New Roman" w:hAnsi="Times New Roman" w:cs="Times New Roman"/>
          <w:sz w:val="24"/>
          <w:szCs w:val="24"/>
        </w:rPr>
        <w:t xml:space="preserve">.  These include: </w:t>
      </w:r>
      <w:r w:rsidR="00586CFB">
        <w:rPr>
          <w:rFonts w:ascii="Times New Roman" w:hAnsi="Times New Roman" w:cs="Times New Roman"/>
          <w:sz w:val="24"/>
          <w:szCs w:val="24"/>
        </w:rPr>
        <w:t xml:space="preserve">(i) </w:t>
      </w:r>
      <w:r w:rsidRPr="00837245">
        <w:rPr>
          <w:rFonts w:ascii="Times New Roman" w:hAnsi="Times New Roman" w:cs="Times New Roman"/>
          <w:sz w:val="24"/>
          <w:szCs w:val="24"/>
        </w:rPr>
        <w:t xml:space="preserve">The </w:t>
      </w:r>
      <w:r w:rsidRPr="00837245">
        <w:rPr>
          <w:rFonts w:ascii="Times New Roman" w:hAnsi="Times New Roman" w:cs="Times New Roman"/>
          <w:i/>
          <w:iCs/>
          <w:sz w:val="24"/>
          <w:szCs w:val="24"/>
        </w:rPr>
        <w:t xml:space="preserve">de minimis </w:t>
      </w:r>
      <w:r w:rsidRPr="00837245">
        <w:rPr>
          <w:rFonts w:ascii="Times New Roman" w:hAnsi="Times New Roman" w:cs="Times New Roman"/>
          <w:sz w:val="24"/>
          <w:szCs w:val="24"/>
        </w:rPr>
        <w:t xml:space="preserve">rule, which requires that the defendant’s actions are more than a minimal </w:t>
      </w:r>
      <w:r w:rsidRPr="00837245">
        <w:rPr>
          <w:rFonts w:ascii="Times New Roman" w:hAnsi="Times New Roman" w:cs="Times New Roman"/>
          <w:sz w:val="24"/>
          <w:szCs w:val="24"/>
        </w:rPr>
        <w:lastRenderedPageBreak/>
        <w:t>cause of the prohibited consequence.</w:t>
      </w:r>
      <w:r w:rsidR="003E6C34" w:rsidRPr="00837245">
        <w:rPr>
          <w:rStyle w:val="EndnoteReference"/>
          <w:rFonts w:ascii="Times New Roman" w:hAnsi="Times New Roman" w:cs="Times New Roman"/>
          <w:sz w:val="24"/>
          <w:szCs w:val="24"/>
        </w:rPr>
        <w:endnoteReference w:id="14"/>
      </w:r>
      <w:r w:rsidR="003E6C34" w:rsidRPr="00837245">
        <w:rPr>
          <w:rFonts w:ascii="Times New Roman" w:hAnsi="Times New Roman" w:cs="Times New Roman"/>
          <w:sz w:val="24"/>
          <w:szCs w:val="24"/>
        </w:rPr>
        <w:t xml:space="preserve"> </w:t>
      </w:r>
      <w:r w:rsidRPr="00837245">
        <w:rPr>
          <w:rFonts w:ascii="Times New Roman" w:hAnsi="Times New Roman" w:cs="Times New Roman"/>
          <w:sz w:val="24"/>
          <w:szCs w:val="24"/>
        </w:rPr>
        <w:t xml:space="preserve"> </w:t>
      </w:r>
      <w:r w:rsidR="00586CFB">
        <w:rPr>
          <w:rFonts w:ascii="Times New Roman" w:hAnsi="Times New Roman" w:cs="Times New Roman"/>
          <w:sz w:val="24"/>
          <w:szCs w:val="24"/>
        </w:rPr>
        <w:t xml:space="preserve">(ii) </w:t>
      </w:r>
      <w:r w:rsidR="00EA0370">
        <w:rPr>
          <w:rFonts w:ascii="Times New Roman" w:hAnsi="Times New Roman" w:cs="Times New Roman"/>
          <w:sz w:val="24"/>
          <w:szCs w:val="24"/>
        </w:rPr>
        <w:t xml:space="preserve">The </w:t>
      </w:r>
      <w:r w:rsidRPr="00837245">
        <w:rPr>
          <w:rFonts w:ascii="Times New Roman" w:hAnsi="Times New Roman" w:cs="Times New Roman"/>
          <w:i/>
          <w:iCs/>
          <w:sz w:val="24"/>
          <w:szCs w:val="24"/>
        </w:rPr>
        <w:t xml:space="preserve">Novus </w:t>
      </w:r>
      <w:r w:rsidR="00393E7A">
        <w:rPr>
          <w:rFonts w:ascii="Times New Roman" w:hAnsi="Times New Roman" w:cs="Times New Roman"/>
          <w:i/>
          <w:iCs/>
          <w:sz w:val="24"/>
          <w:szCs w:val="24"/>
        </w:rPr>
        <w:t>a</w:t>
      </w:r>
      <w:r w:rsidRPr="00837245">
        <w:rPr>
          <w:rFonts w:ascii="Times New Roman" w:hAnsi="Times New Roman" w:cs="Times New Roman"/>
          <w:i/>
          <w:iCs/>
          <w:sz w:val="24"/>
          <w:szCs w:val="24"/>
        </w:rPr>
        <w:t xml:space="preserve">ctus </w:t>
      </w:r>
      <w:r w:rsidR="00EA0370">
        <w:rPr>
          <w:rFonts w:ascii="Times New Roman" w:hAnsi="Times New Roman" w:cs="Times New Roman"/>
          <w:i/>
          <w:iCs/>
          <w:sz w:val="24"/>
          <w:szCs w:val="24"/>
        </w:rPr>
        <w:t>i</w:t>
      </w:r>
      <w:r w:rsidRPr="00837245">
        <w:rPr>
          <w:rFonts w:ascii="Times New Roman" w:hAnsi="Times New Roman" w:cs="Times New Roman"/>
          <w:i/>
          <w:iCs/>
          <w:sz w:val="24"/>
          <w:szCs w:val="24"/>
        </w:rPr>
        <w:t>nterveniens</w:t>
      </w:r>
      <w:r w:rsidR="00EA0370">
        <w:rPr>
          <w:rFonts w:ascii="Times New Roman" w:hAnsi="Times New Roman" w:cs="Times New Roman"/>
          <w:i/>
          <w:iCs/>
          <w:sz w:val="24"/>
          <w:szCs w:val="24"/>
        </w:rPr>
        <w:t xml:space="preserve"> </w:t>
      </w:r>
      <w:r w:rsidR="00EA0370">
        <w:rPr>
          <w:rFonts w:ascii="Times New Roman" w:hAnsi="Times New Roman" w:cs="Times New Roman"/>
          <w:sz w:val="24"/>
          <w:szCs w:val="24"/>
        </w:rPr>
        <w:t xml:space="preserve">rule </w:t>
      </w:r>
      <w:r w:rsidRPr="00837245">
        <w:rPr>
          <w:rFonts w:ascii="Times New Roman" w:hAnsi="Times New Roman" w:cs="Times New Roman"/>
          <w:i/>
          <w:iCs/>
          <w:sz w:val="24"/>
          <w:szCs w:val="24"/>
        </w:rPr>
        <w:t xml:space="preserve">, </w:t>
      </w:r>
      <w:r w:rsidRPr="00837245">
        <w:rPr>
          <w:rFonts w:ascii="Times New Roman" w:hAnsi="Times New Roman" w:cs="Times New Roman"/>
          <w:sz w:val="24"/>
          <w:szCs w:val="24"/>
        </w:rPr>
        <w:t>which considers if there has been a new intervening act, from the victim or a third party, between the defendant’s voluntary actions and the prohibited consequence.</w:t>
      </w:r>
      <w:r w:rsidRPr="00837245">
        <w:rPr>
          <w:rStyle w:val="EndnoteReference"/>
          <w:rFonts w:ascii="Times New Roman" w:hAnsi="Times New Roman" w:cs="Times New Roman"/>
          <w:sz w:val="24"/>
          <w:szCs w:val="24"/>
        </w:rPr>
        <w:endnoteReference w:id="15"/>
      </w:r>
      <w:r w:rsidRPr="00837245">
        <w:rPr>
          <w:rFonts w:ascii="Times New Roman" w:hAnsi="Times New Roman" w:cs="Times New Roman"/>
          <w:sz w:val="24"/>
          <w:szCs w:val="24"/>
        </w:rPr>
        <w:t xml:space="preserve">  </w:t>
      </w:r>
      <w:r w:rsidR="00586CFB">
        <w:rPr>
          <w:rFonts w:ascii="Times New Roman" w:hAnsi="Times New Roman" w:cs="Times New Roman"/>
          <w:sz w:val="24"/>
          <w:szCs w:val="24"/>
        </w:rPr>
        <w:t xml:space="preserve">(iii) </w:t>
      </w:r>
      <w:r w:rsidRPr="00837245">
        <w:rPr>
          <w:rFonts w:ascii="Times New Roman" w:hAnsi="Times New Roman" w:cs="Times New Roman"/>
          <w:sz w:val="24"/>
          <w:szCs w:val="24"/>
        </w:rPr>
        <w:t>T</w:t>
      </w:r>
      <w:r w:rsidR="00EA0370">
        <w:rPr>
          <w:rFonts w:ascii="Times New Roman" w:hAnsi="Times New Roman" w:cs="Times New Roman"/>
          <w:sz w:val="24"/>
          <w:szCs w:val="24"/>
        </w:rPr>
        <w:t xml:space="preserve">he </w:t>
      </w:r>
      <w:r w:rsidR="00586CFB">
        <w:rPr>
          <w:rFonts w:ascii="Times New Roman" w:hAnsi="Times New Roman" w:cs="Times New Roman"/>
          <w:sz w:val="24"/>
          <w:szCs w:val="24"/>
        </w:rPr>
        <w:t>t</w:t>
      </w:r>
      <w:r w:rsidRPr="00837245">
        <w:rPr>
          <w:rFonts w:ascii="Times New Roman" w:hAnsi="Times New Roman" w:cs="Times New Roman"/>
          <w:sz w:val="24"/>
          <w:szCs w:val="24"/>
        </w:rPr>
        <w:t xml:space="preserve">hin skull rule, which requires that the defendant takes </w:t>
      </w:r>
      <w:r w:rsidR="008E649D">
        <w:rPr>
          <w:rFonts w:ascii="Times New Roman" w:hAnsi="Times New Roman" w:cs="Times New Roman"/>
          <w:sz w:val="24"/>
          <w:szCs w:val="24"/>
        </w:rPr>
        <w:t>his</w:t>
      </w:r>
      <w:r w:rsidRPr="00837245">
        <w:rPr>
          <w:rFonts w:ascii="Times New Roman" w:hAnsi="Times New Roman" w:cs="Times New Roman"/>
          <w:sz w:val="24"/>
          <w:szCs w:val="24"/>
        </w:rPr>
        <w:t xml:space="preserve"> victim as </w:t>
      </w:r>
      <w:r w:rsidR="008E649D">
        <w:rPr>
          <w:rFonts w:ascii="Times New Roman" w:hAnsi="Times New Roman" w:cs="Times New Roman"/>
          <w:sz w:val="24"/>
          <w:szCs w:val="24"/>
        </w:rPr>
        <w:t>he</w:t>
      </w:r>
      <w:r w:rsidRPr="00837245">
        <w:rPr>
          <w:rFonts w:ascii="Times New Roman" w:hAnsi="Times New Roman" w:cs="Times New Roman"/>
          <w:sz w:val="24"/>
          <w:szCs w:val="24"/>
        </w:rPr>
        <w:t xml:space="preserve"> find</w:t>
      </w:r>
      <w:r w:rsidR="008E649D">
        <w:rPr>
          <w:rFonts w:ascii="Times New Roman" w:hAnsi="Times New Roman" w:cs="Times New Roman"/>
          <w:sz w:val="24"/>
          <w:szCs w:val="24"/>
        </w:rPr>
        <w:t>s</w:t>
      </w:r>
      <w:r w:rsidR="00080D0A">
        <w:rPr>
          <w:rFonts w:ascii="Times New Roman" w:hAnsi="Times New Roman" w:cs="Times New Roman"/>
          <w:sz w:val="24"/>
          <w:szCs w:val="24"/>
        </w:rPr>
        <w:t xml:space="preserve"> </w:t>
      </w:r>
      <w:r w:rsidRPr="00837245">
        <w:rPr>
          <w:rFonts w:ascii="Times New Roman" w:hAnsi="Times New Roman" w:cs="Times New Roman"/>
          <w:sz w:val="24"/>
          <w:szCs w:val="24"/>
        </w:rPr>
        <w:t>them.</w:t>
      </w:r>
      <w:r w:rsidRPr="00837245">
        <w:rPr>
          <w:rStyle w:val="EndnoteReference"/>
          <w:rFonts w:ascii="Times New Roman" w:hAnsi="Times New Roman" w:cs="Times New Roman"/>
          <w:sz w:val="24"/>
          <w:szCs w:val="24"/>
        </w:rPr>
        <w:endnoteReference w:id="16"/>
      </w:r>
      <w:r w:rsidR="00012CC6">
        <w:rPr>
          <w:rFonts w:ascii="Times New Roman" w:hAnsi="Times New Roman" w:cs="Times New Roman"/>
          <w:sz w:val="24"/>
          <w:szCs w:val="24"/>
        </w:rPr>
        <w:t xml:space="preserve">  As will be examined below</w:t>
      </w:r>
      <w:r w:rsidR="005F44E1">
        <w:rPr>
          <w:rFonts w:ascii="Times New Roman" w:hAnsi="Times New Roman" w:cs="Times New Roman"/>
          <w:sz w:val="24"/>
          <w:szCs w:val="24"/>
        </w:rPr>
        <w:t>, the courts have grappled with these legal principles</w:t>
      </w:r>
      <w:r w:rsidR="008A71B2">
        <w:rPr>
          <w:rFonts w:ascii="Times New Roman" w:hAnsi="Times New Roman" w:cs="Times New Roman"/>
          <w:sz w:val="24"/>
          <w:szCs w:val="24"/>
        </w:rPr>
        <w:t xml:space="preserve"> to achieve</w:t>
      </w:r>
      <w:r w:rsidR="00304088">
        <w:rPr>
          <w:rFonts w:ascii="Times New Roman" w:hAnsi="Times New Roman" w:cs="Times New Roman"/>
          <w:sz w:val="24"/>
          <w:szCs w:val="24"/>
        </w:rPr>
        <w:t>,</w:t>
      </w:r>
      <w:r w:rsidR="008A71B2">
        <w:rPr>
          <w:rFonts w:ascii="Times New Roman" w:hAnsi="Times New Roman" w:cs="Times New Roman"/>
          <w:sz w:val="24"/>
          <w:szCs w:val="24"/>
        </w:rPr>
        <w:t xml:space="preserve"> what may be considered</w:t>
      </w:r>
      <w:r w:rsidR="00304088">
        <w:rPr>
          <w:rFonts w:ascii="Times New Roman" w:hAnsi="Times New Roman" w:cs="Times New Roman"/>
          <w:sz w:val="24"/>
          <w:szCs w:val="24"/>
        </w:rPr>
        <w:t>,</w:t>
      </w:r>
      <w:r w:rsidR="008A71B2">
        <w:rPr>
          <w:rFonts w:ascii="Times New Roman" w:hAnsi="Times New Roman" w:cs="Times New Roman"/>
          <w:sz w:val="24"/>
          <w:szCs w:val="24"/>
        </w:rPr>
        <w:t xml:space="preserve"> the morally palatable result</w:t>
      </w:r>
      <w:r w:rsidR="008830ED">
        <w:rPr>
          <w:rFonts w:ascii="Times New Roman" w:hAnsi="Times New Roman" w:cs="Times New Roman"/>
          <w:sz w:val="24"/>
          <w:szCs w:val="24"/>
        </w:rPr>
        <w:t xml:space="preserve"> in the cases before them.</w:t>
      </w:r>
    </w:p>
    <w:p w14:paraId="73CB24F9" w14:textId="4C7DB3C2" w:rsidR="008D6BB0" w:rsidRPr="002D3151" w:rsidRDefault="00602D2C" w:rsidP="005A62CC">
      <w:pPr>
        <w:spacing w:line="360" w:lineRule="auto"/>
        <w:contextualSpacing/>
        <w:jc w:val="both"/>
        <w:rPr>
          <w:rFonts w:ascii="Times New Roman" w:eastAsia="Calibri" w:hAnsi="Times New Roman" w:cs="Times New Roman"/>
          <w:b/>
          <w:bCs/>
          <w:sz w:val="24"/>
          <w:szCs w:val="24"/>
        </w:rPr>
      </w:pPr>
      <w:r>
        <w:rPr>
          <w:rFonts w:ascii="Times New Roman" w:hAnsi="Times New Roman" w:cs="Times New Roman"/>
          <w:sz w:val="24"/>
          <w:szCs w:val="24"/>
        </w:rPr>
        <w:t xml:space="preserve"> </w:t>
      </w:r>
    </w:p>
    <w:p w14:paraId="4B8BE1B8" w14:textId="0CE80553" w:rsidR="006A1E91" w:rsidRDefault="006A1E91" w:rsidP="006A1E91">
      <w:pPr>
        <w:pStyle w:val="ListParagraph"/>
        <w:numPr>
          <w:ilvl w:val="0"/>
          <w:numId w:val="3"/>
        </w:numPr>
        <w:spacing w:line="360" w:lineRule="auto"/>
        <w:jc w:val="both"/>
        <w:rPr>
          <w:rFonts w:ascii="Times New Roman" w:eastAsia="Calibri" w:hAnsi="Times New Roman" w:cs="Times New Roman"/>
          <w:b/>
          <w:bCs/>
          <w:sz w:val="24"/>
          <w:szCs w:val="24"/>
        </w:rPr>
      </w:pPr>
      <w:r w:rsidRPr="006A1E91">
        <w:rPr>
          <w:rFonts w:ascii="Times New Roman" w:eastAsia="Calibri" w:hAnsi="Times New Roman" w:cs="Times New Roman"/>
          <w:b/>
          <w:bCs/>
          <w:sz w:val="24"/>
          <w:szCs w:val="24"/>
        </w:rPr>
        <w:t>The voluntariness of the victim’s actions</w:t>
      </w:r>
    </w:p>
    <w:p w14:paraId="07E92C02" w14:textId="77777777" w:rsidR="00586CFB" w:rsidRPr="006A1E91" w:rsidRDefault="00586CFB" w:rsidP="00586CFB">
      <w:pPr>
        <w:pStyle w:val="ListParagraph"/>
        <w:spacing w:line="360" w:lineRule="auto"/>
        <w:jc w:val="both"/>
        <w:rPr>
          <w:rFonts w:ascii="Times New Roman" w:eastAsia="Calibri" w:hAnsi="Times New Roman" w:cs="Times New Roman"/>
          <w:b/>
          <w:bCs/>
          <w:sz w:val="24"/>
          <w:szCs w:val="24"/>
        </w:rPr>
      </w:pPr>
    </w:p>
    <w:p w14:paraId="38352578" w14:textId="41A10D0E" w:rsidR="005F6C47"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Pr>
          <w:rFonts w:ascii="Times New Roman" w:eastAsia="Calibri" w:hAnsi="Times New Roman" w:cs="Times New Roman"/>
          <w:i/>
          <w:iCs/>
          <w:sz w:val="24"/>
          <w:szCs w:val="24"/>
        </w:rPr>
        <w:t>R v Field</w:t>
      </w:r>
      <w:r w:rsidRPr="00AB5A05">
        <w:rPr>
          <w:rStyle w:val="EndnoteReference"/>
          <w:rFonts w:ascii="Times New Roman" w:eastAsia="Calibri" w:hAnsi="Times New Roman" w:cs="Times New Roman"/>
          <w:sz w:val="24"/>
          <w:szCs w:val="24"/>
        </w:rPr>
        <w:endnoteReference w:id="17"/>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the defendant’s application to appeal to the Supreme Court against his conviction for murder was rejected.  It has long been established that ‘[w]</w:t>
      </w:r>
      <w:r w:rsidRPr="0042759F">
        <w:rPr>
          <w:rFonts w:ascii="Times New Roman" w:eastAsia="Calibri" w:hAnsi="Times New Roman" w:cs="Times New Roman"/>
          <w:sz w:val="24"/>
          <w:szCs w:val="24"/>
        </w:rPr>
        <w:t>hen dealing with a murder case the Crown must prove (a) death as the result of a voluntary act of the accused and (b) malice of the accused.</w:t>
      </w:r>
      <w:r>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18"/>
      </w:r>
      <w:r>
        <w:rPr>
          <w:rFonts w:ascii="Times New Roman" w:eastAsia="Calibri" w:hAnsi="Times New Roman" w:cs="Times New Roman"/>
          <w:sz w:val="24"/>
          <w:szCs w:val="24"/>
        </w:rPr>
        <w:t xml:space="preserve">  It was held that the defendant’s voluntary action of supplying a bottle of ‘deadly whisky’</w:t>
      </w:r>
      <w:r>
        <w:rPr>
          <w:rStyle w:val="EndnoteReference"/>
          <w:rFonts w:ascii="Times New Roman" w:eastAsia="Calibri" w:hAnsi="Times New Roman" w:cs="Times New Roman"/>
          <w:sz w:val="24"/>
          <w:szCs w:val="24"/>
        </w:rPr>
        <w:endnoteReference w:id="19"/>
      </w:r>
      <w:r>
        <w:rPr>
          <w:rFonts w:ascii="Times New Roman" w:eastAsia="Calibri" w:hAnsi="Times New Roman" w:cs="Times New Roman"/>
          <w:sz w:val="24"/>
          <w:szCs w:val="24"/>
        </w:rPr>
        <w:t xml:space="preserve"> with the intention that the victim would die as a result of drinking it so he could inherit under the </w:t>
      </w:r>
      <w:r w:rsidRPr="00CE4870">
        <w:rPr>
          <w:rFonts w:ascii="Times New Roman" w:eastAsia="Calibri" w:hAnsi="Times New Roman" w:cs="Times New Roman"/>
          <w:sz w:val="24"/>
          <w:szCs w:val="24"/>
        </w:rPr>
        <w:t>deceased</w:t>
      </w:r>
      <w:r w:rsidR="00ED46F9" w:rsidRPr="00CE4870">
        <w:rPr>
          <w:rFonts w:ascii="Times New Roman" w:eastAsia="Calibri" w:hAnsi="Times New Roman" w:cs="Times New Roman"/>
          <w:sz w:val="24"/>
          <w:szCs w:val="24"/>
        </w:rPr>
        <w:t>’s</w:t>
      </w:r>
      <w:r>
        <w:rPr>
          <w:rFonts w:ascii="Times New Roman" w:eastAsia="Calibri" w:hAnsi="Times New Roman" w:cs="Times New Roman"/>
          <w:sz w:val="24"/>
          <w:szCs w:val="24"/>
        </w:rPr>
        <w:t xml:space="preserve"> will, was sufficient for a conviction of murder and that the Court of Appeal had been correct in upholding this conviction.</w:t>
      </w:r>
      <w:r>
        <w:rPr>
          <w:rStyle w:val="EndnoteReference"/>
          <w:rFonts w:ascii="Times New Roman" w:eastAsia="Calibri" w:hAnsi="Times New Roman" w:cs="Times New Roman"/>
          <w:sz w:val="24"/>
          <w:szCs w:val="24"/>
        </w:rPr>
        <w:endnoteReference w:id="20"/>
      </w:r>
      <w:r>
        <w:rPr>
          <w:rFonts w:ascii="Times New Roman" w:eastAsia="Calibri" w:hAnsi="Times New Roman" w:cs="Times New Roman"/>
          <w:sz w:val="24"/>
          <w:szCs w:val="24"/>
        </w:rPr>
        <w:t xml:space="preserve">  The issue at the heart of the appeal</w:t>
      </w:r>
      <w:r w:rsidR="00595823">
        <w:rPr>
          <w:rFonts w:ascii="Times New Roman" w:eastAsia="Calibri" w:hAnsi="Times New Roman" w:cs="Times New Roman"/>
          <w:sz w:val="24"/>
          <w:szCs w:val="24"/>
        </w:rPr>
        <w:t>,</w:t>
      </w:r>
      <w:r w:rsidR="00C46192">
        <w:rPr>
          <w:rFonts w:ascii="Times New Roman" w:eastAsia="Calibri" w:hAnsi="Times New Roman" w:cs="Times New Roman"/>
          <w:sz w:val="24"/>
          <w:szCs w:val="24"/>
        </w:rPr>
        <w:t xml:space="preserve"> as considered by the court</w:t>
      </w:r>
      <w:r>
        <w:rPr>
          <w:rFonts w:ascii="Times New Roman" w:eastAsia="Calibri" w:hAnsi="Times New Roman" w:cs="Times New Roman"/>
          <w:sz w:val="24"/>
          <w:szCs w:val="24"/>
        </w:rPr>
        <w:t>, was not the defendant’s action in supplying the whisky</w:t>
      </w:r>
      <w:r w:rsidR="00476FAD">
        <w:rPr>
          <w:rFonts w:ascii="Times New Roman" w:eastAsia="Calibri" w:hAnsi="Times New Roman" w:cs="Times New Roman"/>
          <w:sz w:val="24"/>
          <w:szCs w:val="24"/>
        </w:rPr>
        <w:t xml:space="preserve"> </w:t>
      </w:r>
      <w:r>
        <w:rPr>
          <w:rFonts w:ascii="Times New Roman" w:eastAsia="Calibri" w:hAnsi="Times New Roman" w:cs="Times New Roman"/>
          <w:sz w:val="24"/>
          <w:szCs w:val="24"/>
        </w:rPr>
        <w:t>but the voluntariness of the victim’s action in choosing to drink the whisky.</w:t>
      </w:r>
      <w:r w:rsidR="001549E9">
        <w:rPr>
          <w:rFonts w:ascii="Times New Roman" w:eastAsia="Calibri" w:hAnsi="Times New Roman" w:cs="Times New Roman"/>
          <w:sz w:val="24"/>
          <w:szCs w:val="24"/>
        </w:rPr>
        <w:t xml:space="preserve">  </w:t>
      </w:r>
    </w:p>
    <w:p w14:paraId="02B1D9B9" w14:textId="77777777" w:rsidR="005F6C47" w:rsidRDefault="005F6C47" w:rsidP="005A62CC">
      <w:pPr>
        <w:spacing w:line="360" w:lineRule="auto"/>
        <w:contextualSpacing/>
        <w:jc w:val="both"/>
        <w:rPr>
          <w:rFonts w:ascii="Times New Roman" w:eastAsia="Calibri" w:hAnsi="Times New Roman" w:cs="Times New Roman"/>
          <w:sz w:val="24"/>
          <w:szCs w:val="24"/>
        </w:rPr>
      </w:pPr>
    </w:p>
    <w:p w14:paraId="425F4D93" w14:textId="04A18E76"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Court of Appeal</w:t>
      </w:r>
      <w:r w:rsidR="005F7E05">
        <w:rPr>
          <w:rFonts w:ascii="Times New Roman" w:eastAsia="Calibri" w:hAnsi="Times New Roman" w:cs="Times New Roman"/>
          <w:sz w:val="24"/>
          <w:szCs w:val="24"/>
        </w:rPr>
        <w:t xml:space="preserve"> considered whether </w:t>
      </w:r>
      <w:r>
        <w:rPr>
          <w:rFonts w:ascii="Times New Roman" w:eastAsia="Calibri" w:hAnsi="Times New Roman" w:cs="Times New Roman"/>
          <w:sz w:val="24"/>
          <w:szCs w:val="24"/>
        </w:rPr>
        <w:t xml:space="preserve">the victim drinking the whisky was a </w:t>
      </w:r>
      <w:r>
        <w:rPr>
          <w:rFonts w:ascii="Times New Roman" w:eastAsia="Calibri" w:hAnsi="Times New Roman" w:cs="Times New Roman"/>
          <w:i/>
          <w:iCs/>
          <w:sz w:val="24"/>
          <w:szCs w:val="24"/>
        </w:rPr>
        <w:t>novus actus interveniens</w:t>
      </w:r>
      <w:r w:rsidR="00677C4A">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005F7E05" w:rsidRPr="00A32FA4">
        <w:rPr>
          <w:rFonts w:ascii="Times New Roman" w:eastAsia="Calibri" w:hAnsi="Times New Roman" w:cs="Times New Roman"/>
          <w:sz w:val="24"/>
          <w:szCs w:val="24"/>
        </w:rPr>
        <w:t>and determined that the</w:t>
      </w:r>
      <w:r w:rsidR="00A32FA4">
        <w:rPr>
          <w:rFonts w:ascii="Times New Roman" w:eastAsia="Calibri" w:hAnsi="Times New Roman" w:cs="Times New Roman"/>
          <w:sz w:val="24"/>
          <w:szCs w:val="24"/>
        </w:rPr>
        <w:t>re had not been a</w:t>
      </w:r>
      <w:r>
        <w:rPr>
          <w:rFonts w:ascii="Times New Roman" w:eastAsia="Calibri" w:hAnsi="Times New Roman" w:cs="Times New Roman"/>
          <w:sz w:val="24"/>
          <w:szCs w:val="24"/>
        </w:rPr>
        <w:t xml:space="preserve"> break</w:t>
      </w:r>
      <w:r w:rsidR="00CE4870">
        <w:rPr>
          <w:rFonts w:ascii="Times New Roman" w:eastAsia="Calibri" w:hAnsi="Times New Roman" w:cs="Times New Roman"/>
          <w:sz w:val="24"/>
          <w:szCs w:val="24"/>
        </w:rPr>
        <w:t xml:space="preserve"> in</w:t>
      </w:r>
      <w:r>
        <w:rPr>
          <w:rFonts w:ascii="Times New Roman" w:eastAsia="Calibri" w:hAnsi="Times New Roman" w:cs="Times New Roman"/>
          <w:sz w:val="24"/>
          <w:szCs w:val="24"/>
        </w:rPr>
        <w:t xml:space="preserve"> the chain of causation between the defendant supplying the whisky and the victim’s subsequent death.</w:t>
      </w:r>
      <w:r>
        <w:rPr>
          <w:rStyle w:val="EndnoteReference"/>
          <w:rFonts w:ascii="Times New Roman" w:eastAsia="Calibri" w:hAnsi="Times New Roman" w:cs="Times New Roman"/>
          <w:sz w:val="24"/>
          <w:szCs w:val="24"/>
        </w:rPr>
        <w:endnoteReference w:id="21"/>
      </w:r>
      <w:r>
        <w:rPr>
          <w:rFonts w:ascii="Times New Roman" w:eastAsia="Calibri" w:hAnsi="Times New Roman" w:cs="Times New Roman"/>
          <w:sz w:val="24"/>
          <w:szCs w:val="24"/>
        </w:rPr>
        <w:t xml:space="preserve">  In coming to this conclusion the court considered the binding precedent set in </w:t>
      </w:r>
      <w:r w:rsidRPr="004812EB">
        <w:rPr>
          <w:rFonts w:ascii="Times New Roman" w:eastAsia="Calibri" w:hAnsi="Times New Roman" w:cs="Times New Roman"/>
          <w:i/>
          <w:iCs/>
          <w:sz w:val="24"/>
          <w:szCs w:val="24"/>
        </w:rPr>
        <w:t>R v Kennedy</w:t>
      </w:r>
      <w:r w:rsidRPr="004D74CD">
        <w:rPr>
          <w:rFonts w:ascii="Times New Roman" w:eastAsia="Calibri" w:hAnsi="Times New Roman" w:cs="Times New Roman"/>
          <w:sz w:val="24"/>
          <w:szCs w:val="24"/>
        </w:rPr>
        <w:t>.</w:t>
      </w:r>
      <w:r w:rsidRPr="004812EB">
        <w:rPr>
          <w:rStyle w:val="EndnoteReference"/>
          <w:rFonts w:ascii="Times New Roman" w:eastAsia="Calibri" w:hAnsi="Times New Roman" w:cs="Times New Roman"/>
          <w:sz w:val="24"/>
          <w:szCs w:val="24"/>
        </w:rPr>
        <w:endnoteReference w:id="22"/>
      </w:r>
      <w:r>
        <w:rPr>
          <w:rFonts w:ascii="Times New Roman" w:eastAsia="Calibri" w:hAnsi="Times New Roman" w:cs="Times New Roman"/>
          <w:sz w:val="24"/>
          <w:szCs w:val="24"/>
        </w:rPr>
        <w:t xml:space="preserve">  In </w:t>
      </w:r>
      <w:r w:rsidR="00393E7A">
        <w:rPr>
          <w:rFonts w:ascii="Times New Roman" w:eastAsia="Calibri" w:hAnsi="Times New Roman" w:cs="Times New Roman"/>
          <w:i/>
          <w:iCs/>
          <w:sz w:val="24"/>
          <w:szCs w:val="24"/>
        </w:rPr>
        <w:t xml:space="preserve">R v </w:t>
      </w:r>
      <w:r>
        <w:rPr>
          <w:rFonts w:ascii="Times New Roman" w:eastAsia="Calibri" w:hAnsi="Times New Roman" w:cs="Times New Roman"/>
          <w:i/>
          <w:iCs/>
          <w:sz w:val="24"/>
          <w:szCs w:val="24"/>
        </w:rPr>
        <w:t xml:space="preserve">Kennedy </w:t>
      </w:r>
      <w:r>
        <w:rPr>
          <w:rFonts w:ascii="Times New Roman" w:eastAsia="Calibri" w:hAnsi="Times New Roman" w:cs="Times New Roman"/>
          <w:sz w:val="24"/>
          <w:szCs w:val="24"/>
        </w:rPr>
        <w:t xml:space="preserve">the House of Lords </w:t>
      </w:r>
      <w:r w:rsidRPr="00717F8C">
        <w:rPr>
          <w:rFonts w:ascii="Times New Roman" w:eastAsia="Calibri" w:hAnsi="Times New Roman" w:cs="Times New Roman"/>
          <w:sz w:val="24"/>
          <w:szCs w:val="24"/>
        </w:rPr>
        <w:t>established that</w:t>
      </w:r>
      <w:r>
        <w:rPr>
          <w:rFonts w:ascii="Times New Roman" w:eastAsia="Calibri" w:hAnsi="Times New Roman" w:cs="Times New Roman"/>
          <w:sz w:val="24"/>
          <w:szCs w:val="24"/>
        </w:rPr>
        <w:t xml:space="preserve"> </w:t>
      </w:r>
      <w:r w:rsidRPr="00B276A8">
        <w:rPr>
          <w:rFonts w:ascii="Times New Roman" w:eastAsia="Calibri" w:hAnsi="Times New Roman" w:cs="Times New Roman"/>
          <w:sz w:val="24"/>
          <w:szCs w:val="24"/>
        </w:rPr>
        <w:t xml:space="preserve">free, deliberate and informed conduct on the part of </w:t>
      </w:r>
      <w:r>
        <w:rPr>
          <w:rFonts w:ascii="Times New Roman" w:eastAsia="Calibri" w:hAnsi="Times New Roman" w:cs="Times New Roman"/>
          <w:sz w:val="24"/>
          <w:szCs w:val="24"/>
        </w:rPr>
        <w:t>the victim</w:t>
      </w:r>
      <w:r w:rsidRPr="00B276A8">
        <w:rPr>
          <w:rFonts w:ascii="Times New Roman" w:eastAsia="Calibri" w:hAnsi="Times New Roman" w:cs="Times New Roman"/>
          <w:sz w:val="24"/>
          <w:szCs w:val="24"/>
        </w:rPr>
        <w:t xml:space="preserve"> or a third party, that supervenes over</w:t>
      </w:r>
      <w:r w:rsidR="00677C4A">
        <w:rPr>
          <w:rFonts w:ascii="Times New Roman" w:eastAsia="Calibri" w:hAnsi="Times New Roman" w:cs="Times New Roman"/>
          <w:sz w:val="24"/>
          <w:szCs w:val="24"/>
        </w:rPr>
        <w:t xml:space="preserve"> the</w:t>
      </w:r>
      <w:r w:rsidRPr="00B276A8">
        <w:rPr>
          <w:rFonts w:ascii="Times New Roman" w:eastAsia="Calibri" w:hAnsi="Times New Roman" w:cs="Times New Roman"/>
          <w:sz w:val="24"/>
          <w:szCs w:val="24"/>
        </w:rPr>
        <w:t xml:space="preserve"> </w:t>
      </w:r>
      <w:r>
        <w:rPr>
          <w:rFonts w:ascii="Times New Roman" w:eastAsia="Calibri" w:hAnsi="Times New Roman" w:cs="Times New Roman"/>
          <w:sz w:val="24"/>
          <w:szCs w:val="24"/>
        </w:rPr>
        <w:t>defendant</w:t>
      </w:r>
      <w:r w:rsidRPr="00B276A8">
        <w:rPr>
          <w:rFonts w:ascii="Times New Roman" w:eastAsia="Calibri" w:hAnsi="Times New Roman" w:cs="Times New Roman"/>
          <w:sz w:val="24"/>
          <w:szCs w:val="24"/>
        </w:rPr>
        <w:t>’s act, will start a new chain of causation</w:t>
      </w:r>
      <w:r>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23"/>
      </w:r>
      <w:r>
        <w:rPr>
          <w:rFonts w:ascii="Times New Roman" w:eastAsia="Calibri" w:hAnsi="Times New Roman" w:cs="Times New Roman"/>
          <w:sz w:val="24"/>
          <w:szCs w:val="24"/>
        </w:rPr>
        <w:t xml:space="preserve">  This is because, despite what determinists would argue, ‘[a]</w:t>
      </w:r>
      <w:r w:rsidRPr="00754293">
        <w:rPr>
          <w:rFonts w:ascii="Times New Roman" w:eastAsia="Calibri" w:hAnsi="Times New Roman" w:cs="Times New Roman"/>
          <w:sz w:val="24"/>
          <w:szCs w:val="24"/>
        </w:rPr>
        <w:t>dults of sound mind are autonomous beings, who are free to make their own decisions</w:t>
      </w:r>
      <w:r>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24"/>
      </w:r>
      <w:r w:rsidR="00666673">
        <w:rPr>
          <w:rFonts w:ascii="Times New Roman" w:eastAsia="Calibri" w:hAnsi="Times New Roman" w:cs="Times New Roman"/>
          <w:sz w:val="24"/>
          <w:szCs w:val="24"/>
        </w:rPr>
        <w:t xml:space="preserve">  Therefore, the defendant should not be held criminally responsible when the</w:t>
      </w:r>
      <w:r w:rsidR="00FC3465">
        <w:rPr>
          <w:rFonts w:ascii="Times New Roman" w:eastAsia="Calibri" w:hAnsi="Times New Roman" w:cs="Times New Roman"/>
          <w:sz w:val="24"/>
          <w:szCs w:val="24"/>
        </w:rPr>
        <w:t xml:space="preserve"> victim’s death can be attributed to</w:t>
      </w:r>
      <w:r w:rsidR="00666673">
        <w:rPr>
          <w:rFonts w:ascii="Times New Roman" w:eastAsia="Calibri" w:hAnsi="Times New Roman" w:cs="Times New Roman"/>
          <w:sz w:val="24"/>
          <w:szCs w:val="24"/>
        </w:rPr>
        <w:t xml:space="preserve"> </w:t>
      </w:r>
      <w:r w:rsidR="008E649D">
        <w:rPr>
          <w:rFonts w:ascii="Times New Roman" w:eastAsia="Calibri" w:hAnsi="Times New Roman" w:cs="Times New Roman"/>
          <w:sz w:val="24"/>
          <w:szCs w:val="24"/>
        </w:rPr>
        <w:t xml:space="preserve">the </w:t>
      </w:r>
      <w:r w:rsidR="00666673">
        <w:rPr>
          <w:rFonts w:ascii="Times New Roman" w:eastAsia="Calibri" w:hAnsi="Times New Roman" w:cs="Times New Roman"/>
          <w:sz w:val="24"/>
          <w:szCs w:val="24"/>
        </w:rPr>
        <w:t>victim</w:t>
      </w:r>
      <w:r w:rsidR="00FC3465">
        <w:rPr>
          <w:rFonts w:ascii="Times New Roman" w:eastAsia="Calibri" w:hAnsi="Times New Roman" w:cs="Times New Roman"/>
          <w:sz w:val="24"/>
          <w:szCs w:val="24"/>
        </w:rPr>
        <w:t>’s own actions.</w:t>
      </w:r>
    </w:p>
    <w:p w14:paraId="357C1CB3" w14:textId="77777777" w:rsidR="001C71C2" w:rsidRDefault="001C71C2" w:rsidP="005A62CC">
      <w:pPr>
        <w:spacing w:line="360" w:lineRule="auto"/>
        <w:contextualSpacing/>
        <w:jc w:val="both"/>
        <w:rPr>
          <w:rFonts w:ascii="Times New Roman" w:eastAsia="Calibri" w:hAnsi="Times New Roman" w:cs="Times New Roman"/>
          <w:sz w:val="24"/>
          <w:szCs w:val="24"/>
        </w:rPr>
      </w:pPr>
    </w:p>
    <w:p w14:paraId="600A7014" w14:textId="13300E70"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then poses the question of when the victim’s actions can be deemed truly free, deliberate, and </w:t>
      </w:r>
      <w:r w:rsidR="00595823">
        <w:rPr>
          <w:rFonts w:ascii="Times New Roman" w:eastAsia="Calibri" w:hAnsi="Times New Roman" w:cs="Times New Roman"/>
          <w:sz w:val="24"/>
          <w:szCs w:val="24"/>
        </w:rPr>
        <w:t>informed,</w:t>
      </w:r>
      <w:r>
        <w:rPr>
          <w:rFonts w:ascii="Times New Roman" w:eastAsia="Calibri" w:hAnsi="Times New Roman" w:cs="Times New Roman"/>
          <w:sz w:val="24"/>
          <w:szCs w:val="24"/>
        </w:rPr>
        <w:t xml:space="preserve"> or in other words, voluntary.  </w:t>
      </w:r>
      <w:r w:rsidRPr="00101401">
        <w:rPr>
          <w:rFonts w:ascii="Times New Roman" w:eastAsia="Calibri" w:hAnsi="Times New Roman" w:cs="Times New Roman"/>
          <w:sz w:val="24"/>
          <w:szCs w:val="24"/>
        </w:rPr>
        <w:t>In</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R v Kennedy</w:t>
      </w:r>
      <w:r>
        <w:rPr>
          <w:rFonts w:ascii="Times New Roman" w:eastAsia="Calibri" w:hAnsi="Times New Roman" w:cs="Times New Roman"/>
          <w:sz w:val="24"/>
          <w:szCs w:val="24"/>
        </w:rPr>
        <w:t xml:space="preserve"> the House of Lords were not asked </w:t>
      </w:r>
      <w:r>
        <w:rPr>
          <w:rFonts w:ascii="Times New Roman" w:eastAsia="Calibri" w:hAnsi="Times New Roman" w:cs="Times New Roman"/>
          <w:sz w:val="24"/>
          <w:szCs w:val="24"/>
        </w:rPr>
        <w:lastRenderedPageBreak/>
        <w:t>to consider this</w:t>
      </w:r>
      <w:r w:rsidR="008E649D">
        <w:rPr>
          <w:rFonts w:ascii="Times New Roman" w:eastAsia="Calibri" w:hAnsi="Times New Roman" w:cs="Times New Roman"/>
          <w:sz w:val="24"/>
          <w:szCs w:val="24"/>
        </w:rPr>
        <w:t>,</w:t>
      </w:r>
      <w:r>
        <w:rPr>
          <w:rFonts w:ascii="Times New Roman" w:eastAsia="Calibri" w:hAnsi="Times New Roman" w:cs="Times New Roman"/>
          <w:sz w:val="24"/>
          <w:szCs w:val="24"/>
        </w:rPr>
        <w:t xml:space="preserve"> but proceeded on the assumption that the victim’s actions were such, as in supplying drugs the defendant was only facilitating the victim to voluntarily cause harm to himself.</w:t>
      </w:r>
      <w:r>
        <w:rPr>
          <w:rStyle w:val="EndnoteReference"/>
          <w:rFonts w:ascii="Times New Roman" w:eastAsia="Calibri" w:hAnsi="Times New Roman" w:cs="Times New Roman"/>
          <w:sz w:val="24"/>
          <w:szCs w:val="24"/>
        </w:rPr>
        <w:endnoteReference w:id="25"/>
      </w:r>
      <w:r>
        <w:rPr>
          <w:rFonts w:ascii="Times New Roman" w:eastAsia="Calibri" w:hAnsi="Times New Roman" w:cs="Times New Roman"/>
          <w:sz w:val="24"/>
          <w:szCs w:val="24"/>
        </w:rPr>
        <w:t xml:space="preserve">  Whilst this simple analysis </w:t>
      </w:r>
      <w:r w:rsidR="000354C6">
        <w:rPr>
          <w:rFonts w:ascii="Times New Roman" w:eastAsia="Calibri" w:hAnsi="Times New Roman" w:cs="Times New Roman"/>
          <w:sz w:val="24"/>
          <w:szCs w:val="24"/>
        </w:rPr>
        <w:t>‘</w:t>
      </w:r>
      <w:r w:rsidRPr="00355B6C">
        <w:rPr>
          <w:rFonts w:ascii="Times New Roman" w:eastAsia="Calibri" w:hAnsi="Times New Roman" w:cs="Times New Roman"/>
          <w:sz w:val="24"/>
          <w:szCs w:val="24"/>
        </w:rPr>
        <w:t>avoids the jury having to consider the philosophical question of whether there are degrees of volition</w:t>
      </w:r>
      <w:r w:rsidR="000354C6">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26"/>
      </w:r>
      <w:r>
        <w:rPr>
          <w:rFonts w:ascii="Times New Roman" w:eastAsia="Calibri" w:hAnsi="Times New Roman" w:cs="Times New Roman"/>
          <w:sz w:val="24"/>
          <w:szCs w:val="24"/>
        </w:rPr>
        <w:t xml:space="preserve"> it ignores that </w:t>
      </w:r>
      <w:r w:rsidRPr="00355B6C">
        <w:rPr>
          <w:rFonts w:ascii="Times New Roman" w:eastAsia="Calibri" w:hAnsi="Times New Roman" w:cs="Times New Roman"/>
          <w:sz w:val="24"/>
          <w:szCs w:val="24"/>
        </w:rPr>
        <w:t xml:space="preserve">drug addicts’ actions </w:t>
      </w:r>
      <w:r>
        <w:rPr>
          <w:rFonts w:ascii="Times New Roman" w:eastAsia="Calibri" w:hAnsi="Times New Roman" w:cs="Times New Roman"/>
          <w:sz w:val="24"/>
          <w:szCs w:val="24"/>
        </w:rPr>
        <w:t xml:space="preserve">are not </w:t>
      </w:r>
      <w:r w:rsidRPr="00355B6C">
        <w:rPr>
          <w:rFonts w:ascii="Times New Roman" w:eastAsia="Calibri" w:hAnsi="Times New Roman" w:cs="Times New Roman"/>
          <w:sz w:val="24"/>
          <w:szCs w:val="24"/>
        </w:rPr>
        <w:t xml:space="preserve">truly free </w:t>
      </w:r>
      <w:r>
        <w:rPr>
          <w:rFonts w:ascii="Times New Roman" w:eastAsia="Calibri" w:hAnsi="Times New Roman" w:cs="Times New Roman"/>
          <w:sz w:val="24"/>
          <w:szCs w:val="24"/>
        </w:rPr>
        <w:t>as they</w:t>
      </w:r>
      <w:r w:rsidRPr="00355B6C">
        <w:rPr>
          <w:rFonts w:ascii="Times New Roman" w:eastAsia="Calibri" w:hAnsi="Times New Roman" w:cs="Times New Roman"/>
          <w:sz w:val="24"/>
          <w:szCs w:val="24"/>
        </w:rPr>
        <w:t xml:space="preserve"> are determined by their addiction</w:t>
      </w:r>
      <w:r>
        <w:rPr>
          <w:rFonts w:ascii="Times New Roman" w:eastAsia="Calibri" w:hAnsi="Times New Roman" w:cs="Times New Roman"/>
          <w:sz w:val="24"/>
          <w:szCs w:val="24"/>
        </w:rPr>
        <w:t>.</w:t>
      </w:r>
      <w:r w:rsidR="00930753">
        <w:rPr>
          <w:rStyle w:val="EndnoteReference"/>
          <w:rFonts w:ascii="Times New Roman" w:eastAsia="Calibri" w:hAnsi="Times New Roman" w:cs="Times New Roman"/>
          <w:sz w:val="24"/>
          <w:szCs w:val="24"/>
        </w:rPr>
        <w:endnoteReference w:id="27"/>
      </w:r>
      <w:r w:rsidR="00D67888">
        <w:rPr>
          <w:rFonts w:ascii="Times New Roman" w:eastAsia="Calibri" w:hAnsi="Times New Roman" w:cs="Times New Roman"/>
          <w:sz w:val="24"/>
          <w:szCs w:val="24"/>
        </w:rPr>
        <w:t xml:space="preserve">  </w:t>
      </w:r>
      <w:r w:rsidR="00FC20AC">
        <w:rPr>
          <w:rFonts w:ascii="Times New Roman" w:eastAsia="Calibri" w:hAnsi="Times New Roman" w:cs="Times New Roman"/>
          <w:sz w:val="24"/>
          <w:szCs w:val="24"/>
        </w:rPr>
        <w:t>As Moore pronounces, ‘there is no reason whatever to think that willings are uncaused</w:t>
      </w:r>
      <w:r w:rsidR="00E07E18">
        <w:rPr>
          <w:rFonts w:ascii="Times New Roman" w:eastAsia="Calibri" w:hAnsi="Times New Roman" w:cs="Times New Roman"/>
          <w:sz w:val="24"/>
          <w:szCs w:val="24"/>
        </w:rPr>
        <w:t>… physically realized events are both causes and effects of earlier causes.’</w:t>
      </w:r>
      <w:r w:rsidR="00E07E18">
        <w:rPr>
          <w:rStyle w:val="EndnoteReference"/>
          <w:rFonts w:ascii="Times New Roman" w:eastAsia="Calibri" w:hAnsi="Times New Roman" w:cs="Times New Roman"/>
          <w:sz w:val="24"/>
          <w:szCs w:val="24"/>
        </w:rPr>
        <w:endnoteReference w:id="28"/>
      </w:r>
      <w:r w:rsidR="00E07E18">
        <w:rPr>
          <w:rFonts w:ascii="Times New Roman" w:eastAsia="Calibri" w:hAnsi="Times New Roman" w:cs="Times New Roman"/>
          <w:sz w:val="24"/>
          <w:szCs w:val="24"/>
        </w:rPr>
        <w:t xml:space="preserve"> </w:t>
      </w:r>
      <w:r w:rsidR="00FC20AC">
        <w:rPr>
          <w:rFonts w:ascii="Times New Roman" w:eastAsia="Calibri" w:hAnsi="Times New Roman" w:cs="Times New Roman"/>
          <w:sz w:val="24"/>
          <w:szCs w:val="24"/>
        </w:rPr>
        <w:t xml:space="preserve"> </w:t>
      </w:r>
      <w:r w:rsidR="00E07E18">
        <w:rPr>
          <w:rFonts w:ascii="Times New Roman" w:eastAsia="Calibri" w:hAnsi="Times New Roman" w:cs="Times New Roman"/>
          <w:sz w:val="24"/>
          <w:szCs w:val="24"/>
        </w:rPr>
        <w:t xml:space="preserve">Meaning that the choice the drug addict makes is dependent on a life full of experiences and beliefs that shape the decision made.  </w:t>
      </w:r>
      <w:r w:rsidR="00787051">
        <w:rPr>
          <w:rFonts w:ascii="Times New Roman" w:eastAsia="Calibri" w:hAnsi="Times New Roman" w:cs="Times New Roman"/>
          <w:sz w:val="24"/>
          <w:szCs w:val="24"/>
        </w:rPr>
        <w:t>According to</w:t>
      </w:r>
      <w:r w:rsidR="00D67888">
        <w:rPr>
          <w:rFonts w:ascii="Times New Roman" w:eastAsia="Calibri" w:hAnsi="Times New Roman" w:cs="Times New Roman"/>
          <w:sz w:val="24"/>
          <w:szCs w:val="24"/>
        </w:rPr>
        <w:t xml:space="preserve"> the thin skull rule</w:t>
      </w:r>
      <w:r w:rsidR="00530650">
        <w:rPr>
          <w:rFonts w:ascii="Times New Roman" w:eastAsia="Calibri" w:hAnsi="Times New Roman" w:cs="Times New Roman"/>
          <w:sz w:val="24"/>
          <w:szCs w:val="24"/>
        </w:rPr>
        <w:t xml:space="preserve">, </w:t>
      </w:r>
      <w:r w:rsidR="00787051">
        <w:rPr>
          <w:rFonts w:ascii="Times New Roman" w:eastAsia="Calibri" w:hAnsi="Times New Roman" w:cs="Times New Roman"/>
          <w:sz w:val="24"/>
          <w:szCs w:val="24"/>
        </w:rPr>
        <w:t>the</w:t>
      </w:r>
      <w:r w:rsidR="00530650">
        <w:rPr>
          <w:rFonts w:ascii="Times New Roman" w:eastAsia="Calibri" w:hAnsi="Times New Roman" w:cs="Times New Roman"/>
          <w:sz w:val="24"/>
          <w:szCs w:val="24"/>
        </w:rPr>
        <w:t xml:space="preserve"> defendant </w:t>
      </w:r>
      <w:r w:rsidR="005F2634">
        <w:rPr>
          <w:rFonts w:ascii="Times New Roman" w:eastAsia="Calibri" w:hAnsi="Times New Roman" w:cs="Times New Roman"/>
          <w:sz w:val="24"/>
          <w:szCs w:val="24"/>
        </w:rPr>
        <w:t>must</w:t>
      </w:r>
      <w:r w:rsidR="00530650">
        <w:rPr>
          <w:rFonts w:ascii="Times New Roman" w:eastAsia="Calibri" w:hAnsi="Times New Roman" w:cs="Times New Roman"/>
          <w:sz w:val="24"/>
          <w:szCs w:val="24"/>
        </w:rPr>
        <w:t xml:space="preserve"> take their victim as they find them</w:t>
      </w:r>
      <w:r w:rsidR="0056042D">
        <w:rPr>
          <w:rFonts w:ascii="Times New Roman" w:eastAsia="Calibri" w:hAnsi="Times New Roman" w:cs="Times New Roman"/>
          <w:sz w:val="24"/>
          <w:szCs w:val="24"/>
        </w:rPr>
        <w:t>.</w:t>
      </w:r>
      <w:r w:rsidR="008E649D">
        <w:rPr>
          <w:rFonts w:ascii="Times New Roman" w:eastAsia="Calibri" w:hAnsi="Times New Roman" w:cs="Times New Roman"/>
          <w:sz w:val="24"/>
          <w:szCs w:val="24"/>
        </w:rPr>
        <w:t xml:space="preserve">  This is not limited to physical attributes.</w:t>
      </w:r>
      <w:r w:rsidR="008E649D">
        <w:rPr>
          <w:rStyle w:val="EndnoteReference"/>
          <w:rFonts w:ascii="Times New Roman" w:eastAsia="Calibri" w:hAnsi="Times New Roman" w:cs="Times New Roman"/>
          <w:sz w:val="24"/>
          <w:szCs w:val="24"/>
        </w:rPr>
        <w:endnoteReference w:id="29"/>
      </w:r>
      <w:r w:rsidR="0056042D">
        <w:rPr>
          <w:rFonts w:ascii="Times New Roman" w:eastAsia="Calibri" w:hAnsi="Times New Roman" w:cs="Times New Roman"/>
          <w:sz w:val="24"/>
          <w:szCs w:val="24"/>
        </w:rPr>
        <w:t xml:space="preserve">  </w:t>
      </w:r>
      <w:r w:rsidR="00FC3465">
        <w:rPr>
          <w:rFonts w:ascii="Times New Roman" w:eastAsia="Calibri" w:hAnsi="Times New Roman" w:cs="Times New Roman"/>
          <w:sz w:val="24"/>
          <w:szCs w:val="24"/>
        </w:rPr>
        <w:t>This means that</w:t>
      </w:r>
      <w:r w:rsidR="0056042D">
        <w:rPr>
          <w:rFonts w:ascii="Times New Roman" w:eastAsia="Calibri" w:hAnsi="Times New Roman" w:cs="Times New Roman"/>
          <w:sz w:val="24"/>
          <w:szCs w:val="24"/>
        </w:rPr>
        <w:t xml:space="preserve"> if the</w:t>
      </w:r>
      <w:r w:rsidR="005F6C47">
        <w:rPr>
          <w:rFonts w:ascii="Times New Roman" w:eastAsia="Calibri" w:hAnsi="Times New Roman" w:cs="Times New Roman"/>
          <w:sz w:val="24"/>
          <w:szCs w:val="24"/>
        </w:rPr>
        <w:t xml:space="preserve"> victim is</w:t>
      </w:r>
      <w:r w:rsidR="0056042D">
        <w:rPr>
          <w:rFonts w:ascii="Times New Roman" w:eastAsia="Calibri" w:hAnsi="Times New Roman" w:cs="Times New Roman"/>
          <w:sz w:val="24"/>
          <w:szCs w:val="24"/>
        </w:rPr>
        <w:t xml:space="preserve"> an addict </w:t>
      </w:r>
      <w:r w:rsidR="00601ECF">
        <w:rPr>
          <w:rFonts w:ascii="Times New Roman" w:eastAsia="Calibri" w:hAnsi="Times New Roman" w:cs="Times New Roman"/>
          <w:sz w:val="24"/>
          <w:szCs w:val="24"/>
        </w:rPr>
        <w:t>who</w:t>
      </w:r>
      <w:r w:rsidR="009D4F4A">
        <w:rPr>
          <w:rFonts w:ascii="Times New Roman" w:eastAsia="Calibri" w:hAnsi="Times New Roman" w:cs="Times New Roman"/>
          <w:sz w:val="24"/>
          <w:szCs w:val="24"/>
        </w:rPr>
        <w:t xml:space="preserve">se actions are not </w:t>
      </w:r>
      <w:r w:rsidR="007E016D">
        <w:rPr>
          <w:rFonts w:ascii="Times New Roman" w:eastAsia="Calibri" w:hAnsi="Times New Roman" w:cs="Times New Roman"/>
          <w:sz w:val="24"/>
          <w:szCs w:val="24"/>
        </w:rPr>
        <w:t>truly free</w:t>
      </w:r>
      <w:r w:rsidR="00770272">
        <w:rPr>
          <w:rFonts w:ascii="Times New Roman" w:eastAsia="Calibri" w:hAnsi="Times New Roman" w:cs="Times New Roman"/>
          <w:sz w:val="24"/>
          <w:szCs w:val="24"/>
        </w:rPr>
        <w:t>,</w:t>
      </w:r>
      <w:r w:rsidR="007E016D">
        <w:rPr>
          <w:rFonts w:ascii="Times New Roman" w:eastAsia="Calibri" w:hAnsi="Times New Roman" w:cs="Times New Roman"/>
          <w:sz w:val="24"/>
          <w:szCs w:val="24"/>
        </w:rPr>
        <w:t xml:space="preserve"> as they</w:t>
      </w:r>
      <w:r w:rsidR="00601ECF">
        <w:rPr>
          <w:rFonts w:ascii="Times New Roman" w:eastAsia="Calibri" w:hAnsi="Times New Roman" w:cs="Times New Roman"/>
          <w:sz w:val="24"/>
          <w:szCs w:val="24"/>
        </w:rPr>
        <w:t xml:space="preserve"> cannot resist the temptation of </w:t>
      </w:r>
      <w:r w:rsidR="005F2634">
        <w:rPr>
          <w:rFonts w:ascii="Times New Roman" w:eastAsia="Calibri" w:hAnsi="Times New Roman" w:cs="Times New Roman"/>
          <w:sz w:val="24"/>
          <w:szCs w:val="24"/>
        </w:rPr>
        <w:t xml:space="preserve">self-administrating the drug, </w:t>
      </w:r>
      <w:r w:rsidR="007E016D">
        <w:rPr>
          <w:rFonts w:ascii="Times New Roman" w:eastAsia="Calibri" w:hAnsi="Times New Roman" w:cs="Times New Roman"/>
          <w:sz w:val="24"/>
          <w:szCs w:val="24"/>
        </w:rPr>
        <w:t xml:space="preserve">the defendant </w:t>
      </w:r>
      <w:r w:rsidR="00654324">
        <w:rPr>
          <w:rFonts w:ascii="Times New Roman" w:eastAsia="Calibri" w:hAnsi="Times New Roman" w:cs="Times New Roman"/>
          <w:sz w:val="24"/>
          <w:szCs w:val="24"/>
        </w:rPr>
        <w:t xml:space="preserve">should not be able to </w:t>
      </w:r>
      <w:r w:rsidR="00770272">
        <w:rPr>
          <w:rFonts w:ascii="Times New Roman" w:eastAsia="Calibri" w:hAnsi="Times New Roman" w:cs="Times New Roman"/>
          <w:sz w:val="24"/>
          <w:szCs w:val="24"/>
        </w:rPr>
        <w:t xml:space="preserve">use this </w:t>
      </w:r>
      <w:r w:rsidR="00FC3465">
        <w:rPr>
          <w:rFonts w:ascii="Times New Roman" w:eastAsia="Calibri" w:hAnsi="Times New Roman" w:cs="Times New Roman"/>
          <w:sz w:val="24"/>
          <w:szCs w:val="24"/>
        </w:rPr>
        <w:t xml:space="preserve">as </w:t>
      </w:r>
      <w:r w:rsidR="00770272">
        <w:rPr>
          <w:rFonts w:ascii="Times New Roman" w:eastAsia="Calibri" w:hAnsi="Times New Roman" w:cs="Times New Roman"/>
          <w:sz w:val="24"/>
          <w:szCs w:val="24"/>
        </w:rPr>
        <w:t>an excuse to</w:t>
      </w:r>
      <w:r w:rsidR="007E016D">
        <w:rPr>
          <w:rFonts w:ascii="Times New Roman" w:eastAsia="Calibri" w:hAnsi="Times New Roman" w:cs="Times New Roman"/>
          <w:sz w:val="24"/>
          <w:szCs w:val="24"/>
        </w:rPr>
        <w:t xml:space="preserve"> </w:t>
      </w:r>
      <w:r w:rsidR="00A7319C">
        <w:rPr>
          <w:rFonts w:ascii="Times New Roman" w:eastAsia="Calibri" w:hAnsi="Times New Roman" w:cs="Times New Roman"/>
          <w:sz w:val="24"/>
          <w:szCs w:val="24"/>
        </w:rPr>
        <w:t>avoid liability</w:t>
      </w:r>
      <w:r w:rsidR="00206524">
        <w:rPr>
          <w:rFonts w:ascii="Times New Roman" w:eastAsia="Calibri" w:hAnsi="Times New Roman" w:cs="Times New Roman"/>
          <w:sz w:val="24"/>
          <w:szCs w:val="24"/>
        </w:rPr>
        <w:t>.</w:t>
      </w:r>
    </w:p>
    <w:p w14:paraId="3947E2EC" w14:textId="77777777" w:rsidR="00F1109C" w:rsidRDefault="00F1109C" w:rsidP="005A62CC">
      <w:pPr>
        <w:spacing w:line="360" w:lineRule="auto"/>
        <w:contextualSpacing/>
        <w:jc w:val="both"/>
        <w:rPr>
          <w:rFonts w:ascii="Times New Roman" w:eastAsia="Calibri" w:hAnsi="Times New Roman" w:cs="Times New Roman"/>
          <w:sz w:val="24"/>
          <w:szCs w:val="24"/>
        </w:rPr>
      </w:pPr>
    </w:p>
    <w:p w14:paraId="5D09CA4E" w14:textId="61E6A1A9" w:rsidR="004047D3" w:rsidRDefault="00654324"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Regardless, a</w:t>
      </w:r>
      <w:r w:rsidR="00863D30">
        <w:rPr>
          <w:rFonts w:ascii="Times New Roman" w:eastAsia="Calibri" w:hAnsi="Times New Roman" w:cs="Times New Roman"/>
          <w:sz w:val="24"/>
          <w:szCs w:val="24"/>
        </w:rPr>
        <w:t xml:space="preserve">s it was accepted that the victim’s actions were free, deliberate and informed in </w:t>
      </w:r>
      <w:r w:rsidR="00393E7A">
        <w:rPr>
          <w:rFonts w:ascii="Times New Roman" w:eastAsia="Calibri" w:hAnsi="Times New Roman" w:cs="Times New Roman"/>
          <w:i/>
          <w:iCs/>
          <w:sz w:val="24"/>
          <w:szCs w:val="24"/>
        </w:rPr>
        <w:t xml:space="preserve">R v </w:t>
      </w:r>
      <w:r w:rsidR="00863D30">
        <w:rPr>
          <w:rFonts w:ascii="Times New Roman" w:eastAsia="Calibri" w:hAnsi="Times New Roman" w:cs="Times New Roman"/>
          <w:i/>
          <w:iCs/>
          <w:sz w:val="24"/>
          <w:szCs w:val="24"/>
        </w:rPr>
        <w:t>Kennedy</w:t>
      </w:r>
      <w:r w:rsidR="00E73D85">
        <w:rPr>
          <w:rFonts w:ascii="Times New Roman" w:eastAsia="Calibri" w:hAnsi="Times New Roman" w:cs="Times New Roman"/>
          <w:i/>
          <w:iCs/>
          <w:sz w:val="24"/>
          <w:szCs w:val="24"/>
        </w:rPr>
        <w:t>,</w:t>
      </w:r>
      <w:r w:rsidR="00863D30">
        <w:rPr>
          <w:rFonts w:ascii="Times New Roman" w:eastAsia="Calibri" w:hAnsi="Times New Roman" w:cs="Times New Roman"/>
          <w:sz w:val="24"/>
          <w:szCs w:val="24"/>
        </w:rPr>
        <w:t xml:space="preserve"> t</w:t>
      </w:r>
      <w:r w:rsidR="004047D3">
        <w:rPr>
          <w:rFonts w:ascii="Times New Roman" w:eastAsia="Calibri" w:hAnsi="Times New Roman" w:cs="Times New Roman"/>
          <w:sz w:val="24"/>
          <w:szCs w:val="24"/>
        </w:rPr>
        <w:t>he defendant’s conviction for manslaughter was quashed</w:t>
      </w:r>
      <w:r w:rsidR="00E73D85">
        <w:rPr>
          <w:rFonts w:ascii="Times New Roman" w:eastAsia="Calibri" w:hAnsi="Times New Roman" w:cs="Times New Roman"/>
          <w:sz w:val="24"/>
          <w:szCs w:val="24"/>
        </w:rPr>
        <w:t xml:space="preserve">.  This, </w:t>
      </w:r>
      <w:r w:rsidR="004047D3">
        <w:rPr>
          <w:rFonts w:ascii="Times New Roman" w:eastAsia="Calibri" w:hAnsi="Times New Roman" w:cs="Times New Roman"/>
          <w:sz w:val="24"/>
          <w:szCs w:val="24"/>
        </w:rPr>
        <w:t>therefore, provid</w:t>
      </w:r>
      <w:r w:rsidR="00E73D85">
        <w:rPr>
          <w:rFonts w:ascii="Times New Roman" w:eastAsia="Calibri" w:hAnsi="Times New Roman" w:cs="Times New Roman"/>
          <w:sz w:val="24"/>
          <w:szCs w:val="24"/>
        </w:rPr>
        <w:t>ed</w:t>
      </w:r>
      <w:r w:rsidR="004047D3">
        <w:rPr>
          <w:rFonts w:ascii="Times New Roman" w:eastAsia="Calibri" w:hAnsi="Times New Roman" w:cs="Times New Roman"/>
          <w:sz w:val="24"/>
          <w:szCs w:val="24"/>
        </w:rPr>
        <w:t xml:space="preserve"> </w:t>
      </w:r>
      <w:r w:rsidR="00863D30">
        <w:rPr>
          <w:rFonts w:ascii="Times New Roman" w:eastAsia="Calibri" w:hAnsi="Times New Roman" w:cs="Times New Roman"/>
          <w:sz w:val="24"/>
          <w:szCs w:val="24"/>
        </w:rPr>
        <w:t xml:space="preserve">some </w:t>
      </w:r>
      <w:r w:rsidR="004047D3">
        <w:rPr>
          <w:rFonts w:ascii="Times New Roman" w:eastAsia="Calibri" w:hAnsi="Times New Roman" w:cs="Times New Roman"/>
          <w:sz w:val="24"/>
          <w:szCs w:val="24"/>
        </w:rPr>
        <w:t>direction on when the defendant’s actions in supplying drugs can be said to be the cause of the victim’s death.  It does</w:t>
      </w:r>
      <w:r w:rsidR="005A4D2F">
        <w:rPr>
          <w:rFonts w:ascii="Times New Roman" w:eastAsia="Calibri" w:hAnsi="Times New Roman" w:cs="Times New Roman"/>
          <w:sz w:val="24"/>
          <w:szCs w:val="24"/>
        </w:rPr>
        <w:t xml:space="preserve"> not</w:t>
      </w:r>
      <w:r w:rsidR="004047D3">
        <w:rPr>
          <w:rFonts w:ascii="Times New Roman" w:eastAsia="Calibri" w:hAnsi="Times New Roman" w:cs="Times New Roman"/>
          <w:sz w:val="24"/>
          <w:szCs w:val="24"/>
        </w:rPr>
        <w:t>, however, provide clarity of when the victim</w:t>
      </w:r>
      <w:r w:rsidR="00E07E18">
        <w:rPr>
          <w:rFonts w:ascii="Times New Roman" w:eastAsia="Calibri" w:hAnsi="Times New Roman" w:cs="Times New Roman"/>
          <w:sz w:val="24"/>
          <w:szCs w:val="24"/>
        </w:rPr>
        <w:t>’</w:t>
      </w:r>
      <w:r w:rsidR="004047D3">
        <w:rPr>
          <w:rFonts w:ascii="Times New Roman" w:eastAsia="Calibri" w:hAnsi="Times New Roman" w:cs="Times New Roman"/>
          <w:sz w:val="24"/>
          <w:szCs w:val="24"/>
        </w:rPr>
        <w:t>s actions will be deemed free, deliberate, and informed, and thus, voluntary.  This has meant that the law has not been consistently applied.  As Rasiah argues:</w:t>
      </w:r>
    </w:p>
    <w:p w14:paraId="013B0969" w14:textId="77777777" w:rsidR="00F1109C" w:rsidRDefault="00F1109C" w:rsidP="005A62CC">
      <w:pPr>
        <w:spacing w:line="360" w:lineRule="auto"/>
        <w:contextualSpacing/>
        <w:jc w:val="both"/>
        <w:rPr>
          <w:rFonts w:ascii="Times New Roman" w:eastAsia="Calibri" w:hAnsi="Times New Roman" w:cs="Times New Roman"/>
          <w:sz w:val="24"/>
          <w:szCs w:val="24"/>
        </w:rPr>
      </w:pPr>
    </w:p>
    <w:p w14:paraId="39985FFB" w14:textId="4CFB3954" w:rsidR="004047D3" w:rsidRDefault="000354C6" w:rsidP="005A62CC">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047D3">
        <w:rPr>
          <w:rFonts w:ascii="Times New Roman" w:eastAsia="Calibri" w:hAnsi="Times New Roman" w:cs="Times New Roman"/>
          <w:sz w:val="24"/>
          <w:szCs w:val="24"/>
        </w:rPr>
        <w:t xml:space="preserve">the Court of Appeal is willing to explore the range of the evaluative concept of voluntariness and whether an act is free, deliberate and informed, in order to limit the exculpatory effect of the </w:t>
      </w:r>
      <w:r w:rsidR="004047D3">
        <w:rPr>
          <w:rFonts w:ascii="Times New Roman" w:eastAsia="Calibri" w:hAnsi="Times New Roman" w:cs="Times New Roman"/>
          <w:i/>
          <w:iCs/>
          <w:sz w:val="24"/>
          <w:szCs w:val="24"/>
        </w:rPr>
        <w:t xml:space="preserve">novus actus interviens </w:t>
      </w:r>
      <w:r w:rsidR="004047D3">
        <w:rPr>
          <w:rFonts w:ascii="Times New Roman" w:eastAsia="Calibri" w:hAnsi="Times New Roman" w:cs="Times New Roman"/>
          <w:sz w:val="24"/>
          <w:szCs w:val="24"/>
        </w:rPr>
        <w:t xml:space="preserve">principle articulated by Lord Bingham in </w:t>
      </w:r>
      <w:r w:rsidR="004047D3">
        <w:rPr>
          <w:rFonts w:ascii="Times New Roman" w:eastAsia="Calibri" w:hAnsi="Times New Roman" w:cs="Times New Roman"/>
          <w:i/>
          <w:iCs/>
          <w:sz w:val="24"/>
          <w:szCs w:val="24"/>
        </w:rPr>
        <w:t>Kennedy</w:t>
      </w:r>
      <w:r w:rsidR="00393E7A">
        <w:rPr>
          <w:rFonts w:ascii="Times New Roman" w:eastAsia="Calibri" w:hAnsi="Times New Roman" w:cs="Times New Roman"/>
          <w:sz w:val="24"/>
          <w:szCs w:val="24"/>
        </w:rPr>
        <w:t>.</w:t>
      </w:r>
      <w:r w:rsidRPr="00393E7A">
        <w:rPr>
          <w:rFonts w:ascii="Times New Roman" w:eastAsia="Calibri" w:hAnsi="Times New Roman" w:cs="Times New Roman"/>
          <w:sz w:val="24"/>
          <w:szCs w:val="24"/>
        </w:rPr>
        <w:t>’</w:t>
      </w:r>
      <w:r w:rsidR="004047D3" w:rsidRPr="000354C6">
        <w:rPr>
          <w:rStyle w:val="EndnoteReference"/>
          <w:rFonts w:ascii="Times New Roman" w:eastAsia="Calibri" w:hAnsi="Times New Roman" w:cs="Times New Roman"/>
          <w:sz w:val="24"/>
          <w:szCs w:val="24"/>
        </w:rPr>
        <w:endnoteReference w:id="30"/>
      </w:r>
      <w:r w:rsidR="004047D3" w:rsidRPr="000354C6">
        <w:rPr>
          <w:rFonts w:ascii="Times New Roman" w:eastAsia="Calibri" w:hAnsi="Times New Roman" w:cs="Times New Roman"/>
          <w:sz w:val="24"/>
          <w:szCs w:val="24"/>
        </w:rPr>
        <w:t xml:space="preserve"> </w:t>
      </w:r>
      <w:r w:rsidR="004047D3" w:rsidRPr="0069301A">
        <w:rPr>
          <w:rFonts w:ascii="Times New Roman" w:eastAsia="Calibri" w:hAnsi="Times New Roman" w:cs="Times New Roman"/>
          <w:sz w:val="24"/>
          <w:szCs w:val="24"/>
        </w:rPr>
        <w:t xml:space="preserve"> </w:t>
      </w:r>
    </w:p>
    <w:p w14:paraId="4B385BCD" w14:textId="77777777" w:rsidR="00F1109C" w:rsidRDefault="00F1109C" w:rsidP="005A62CC">
      <w:pPr>
        <w:spacing w:line="360" w:lineRule="auto"/>
        <w:ind w:left="720"/>
        <w:contextualSpacing/>
        <w:jc w:val="both"/>
        <w:rPr>
          <w:rFonts w:ascii="Times New Roman" w:eastAsia="Calibri" w:hAnsi="Times New Roman" w:cs="Times New Roman"/>
          <w:sz w:val="24"/>
          <w:szCs w:val="24"/>
        </w:rPr>
      </w:pPr>
    </w:p>
    <w:p w14:paraId="7F002647" w14:textId="6DF78ECF"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such, in </w:t>
      </w:r>
      <w:r w:rsidRPr="004812EB">
        <w:rPr>
          <w:rFonts w:ascii="Times New Roman" w:eastAsia="Calibri" w:hAnsi="Times New Roman" w:cs="Times New Roman"/>
          <w:i/>
          <w:iCs/>
          <w:sz w:val="24"/>
          <w:szCs w:val="24"/>
        </w:rPr>
        <w:t>R v Wallace</w:t>
      </w:r>
      <w:r w:rsidRPr="004812EB">
        <w:rPr>
          <w:rStyle w:val="EndnoteReference"/>
          <w:rFonts w:ascii="Times New Roman" w:eastAsia="Calibri" w:hAnsi="Times New Roman" w:cs="Times New Roman"/>
          <w:sz w:val="24"/>
          <w:szCs w:val="24"/>
        </w:rPr>
        <w:endnoteReference w:id="31"/>
      </w:r>
      <w:r>
        <w:rPr>
          <w:rFonts w:ascii="Times New Roman" w:eastAsia="Calibri" w:hAnsi="Times New Roman" w:cs="Times New Roman"/>
          <w:sz w:val="24"/>
          <w:szCs w:val="24"/>
        </w:rPr>
        <w:t xml:space="preserve"> the</w:t>
      </w:r>
      <w:r w:rsidR="00E73D85">
        <w:rPr>
          <w:rFonts w:ascii="Times New Roman" w:eastAsia="Calibri" w:hAnsi="Times New Roman" w:cs="Times New Roman"/>
          <w:sz w:val="24"/>
          <w:szCs w:val="24"/>
        </w:rPr>
        <w:t xml:space="preserve"> Court of Appeal held that the</w:t>
      </w:r>
      <w:r>
        <w:rPr>
          <w:rFonts w:ascii="Times New Roman" w:eastAsia="Calibri" w:hAnsi="Times New Roman" w:cs="Times New Roman"/>
          <w:sz w:val="24"/>
          <w:szCs w:val="24"/>
        </w:rPr>
        <w:t xml:space="preserve"> victim choosing to end his life through the means of </w:t>
      </w:r>
      <w:r w:rsidR="00E73D85">
        <w:rPr>
          <w:rFonts w:ascii="Times New Roman" w:eastAsia="Calibri" w:hAnsi="Times New Roman" w:cs="Times New Roman"/>
          <w:sz w:val="24"/>
          <w:szCs w:val="24"/>
        </w:rPr>
        <w:t>euthanasia</w:t>
      </w:r>
      <w:r>
        <w:rPr>
          <w:rFonts w:ascii="Times New Roman" w:eastAsia="Calibri" w:hAnsi="Times New Roman" w:cs="Times New Roman"/>
          <w:sz w:val="24"/>
          <w:szCs w:val="24"/>
        </w:rPr>
        <w:t xml:space="preserve"> was deemed to be an involuntary action</w:t>
      </w:r>
      <w:r w:rsidR="00466C85">
        <w:rPr>
          <w:rFonts w:ascii="Times New Roman" w:eastAsia="Calibri" w:hAnsi="Times New Roman" w:cs="Times New Roman"/>
          <w:sz w:val="24"/>
          <w:szCs w:val="24"/>
        </w:rPr>
        <w:t>.  This was</w:t>
      </w:r>
      <w:r w:rsidRPr="004812EB">
        <w:rPr>
          <w:rFonts w:ascii="Times New Roman" w:eastAsia="Calibri" w:hAnsi="Times New Roman" w:cs="Times New Roman"/>
          <w:sz w:val="24"/>
          <w:szCs w:val="24"/>
        </w:rPr>
        <w:t xml:space="preserve"> </w:t>
      </w:r>
      <w:r>
        <w:rPr>
          <w:rFonts w:ascii="Times New Roman" w:eastAsia="Calibri" w:hAnsi="Times New Roman" w:cs="Times New Roman"/>
          <w:sz w:val="24"/>
          <w:szCs w:val="24"/>
        </w:rPr>
        <w:t>due to the life altering injuries he had sustained through an acid attack at the hands of his former girlfriend.</w:t>
      </w:r>
      <w:r w:rsidR="00466C85">
        <w:rPr>
          <w:rStyle w:val="EndnoteReference"/>
          <w:rFonts w:ascii="Times New Roman" w:eastAsia="Calibri" w:hAnsi="Times New Roman" w:cs="Times New Roman"/>
          <w:sz w:val="24"/>
          <w:szCs w:val="24"/>
        </w:rPr>
        <w:endnoteReference w:id="32"/>
      </w:r>
      <w:r>
        <w:rPr>
          <w:rFonts w:ascii="Times New Roman" w:eastAsia="Calibri" w:hAnsi="Times New Roman" w:cs="Times New Roman"/>
          <w:sz w:val="24"/>
          <w:szCs w:val="24"/>
        </w:rPr>
        <w:t xml:space="preserve">  Thus, unlike in </w:t>
      </w:r>
      <w:r w:rsidR="00393E7A">
        <w:rPr>
          <w:rFonts w:ascii="Times New Roman" w:eastAsia="Calibri" w:hAnsi="Times New Roman" w:cs="Times New Roman"/>
          <w:i/>
          <w:iCs/>
          <w:sz w:val="24"/>
          <w:szCs w:val="24"/>
        </w:rPr>
        <w:t xml:space="preserve">R v </w:t>
      </w:r>
      <w:r>
        <w:rPr>
          <w:rFonts w:ascii="Times New Roman" w:eastAsia="Calibri" w:hAnsi="Times New Roman" w:cs="Times New Roman"/>
          <w:i/>
          <w:iCs/>
          <w:sz w:val="24"/>
          <w:szCs w:val="24"/>
        </w:rPr>
        <w:t>Kennedy</w:t>
      </w:r>
      <w:r>
        <w:rPr>
          <w:rFonts w:ascii="Times New Roman" w:eastAsia="Calibri" w:hAnsi="Times New Roman" w:cs="Times New Roman"/>
          <w:sz w:val="24"/>
          <w:szCs w:val="24"/>
        </w:rPr>
        <w:t xml:space="preserve">, the jury </w:t>
      </w:r>
      <w:r w:rsidR="003E535F">
        <w:rPr>
          <w:rFonts w:ascii="Times New Roman" w:eastAsia="Calibri" w:hAnsi="Times New Roman" w:cs="Times New Roman"/>
          <w:sz w:val="24"/>
          <w:szCs w:val="24"/>
        </w:rPr>
        <w:t>should have been</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required to enter into the philosophical question of whether there are degrees of v</w:t>
      </w:r>
      <w:r w:rsidR="00102B45">
        <w:rPr>
          <w:rFonts w:ascii="Times New Roman" w:eastAsia="Calibri" w:hAnsi="Times New Roman" w:cs="Times New Roman"/>
          <w:sz w:val="24"/>
          <w:szCs w:val="24"/>
        </w:rPr>
        <w:t>olition</w:t>
      </w:r>
      <w:r>
        <w:rPr>
          <w:rFonts w:ascii="Times New Roman" w:eastAsia="Calibri" w:hAnsi="Times New Roman" w:cs="Times New Roman"/>
          <w:sz w:val="24"/>
          <w:szCs w:val="24"/>
        </w:rPr>
        <w:t xml:space="preserve"> and assess</w:t>
      </w:r>
      <w:r w:rsidR="005A4D2F">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the victim’s actions accordingly.</w:t>
      </w:r>
      <w:r>
        <w:rPr>
          <w:rStyle w:val="EndnoteReference"/>
          <w:rFonts w:ascii="Times New Roman" w:eastAsia="Calibri" w:hAnsi="Times New Roman" w:cs="Times New Roman"/>
          <w:sz w:val="24"/>
          <w:szCs w:val="24"/>
        </w:rPr>
        <w:endnoteReference w:id="33"/>
      </w:r>
      <w:r>
        <w:rPr>
          <w:rFonts w:ascii="Times New Roman" w:eastAsia="Calibri" w:hAnsi="Times New Roman" w:cs="Times New Roman"/>
          <w:sz w:val="24"/>
          <w:szCs w:val="24"/>
        </w:rPr>
        <w:t xml:space="preserve">  The </w:t>
      </w:r>
      <w:r w:rsidR="003E535F">
        <w:rPr>
          <w:rFonts w:ascii="Times New Roman" w:eastAsia="Calibri" w:hAnsi="Times New Roman" w:cs="Times New Roman"/>
          <w:sz w:val="24"/>
          <w:szCs w:val="24"/>
        </w:rPr>
        <w:t>Court of Appeal, in allowing the Crown’s appeal</w:t>
      </w:r>
      <w:r w:rsidR="00C22371">
        <w:rPr>
          <w:rFonts w:ascii="Times New Roman" w:eastAsia="Calibri" w:hAnsi="Times New Roman" w:cs="Times New Roman"/>
          <w:sz w:val="24"/>
          <w:szCs w:val="24"/>
        </w:rPr>
        <w:t xml:space="preserve"> against the judge’s decision to withdraw the charge of murder from the jury,</w:t>
      </w:r>
      <w:r>
        <w:rPr>
          <w:rFonts w:ascii="Times New Roman" w:eastAsia="Calibri" w:hAnsi="Times New Roman" w:cs="Times New Roman"/>
          <w:sz w:val="24"/>
          <w:szCs w:val="24"/>
        </w:rPr>
        <w:t xml:space="preserve"> determined that even though the victim’s choice to undertake assisted suicide was informed and voluntary by the requirements needed to authorise the process under Belgium’s law, </w:t>
      </w:r>
      <w:r w:rsidR="00C22371">
        <w:rPr>
          <w:rFonts w:ascii="Times New Roman" w:eastAsia="Calibri" w:hAnsi="Times New Roman" w:cs="Times New Roman"/>
          <w:sz w:val="24"/>
          <w:szCs w:val="24"/>
        </w:rPr>
        <w:t>it</w:t>
      </w:r>
      <w:r w:rsidR="00734BDB">
        <w:rPr>
          <w:rFonts w:ascii="Times New Roman" w:eastAsia="Calibri" w:hAnsi="Times New Roman" w:cs="Times New Roman"/>
          <w:sz w:val="24"/>
          <w:szCs w:val="24"/>
        </w:rPr>
        <w:t xml:space="preserve"> should have been left to the jury to </w:t>
      </w:r>
      <w:r w:rsidR="006466AB">
        <w:rPr>
          <w:rFonts w:ascii="Times New Roman" w:eastAsia="Calibri" w:hAnsi="Times New Roman" w:cs="Times New Roman"/>
          <w:sz w:val="24"/>
          <w:szCs w:val="24"/>
        </w:rPr>
        <w:lastRenderedPageBreak/>
        <w:t xml:space="preserve">decide if the victim’s actions were </w:t>
      </w:r>
      <w:r>
        <w:rPr>
          <w:rFonts w:ascii="Times New Roman" w:eastAsia="Calibri" w:hAnsi="Times New Roman" w:cs="Times New Roman"/>
          <w:sz w:val="24"/>
          <w:szCs w:val="24"/>
        </w:rPr>
        <w:t>voluntary in the sense of being able to break the chain of causation.</w:t>
      </w:r>
      <w:r w:rsidR="000C6312">
        <w:rPr>
          <w:rStyle w:val="EndnoteReference"/>
          <w:rFonts w:ascii="Times New Roman" w:eastAsia="Calibri" w:hAnsi="Times New Roman" w:cs="Times New Roman"/>
          <w:sz w:val="24"/>
          <w:szCs w:val="24"/>
        </w:rPr>
        <w:endnoteReference w:id="34"/>
      </w:r>
      <w:r>
        <w:rPr>
          <w:rFonts w:ascii="Times New Roman" w:eastAsia="Calibri" w:hAnsi="Times New Roman" w:cs="Times New Roman"/>
          <w:sz w:val="24"/>
          <w:szCs w:val="24"/>
        </w:rPr>
        <w:t xml:space="preserve">  As such, the rule in </w:t>
      </w:r>
      <w:r w:rsidR="00393E7A">
        <w:rPr>
          <w:rFonts w:ascii="Times New Roman" w:eastAsia="Calibri" w:hAnsi="Times New Roman" w:cs="Times New Roman"/>
          <w:i/>
          <w:iCs/>
          <w:sz w:val="24"/>
          <w:szCs w:val="24"/>
        </w:rPr>
        <w:t xml:space="preserve">R v </w:t>
      </w:r>
      <w:r>
        <w:rPr>
          <w:rFonts w:ascii="Times New Roman" w:eastAsia="Calibri" w:hAnsi="Times New Roman" w:cs="Times New Roman"/>
          <w:i/>
          <w:iCs/>
          <w:sz w:val="24"/>
          <w:szCs w:val="24"/>
        </w:rPr>
        <w:t xml:space="preserve">Kennedy </w:t>
      </w:r>
      <w:r>
        <w:rPr>
          <w:rFonts w:ascii="Times New Roman" w:eastAsia="Calibri" w:hAnsi="Times New Roman" w:cs="Times New Roman"/>
          <w:sz w:val="24"/>
          <w:szCs w:val="24"/>
        </w:rPr>
        <w:t>did not apply</w:t>
      </w:r>
      <w:r w:rsidR="00F80185">
        <w:rPr>
          <w:rFonts w:ascii="Times New Roman" w:eastAsia="Calibri" w:hAnsi="Times New Roman" w:cs="Times New Roman"/>
          <w:sz w:val="24"/>
          <w:szCs w:val="24"/>
        </w:rPr>
        <w:t>,</w:t>
      </w:r>
      <w:r w:rsidR="005066E2">
        <w:rPr>
          <w:rFonts w:ascii="Times New Roman" w:eastAsia="Calibri" w:hAnsi="Times New Roman" w:cs="Times New Roman"/>
          <w:sz w:val="24"/>
          <w:szCs w:val="24"/>
        </w:rPr>
        <w:t xml:space="preserve"> as the</w:t>
      </w:r>
      <w:r w:rsidR="002001D3">
        <w:rPr>
          <w:rFonts w:ascii="Times New Roman" w:eastAsia="Calibri" w:hAnsi="Times New Roman" w:cs="Times New Roman"/>
          <w:sz w:val="24"/>
          <w:szCs w:val="24"/>
        </w:rPr>
        <w:t xml:space="preserve"> court held that the</w:t>
      </w:r>
      <w:r w:rsidR="005066E2">
        <w:rPr>
          <w:rFonts w:ascii="Times New Roman" w:eastAsia="Calibri" w:hAnsi="Times New Roman" w:cs="Times New Roman"/>
          <w:sz w:val="24"/>
          <w:szCs w:val="24"/>
        </w:rPr>
        <w:t xml:space="preserve"> victim’s actions </w:t>
      </w:r>
      <w:r w:rsidR="002001D3">
        <w:rPr>
          <w:rFonts w:ascii="Times New Roman" w:eastAsia="Calibri" w:hAnsi="Times New Roman" w:cs="Times New Roman"/>
          <w:sz w:val="24"/>
          <w:szCs w:val="24"/>
        </w:rPr>
        <w:t>could be considered</w:t>
      </w:r>
      <w:r w:rsidR="005066E2">
        <w:rPr>
          <w:rFonts w:ascii="Times New Roman" w:eastAsia="Calibri" w:hAnsi="Times New Roman" w:cs="Times New Roman"/>
          <w:sz w:val="24"/>
          <w:szCs w:val="24"/>
        </w:rPr>
        <w:t xml:space="preserve"> not </w:t>
      </w:r>
      <w:r w:rsidR="002001D3">
        <w:rPr>
          <w:rFonts w:ascii="Times New Roman" w:eastAsia="Calibri" w:hAnsi="Times New Roman" w:cs="Times New Roman"/>
          <w:sz w:val="24"/>
          <w:szCs w:val="24"/>
        </w:rPr>
        <w:t xml:space="preserve">to be </w:t>
      </w:r>
      <w:r w:rsidR="005066E2">
        <w:rPr>
          <w:rFonts w:ascii="Times New Roman" w:eastAsia="Calibri" w:hAnsi="Times New Roman" w:cs="Times New Roman"/>
          <w:sz w:val="24"/>
          <w:szCs w:val="24"/>
        </w:rPr>
        <w:t>free</w:t>
      </w:r>
      <w:r w:rsidR="00FE21C3">
        <w:rPr>
          <w:rFonts w:ascii="Times New Roman" w:eastAsia="Calibri" w:hAnsi="Times New Roman" w:cs="Times New Roman"/>
          <w:sz w:val="24"/>
          <w:szCs w:val="24"/>
        </w:rPr>
        <w:t xml:space="preserve"> as required by the </w:t>
      </w:r>
      <w:r w:rsidR="00FE21C3">
        <w:rPr>
          <w:rFonts w:ascii="Times New Roman" w:eastAsia="Calibri" w:hAnsi="Times New Roman" w:cs="Times New Roman"/>
          <w:i/>
          <w:iCs/>
          <w:sz w:val="24"/>
          <w:szCs w:val="24"/>
        </w:rPr>
        <w:t>novus actus interveniens</w:t>
      </w:r>
      <w:r w:rsidR="00FE21C3">
        <w:rPr>
          <w:rFonts w:ascii="Times New Roman" w:eastAsia="Calibri" w:hAnsi="Times New Roman" w:cs="Times New Roman"/>
          <w:sz w:val="24"/>
          <w:szCs w:val="24"/>
        </w:rPr>
        <w:t xml:space="preserve"> rule.</w:t>
      </w:r>
      <w:r>
        <w:rPr>
          <w:rStyle w:val="EndnoteReference"/>
          <w:rFonts w:ascii="Times New Roman" w:eastAsia="Calibri" w:hAnsi="Times New Roman" w:cs="Times New Roman"/>
          <w:sz w:val="24"/>
          <w:szCs w:val="24"/>
        </w:rPr>
        <w:endnoteReference w:id="35"/>
      </w:r>
      <w:r w:rsidR="003A04AB">
        <w:rPr>
          <w:rFonts w:ascii="Times New Roman" w:eastAsia="Calibri" w:hAnsi="Times New Roman" w:cs="Times New Roman"/>
          <w:sz w:val="24"/>
          <w:szCs w:val="24"/>
        </w:rPr>
        <w:t xml:space="preserve">  As Firkins notes</w:t>
      </w:r>
      <w:r w:rsidR="00466C85">
        <w:rPr>
          <w:rFonts w:ascii="Times New Roman" w:eastAsia="Calibri" w:hAnsi="Times New Roman" w:cs="Times New Roman"/>
          <w:sz w:val="24"/>
          <w:szCs w:val="24"/>
        </w:rPr>
        <w:t xml:space="preserve"> in his discussion of the requirement of voluntariness and the contradictory outcomes of </w:t>
      </w:r>
      <w:r w:rsidR="005A4D2F">
        <w:rPr>
          <w:rFonts w:ascii="Times New Roman" w:eastAsia="Calibri" w:hAnsi="Times New Roman" w:cs="Times New Roman"/>
          <w:i/>
          <w:sz w:val="24"/>
          <w:szCs w:val="24"/>
        </w:rPr>
        <w:t xml:space="preserve">R v </w:t>
      </w:r>
      <w:r w:rsidR="00466C85">
        <w:rPr>
          <w:rFonts w:ascii="Times New Roman" w:eastAsia="Calibri" w:hAnsi="Times New Roman" w:cs="Times New Roman"/>
          <w:i/>
          <w:sz w:val="24"/>
          <w:szCs w:val="24"/>
        </w:rPr>
        <w:t xml:space="preserve">Kennedy </w:t>
      </w:r>
      <w:r w:rsidR="00466C85">
        <w:rPr>
          <w:rFonts w:ascii="Times New Roman" w:eastAsia="Calibri" w:hAnsi="Times New Roman" w:cs="Times New Roman"/>
          <w:sz w:val="24"/>
          <w:szCs w:val="24"/>
        </w:rPr>
        <w:t xml:space="preserve">and </w:t>
      </w:r>
      <w:r w:rsidR="005A4D2F">
        <w:rPr>
          <w:rFonts w:ascii="Times New Roman" w:eastAsia="Calibri" w:hAnsi="Times New Roman" w:cs="Times New Roman"/>
          <w:i/>
          <w:sz w:val="24"/>
          <w:szCs w:val="24"/>
        </w:rPr>
        <w:t xml:space="preserve">R v </w:t>
      </w:r>
      <w:r w:rsidR="00466C85">
        <w:rPr>
          <w:rFonts w:ascii="Times New Roman" w:eastAsia="Calibri" w:hAnsi="Times New Roman" w:cs="Times New Roman"/>
          <w:i/>
          <w:sz w:val="24"/>
          <w:szCs w:val="24"/>
        </w:rPr>
        <w:t>Wallace</w:t>
      </w:r>
      <w:r w:rsidR="003A04AB">
        <w:rPr>
          <w:rFonts w:ascii="Times New Roman" w:eastAsia="Calibri" w:hAnsi="Times New Roman" w:cs="Times New Roman"/>
          <w:sz w:val="24"/>
          <w:szCs w:val="24"/>
        </w:rPr>
        <w:t xml:space="preserve">, </w:t>
      </w:r>
      <w:r w:rsidR="00466C85">
        <w:rPr>
          <w:rFonts w:ascii="Times New Roman" w:eastAsia="Calibri" w:hAnsi="Times New Roman" w:cs="Times New Roman"/>
          <w:sz w:val="24"/>
          <w:szCs w:val="24"/>
        </w:rPr>
        <w:t>‘such an ambiguous notion, therefore leads to controversial outcomes’.</w:t>
      </w:r>
      <w:r w:rsidR="00466C85">
        <w:rPr>
          <w:rStyle w:val="EndnoteReference"/>
          <w:rFonts w:ascii="Times New Roman" w:eastAsia="Calibri" w:hAnsi="Times New Roman" w:cs="Times New Roman"/>
          <w:sz w:val="24"/>
          <w:szCs w:val="24"/>
        </w:rPr>
        <w:endnoteReference w:id="36"/>
      </w:r>
      <w:r w:rsidR="00466C8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Thus, </w:t>
      </w:r>
      <w:r w:rsidR="00466C85">
        <w:rPr>
          <w:rFonts w:ascii="Times New Roman" w:eastAsia="Calibri" w:hAnsi="Times New Roman" w:cs="Times New Roman"/>
          <w:sz w:val="24"/>
          <w:szCs w:val="24"/>
        </w:rPr>
        <w:t>resulting in</w:t>
      </w:r>
      <w:r>
        <w:rPr>
          <w:rFonts w:ascii="Times New Roman" w:eastAsia="Calibri" w:hAnsi="Times New Roman" w:cs="Times New Roman"/>
          <w:sz w:val="24"/>
          <w:szCs w:val="24"/>
        </w:rPr>
        <w:t xml:space="preserve"> the perplexing conclusion</w:t>
      </w:r>
      <w:r w:rsidR="00466C85">
        <w:rPr>
          <w:rFonts w:ascii="Times New Roman" w:eastAsia="Calibri" w:hAnsi="Times New Roman" w:cs="Times New Roman"/>
          <w:sz w:val="24"/>
          <w:szCs w:val="24"/>
        </w:rPr>
        <w:t xml:space="preserve"> in </w:t>
      </w:r>
      <w:r w:rsidR="005A4D2F">
        <w:rPr>
          <w:rFonts w:ascii="Times New Roman" w:eastAsia="Calibri" w:hAnsi="Times New Roman" w:cs="Times New Roman"/>
          <w:i/>
          <w:sz w:val="24"/>
          <w:szCs w:val="24"/>
        </w:rPr>
        <w:t xml:space="preserve">R v </w:t>
      </w:r>
      <w:r w:rsidR="00466C85">
        <w:rPr>
          <w:rFonts w:ascii="Times New Roman" w:eastAsia="Calibri" w:hAnsi="Times New Roman" w:cs="Times New Roman"/>
          <w:i/>
          <w:sz w:val="24"/>
          <w:szCs w:val="24"/>
        </w:rPr>
        <w:t>Wallace</w:t>
      </w:r>
      <w:r>
        <w:rPr>
          <w:rFonts w:ascii="Times New Roman" w:eastAsia="Calibri" w:hAnsi="Times New Roman" w:cs="Times New Roman"/>
          <w:sz w:val="24"/>
          <w:szCs w:val="24"/>
        </w:rPr>
        <w:t xml:space="preserve"> that the victim’s voluntary actions</w:t>
      </w:r>
      <w:r w:rsidR="00466C85">
        <w:rPr>
          <w:rFonts w:ascii="Times New Roman" w:eastAsia="Calibri" w:hAnsi="Times New Roman" w:cs="Times New Roman"/>
          <w:sz w:val="24"/>
          <w:szCs w:val="24"/>
        </w:rPr>
        <w:t xml:space="preserve"> of choosing euthanasia</w:t>
      </w:r>
      <w:r>
        <w:rPr>
          <w:rFonts w:ascii="Times New Roman" w:eastAsia="Calibri" w:hAnsi="Times New Roman" w:cs="Times New Roman"/>
          <w:sz w:val="24"/>
          <w:szCs w:val="24"/>
        </w:rPr>
        <w:t xml:space="preserve"> </w:t>
      </w:r>
      <w:r w:rsidR="00C06805">
        <w:rPr>
          <w:rFonts w:ascii="Times New Roman" w:eastAsia="Calibri" w:hAnsi="Times New Roman" w:cs="Times New Roman"/>
          <w:sz w:val="24"/>
          <w:szCs w:val="24"/>
        </w:rPr>
        <w:t>could be</w:t>
      </w:r>
      <w:r w:rsidR="004E07A2">
        <w:rPr>
          <w:rFonts w:ascii="Times New Roman" w:eastAsia="Calibri" w:hAnsi="Times New Roman" w:cs="Times New Roman"/>
          <w:sz w:val="24"/>
          <w:szCs w:val="24"/>
        </w:rPr>
        <w:t xml:space="preserve"> deemed</w:t>
      </w:r>
      <w:r>
        <w:rPr>
          <w:rFonts w:ascii="Times New Roman" w:eastAsia="Calibri" w:hAnsi="Times New Roman" w:cs="Times New Roman"/>
          <w:sz w:val="24"/>
          <w:szCs w:val="24"/>
        </w:rPr>
        <w:t xml:space="preserve"> involuntary.</w:t>
      </w:r>
    </w:p>
    <w:p w14:paraId="35B7A6A9" w14:textId="77777777" w:rsidR="00AC26D5" w:rsidRDefault="00AC26D5" w:rsidP="005A62CC">
      <w:pPr>
        <w:spacing w:line="360" w:lineRule="auto"/>
        <w:contextualSpacing/>
        <w:jc w:val="both"/>
        <w:rPr>
          <w:rFonts w:ascii="Times New Roman" w:eastAsia="Calibri" w:hAnsi="Times New Roman" w:cs="Times New Roman"/>
          <w:sz w:val="24"/>
          <w:szCs w:val="24"/>
        </w:rPr>
      </w:pPr>
    </w:p>
    <w:p w14:paraId="2B0E6F9D" w14:textId="5FAC5825" w:rsidR="003002C6" w:rsidRDefault="00AC26D5" w:rsidP="005A62CC">
      <w:pPr>
        <w:spacing w:line="360" w:lineRule="auto"/>
        <w:contextualSpacing/>
        <w:jc w:val="both"/>
        <w:rPr>
          <w:rFonts w:ascii="Times New Roman" w:eastAsia="Calibri" w:hAnsi="Times New Roman" w:cs="Times New Roman"/>
          <w:sz w:val="24"/>
          <w:szCs w:val="24"/>
        </w:rPr>
      </w:pPr>
      <w:r w:rsidRPr="0057045F">
        <w:rPr>
          <w:rFonts w:ascii="Times New Roman" w:eastAsia="Calibri" w:hAnsi="Times New Roman" w:cs="Times New Roman"/>
          <w:sz w:val="24"/>
          <w:szCs w:val="24"/>
        </w:rPr>
        <w:t>Th</w:t>
      </w:r>
      <w:r w:rsidR="00777E8D">
        <w:rPr>
          <w:rFonts w:ascii="Times New Roman" w:eastAsia="Calibri" w:hAnsi="Times New Roman" w:cs="Times New Roman"/>
          <w:sz w:val="24"/>
          <w:szCs w:val="24"/>
        </w:rPr>
        <w:t xml:space="preserve">e judgment in </w:t>
      </w:r>
      <w:r w:rsidR="00393E7A">
        <w:rPr>
          <w:rFonts w:ascii="Times New Roman" w:eastAsia="Calibri" w:hAnsi="Times New Roman" w:cs="Times New Roman"/>
          <w:i/>
          <w:iCs/>
          <w:sz w:val="24"/>
          <w:szCs w:val="24"/>
        </w:rPr>
        <w:t xml:space="preserve">R v </w:t>
      </w:r>
      <w:r w:rsidR="00777E8D">
        <w:rPr>
          <w:rFonts w:ascii="Times New Roman" w:eastAsia="Calibri" w:hAnsi="Times New Roman" w:cs="Times New Roman"/>
          <w:i/>
          <w:iCs/>
          <w:sz w:val="24"/>
          <w:szCs w:val="24"/>
        </w:rPr>
        <w:t xml:space="preserve">Wallace </w:t>
      </w:r>
      <w:r w:rsidR="002B6304">
        <w:rPr>
          <w:rFonts w:ascii="Times New Roman" w:eastAsia="Calibri" w:hAnsi="Times New Roman" w:cs="Times New Roman"/>
          <w:sz w:val="24"/>
          <w:szCs w:val="24"/>
        </w:rPr>
        <w:t>raises</w:t>
      </w:r>
      <w:r w:rsidRPr="0057045F">
        <w:rPr>
          <w:rFonts w:ascii="Times New Roman" w:eastAsia="Calibri" w:hAnsi="Times New Roman" w:cs="Times New Roman"/>
          <w:sz w:val="24"/>
          <w:szCs w:val="24"/>
        </w:rPr>
        <w:t xml:space="preserve"> two further issues</w:t>
      </w:r>
      <w:r w:rsidR="00544429">
        <w:rPr>
          <w:rFonts w:ascii="Times New Roman" w:eastAsia="Calibri" w:hAnsi="Times New Roman" w:cs="Times New Roman"/>
          <w:sz w:val="24"/>
          <w:szCs w:val="24"/>
        </w:rPr>
        <w:t xml:space="preserve"> in relation to the victim’s actions</w:t>
      </w:r>
      <w:r w:rsidR="006175DD" w:rsidRPr="0057045F">
        <w:rPr>
          <w:rFonts w:ascii="Times New Roman" w:eastAsia="Calibri" w:hAnsi="Times New Roman" w:cs="Times New Roman"/>
          <w:sz w:val="24"/>
          <w:szCs w:val="24"/>
        </w:rPr>
        <w:t>.</w:t>
      </w:r>
      <w:r w:rsidR="006175DD" w:rsidRPr="0057045F">
        <w:rPr>
          <w:rFonts w:ascii="Times New Roman" w:eastAsia="Calibri" w:hAnsi="Times New Roman" w:cs="Times New Roman"/>
          <w:color w:val="FF0000"/>
          <w:sz w:val="24"/>
          <w:szCs w:val="24"/>
        </w:rPr>
        <w:t xml:space="preserve">  </w:t>
      </w:r>
      <w:r w:rsidR="00873B38" w:rsidRPr="00873B38">
        <w:rPr>
          <w:rFonts w:ascii="Times New Roman" w:eastAsia="Calibri" w:hAnsi="Times New Roman" w:cs="Times New Roman"/>
          <w:sz w:val="24"/>
          <w:szCs w:val="24"/>
        </w:rPr>
        <w:t>Firstly,</w:t>
      </w:r>
      <w:r w:rsidR="00777E8D">
        <w:rPr>
          <w:rFonts w:ascii="Times New Roman" w:eastAsia="Calibri" w:hAnsi="Times New Roman" w:cs="Times New Roman"/>
          <w:sz w:val="24"/>
          <w:szCs w:val="24"/>
        </w:rPr>
        <w:t xml:space="preserve"> whether </w:t>
      </w:r>
      <w:r w:rsidR="002001D3">
        <w:rPr>
          <w:rFonts w:ascii="Times New Roman" w:eastAsia="Calibri" w:hAnsi="Times New Roman" w:cs="Times New Roman"/>
          <w:sz w:val="24"/>
          <w:szCs w:val="24"/>
        </w:rPr>
        <w:t xml:space="preserve">the </w:t>
      </w:r>
      <w:r w:rsidR="00777E8D">
        <w:rPr>
          <w:rFonts w:ascii="Times New Roman" w:eastAsia="Calibri" w:hAnsi="Times New Roman" w:cs="Times New Roman"/>
          <w:sz w:val="24"/>
          <w:szCs w:val="24"/>
        </w:rPr>
        <w:t>actions of the victim</w:t>
      </w:r>
      <w:r w:rsidR="00FB0275">
        <w:rPr>
          <w:rFonts w:ascii="Times New Roman" w:eastAsia="Calibri" w:hAnsi="Times New Roman" w:cs="Times New Roman"/>
          <w:sz w:val="24"/>
          <w:szCs w:val="24"/>
        </w:rPr>
        <w:t xml:space="preserve"> of accepting a lethal injection</w:t>
      </w:r>
      <w:r w:rsidR="002B6304">
        <w:rPr>
          <w:rFonts w:ascii="Times New Roman" w:eastAsia="Calibri" w:hAnsi="Times New Roman" w:cs="Times New Roman"/>
          <w:sz w:val="24"/>
          <w:szCs w:val="24"/>
        </w:rPr>
        <w:t>, which was the medi</w:t>
      </w:r>
      <w:r w:rsidR="0016059C">
        <w:rPr>
          <w:rFonts w:ascii="Times New Roman" w:eastAsia="Calibri" w:hAnsi="Times New Roman" w:cs="Times New Roman"/>
          <w:sz w:val="24"/>
          <w:szCs w:val="24"/>
        </w:rPr>
        <w:t>c</w:t>
      </w:r>
      <w:r w:rsidR="002B6304">
        <w:rPr>
          <w:rFonts w:ascii="Times New Roman" w:eastAsia="Calibri" w:hAnsi="Times New Roman" w:cs="Times New Roman"/>
          <w:sz w:val="24"/>
          <w:szCs w:val="24"/>
        </w:rPr>
        <w:t>al cause of death,</w:t>
      </w:r>
      <w:r w:rsidR="00777E8D">
        <w:rPr>
          <w:rFonts w:ascii="Times New Roman" w:eastAsia="Calibri" w:hAnsi="Times New Roman" w:cs="Times New Roman"/>
          <w:sz w:val="24"/>
          <w:szCs w:val="24"/>
        </w:rPr>
        <w:t xml:space="preserve"> can break the chain of causation</w:t>
      </w:r>
      <w:r w:rsidR="0016059C">
        <w:rPr>
          <w:rFonts w:ascii="Times New Roman" w:eastAsia="Calibri" w:hAnsi="Times New Roman" w:cs="Times New Roman"/>
          <w:sz w:val="24"/>
          <w:szCs w:val="24"/>
        </w:rPr>
        <w:t>,</w:t>
      </w:r>
      <w:r w:rsidR="00777E8D">
        <w:rPr>
          <w:rFonts w:ascii="Times New Roman" w:eastAsia="Calibri" w:hAnsi="Times New Roman" w:cs="Times New Roman"/>
          <w:sz w:val="24"/>
          <w:szCs w:val="24"/>
        </w:rPr>
        <w:t xml:space="preserve"> and secondly whether the victim’s actions need to be </w:t>
      </w:r>
      <w:r w:rsidR="003F4737">
        <w:rPr>
          <w:rFonts w:ascii="Times New Roman" w:eastAsia="Calibri" w:hAnsi="Times New Roman" w:cs="Times New Roman"/>
          <w:sz w:val="24"/>
          <w:szCs w:val="24"/>
        </w:rPr>
        <w:t>un</w:t>
      </w:r>
      <w:r w:rsidR="00777E8D">
        <w:rPr>
          <w:rFonts w:ascii="Times New Roman" w:eastAsia="Calibri" w:hAnsi="Times New Roman" w:cs="Times New Roman"/>
          <w:sz w:val="24"/>
          <w:szCs w:val="24"/>
        </w:rPr>
        <w:t xml:space="preserve">foreseeable for the chain to be broken. </w:t>
      </w:r>
      <w:r w:rsidR="00873B38" w:rsidRPr="00873B38">
        <w:rPr>
          <w:rFonts w:ascii="Times New Roman" w:eastAsia="Calibri" w:hAnsi="Times New Roman" w:cs="Times New Roman"/>
          <w:sz w:val="24"/>
          <w:szCs w:val="24"/>
        </w:rPr>
        <w:t xml:space="preserve"> </w:t>
      </w:r>
    </w:p>
    <w:p w14:paraId="209D9BB6" w14:textId="77777777" w:rsidR="003002C6" w:rsidRDefault="003002C6" w:rsidP="005A62CC">
      <w:pPr>
        <w:spacing w:line="360" w:lineRule="auto"/>
        <w:contextualSpacing/>
        <w:jc w:val="both"/>
        <w:rPr>
          <w:rFonts w:ascii="Times New Roman" w:eastAsia="Calibri" w:hAnsi="Times New Roman" w:cs="Times New Roman"/>
          <w:sz w:val="24"/>
          <w:szCs w:val="24"/>
        </w:rPr>
      </w:pPr>
    </w:p>
    <w:p w14:paraId="058EE2D8" w14:textId="63DC971A" w:rsidR="00873B38" w:rsidRDefault="00777E8D" w:rsidP="005A62CC">
      <w:pPr>
        <w:spacing w:line="360" w:lineRule="auto"/>
        <w:contextualSpacing/>
        <w:jc w:val="both"/>
      </w:pPr>
      <w:r>
        <w:rPr>
          <w:rFonts w:ascii="Times New Roman" w:eastAsia="Calibri" w:hAnsi="Times New Roman" w:cs="Times New Roman"/>
          <w:sz w:val="24"/>
          <w:szCs w:val="24"/>
        </w:rPr>
        <w:t>I</w:t>
      </w:r>
      <w:r w:rsidR="00017639" w:rsidRPr="00873B38">
        <w:rPr>
          <w:rFonts w:ascii="Times New Roman" w:eastAsia="Calibri" w:hAnsi="Times New Roman" w:cs="Times New Roman"/>
          <w:sz w:val="24"/>
          <w:szCs w:val="24"/>
        </w:rPr>
        <w:t xml:space="preserve">t has </w:t>
      </w:r>
      <w:r w:rsidR="00017639" w:rsidRPr="0057045F">
        <w:rPr>
          <w:rFonts w:ascii="Times New Roman" w:eastAsia="Calibri" w:hAnsi="Times New Roman" w:cs="Times New Roman"/>
          <w:sz w:val="24"/>
          <w:szCs w:val="24"/>
        </w:rPr>
        <w:t>long been accepted that</w:t>
      </w:r>
      <w:r w:rsidR="002B1D55">
        <w:rPr>
          <w:rFonts w:ascii="Times New Roman" w:eastAsia="Calibri" w:hAnsi="Times New Roman" w:cs="Times New Roman"/>
          <w:sz w:val="24"/>
          <w:szCs w:val="24"/>
        </w:rPr>
        <w:t xml:space="preserve"> a victim’s refusal to accept medical treatment</w:t>
      </w:r>
      <w:r w:rsidR="002C101C">
        <w:rPr>
          <w:rFonts w:ascii="Times New Roman" w:eastAsia="Calibri" w:hAnsi="Times New Roman" w:cs="Times New Roman"/>
          <w:sz w:val="24"/>
          <w:szCs w:val="24"/>
        </w:rPr>
        <w:t>,</w:t>
      </w:r>
      <w:r w:rsidR="002B1D55">
        <w:rPr>
          <w:rFonts w:ascii="Times New Roman" w:eastAsia="Calibri" w:hAnsi="Times New Roman" w:cs="Times New Roman"/>
          <w:sz w:val="24"/>
          <w:szCs w:val="24"/>
        </w:rPr>
        <w:t xml:space="preserve"> will not break the chain of causation</w:t>
      </w:r>
      <w:r w:rsidR="00FF59E0">
        <w:rPr>
          <w:rFonts w:ascii="Times New Roman" w:eastAsia="Calibri" w:hAnsi="Times New Roman" w:cs="Times New Roman"/>
          <w:sz w:val="24"/>
          <w:szCs w:val="24"/>
        </w:rPr>
        <w:t xml:space="preserve">.  As stated in </w:t>
      </w:r>
      <w:r w:rsidR="00393E7A">
        <w:rPr>
          <w:rFonts w:ascii="Times New Roman" w:eastAsia="Calibri" w:hAnsi="Times New Roman" w:cs="Times New Roman"/>
          <w:i/>
          <w:iCs/>
          <w:sz w:val="24"/>
          <w:szCs w:val="24"/>
        </w:rPr>
        <w:t xml:space="preserve">R v </w:t>
      </w:r>
      <w:r w:rsidR="00FF59E0">
        <w:rPr>
          <w:rFonts w:ascii="Times New Roman" w:eastAsia="Calibri" w:hAnsi="Times New Roman" w:cs="Times New Roman"/>
          <w:i/>
          <w:iCs/>
          <w:sz w:val="24"/>
          <w:szCs w:val="24"/>
        </w:rPr>
        <w:t>Blaue</w:t>
      </w:r>
      <w:r w:rsidR="00FF5305">
        <w:rPr>
          <w:rFonts w:ascii="Times New Roman" w:eastAsia="Calibri" w:hAnsi="Times New Roman" w:cs="Times New Roman"/>
          <w:sz w:val="24"/>
          <w:szCs w:val="24"/>
        </w:rPr>
        <w:t>: ‘</w:t>
      </w:r>
      <w:r w:rsidR="00D920EF" w:rsidRPr="0057045F">
        <w:rPr>
          <w:rFonts w:ascii="Times New Roman" w:hAnsi="Times New Roman" w:cs="Times New Roman"/>
          <w:sz w:val="24"/>
          <w:szCs w:val="24"/>
          <w:shd w:val="clear" w:color="auto" w:fill="FFFFFF"/>
        </w:rPr>
        <w:t>He who inflicted an injury which resulted in death could not excuse himself by pleading that his victim could have avoided death by taking greater care of himself</w:t>
      </w:r>
      <w:r w:rsidR="00FF59E0">
        <w:rPr>
          <w:rFonts w:ascii="Times New Roman" w:hAnsi="Times New Roman" w:cs="Times New Roman"/>
          <w:sz w:val="24"/>
          <w:szCs w:val="24"/>
          <w:shd w:val="clear" w:color="auto" w:fill="FFFFFF"/>
        </w:rPr>
        <w:t>.</w:t>
      </w:r>
      <w:r w:rsidR="00FF5305">
        <w:rPr>
          <w:rFonts w:ascii="Times New Roman" w:hAnsi="Times New Roman" w:cs="Times New Roman"/>
          <w:sz w:val="24"/>
          <w:szCs w:val="24"/>
          <w:shd w:val="clear" w:color="auto" w:fill="FFFFFF"/>
        </w:rPr>
        <w:t>’</w:t>
      </w:r>
      <w:r w:rsidR="0057045F" w:rsidRPr="0057045F">
        <w:rPr>
          <w:rStyle w:val="EndnoteReference"/>
          <w:rFonts w:ascii="Times New Roman" w:hAnsi="Times New Roman" w:cs="Times New Roman"/>
          <w:sz w:val="24"/>
          <w:szCs w:val="24"/>
          <w:shd w:val="clear" w:color="auto" w:fill="FFFFFF"/>
        </w:rPr>
        <w:endnoteReference w:id="37"/>
      </w:r>
      <w:r w:rsidR="00FF59E0">
        <w:rPr>
          <w:rFonts w:ascii="Times New Roman" w:hAnsi="Times New Roman" w:cs="Times New Roman"/>
          <w:sz w:val="24"/>
          <w:szCs w:val="24"/>
          <w:shd w:val="clear" w:color="auto" w:fill="FFFFFF"/>
        </w:rPr>
        <w:t xml:space="preserve">  In </w:t>
      </w:r>
      <w:r w:rsidR="00393E7A">
        <w:rPr>
          <w:rFonts w:ascii="Times New Roman" w:hAnsi="Times New Roman" w:cs="Times New Roman"/>
          <w:i/>
          <w:iCs/>
          <w:sz w:val="24"/>
          <w:szCs w:val="24"/>
          <w:shd w:val="clear" w:color="auto" w:fill="FFFFFF"/>
        </w:rPr>
        <w:t xml:space="preserve">R v </w:t>
      </w:r>
      <w:r w:rsidR="00FF59E0">
        <w:rPr>
          <w:rFonts w:ascii="Times New Roman" w:hAnsi="Times New Roman" w:cs="Times New Roman"/>
          <w:i/>
          <w:iCs/>
          <w:sz w:val="24"/>
          <w:szCs w:val="24"/>
          <w:shd w:val="clear" w:color="auto" w:fill="FFFFFF"/>
        </w:rPr>
        <w:t xml:space="preserve">Wallace, </w:t>
      </w:r>
      <w:r w:rsidR="00FF59E0">
        <w:rPr>
          <w:rFonts w:ascii="Times New Roman" w:hAnsi="Times New Roman" w:cs="Times New Roman"/>
          <w:sz w:val="24"/>
          <w:szCs w:val="24"/>
          <w:shd w:val="clear" w:color="auto" w:fill="FFFFFF"/>
        </w:rPr>
        <w:t>however, it was the victim’s actions o</w:t>
      </w:r>
      <w:r w:rsidR="00544429">
        <w:rPr>
          <w:rFonts w:ascii="Times New Roman" w:hAnsi="Times New Roman" w:cs="Times New Roman"/>
          <w:sz w:val="24"/>
          <w:szCs w:val="24"/>
          <w:shd w:val="clear" w:color="auto" w:fill="FFFFFF"/>
        </w:rPr>
        <w:t>f</w:t>
      </w:r>
      <w:r w:rsidR="00FF59E0">
        <w:rPr>
          <w:rFonts w:ascii="Times New Roman" w:hAnsi="Times New Roman" w:cs="Times New Roman"/>
          <w:sz w:val="24"/>
          <w:szCs w:val="24"/>
          <w:shd w:val="clear" w:color="auto" w:fill="FFFFFF"/>
        </w:rPr>
        <w:t xml:space="preserve"> accepting euthani</w:t>
      </w:r>
      <w:r w:rsidR="00FF5305">
        <w:rPr>
          <w:rFonts w:ascii="Times New Roman" w:hAnsi="Times New Roman" w:cs="Times New Roman"/>
          <w:sz w:val="24"/>
          <w:szCs w:val="24"/>
          <w:shd w:val="clear" w:color="auto" w:fill="FFFFFF"/>
        </w:rPr>
        <w:t>s</w:t>
      </w:r>
      <w:r w:rsidR="00FF59E0">
        <w:rPr>
          <w:rFonts w:ascii="Times New Roman" w:hAnsi="Times New Roman" w:cs="Times New Roman"/>
          <w:sz w:val="24"/>
          <w:szCs w:val="24"/>
          <w:shd w:val="clear" w:color="auto" w:fill="FFFFFF"/>
        </w:rPr>
        <w:t>ing treatment, rather than a refusal to accept treatment, which was in question.</w:t>
      </w:r>
      <w:r w:rsidR="001B1A22">
        <w:rPr>
          <w:rFonts w:ascii="Times New Roman" w:hAnsi="Times New Roman" w:cs="Times New Roman"/>
          <w:sz w:val="24"/>
          <w:szCs w:val="24"/>
          <w:shd w:val="clear" w:color="auto" w:fill="FFFFFF"/>
        </w:rPr>
        <w:t xml:space="preserve"> </w:t>
      </w:r>
      <w:r w:rsidR="005A4D2F">
        <w:rPr>
          <w:rFonts w:ascii="Times New Roman" w:hAnsi="Times New Roman" w:cs="Times New Roman"/>
          <w:sz w:val="24"/>
          <w:szCs w:val="24"/>
          <w:shd w:val="clear" w:color="auto" w:fill="FFFFFF"/>
        </w:rPr>
        <w:t xml:space="preserve"> </w:t>
      </w:r>
      <w:r w:rsidR="001B1A22">
        <w:rPr>
          <w:rFonts w:ascii="Times New Roman" w:hAnsi="Times New Roman" w:cs="Times New Roman"/>
          <w:sz w:val="24"/>
          <w:szCs w:val="24"/>
          <w:shd w:val="clear" w:color="auto" w:fill="FFFFFF"/>
        </w:rPr>
        <w:t xml:space="preserve">The </w:t>
      </w:r>
      <w:r w:rsidR="0016059C">
        <w:rPr>
          <w:rFonts w:ascii="Times New Roman" w:hAnsi="Times New Roman" w:cs="Times New Roman"/>
          <w:sz w:val="24"/>
          <w:szCs w:val="24"/>
          <w:shd w:val="clear" w:color="auto" w:fill="FFFFFF"/>
        </w:rPr>
        <w:t>more recent</w:t>
      </w:r>
      <w:r w:rsidR="001B1A22">
        <w:rPr>
          <w:rFonts w:ascii="Times New Roman" w:hAnsi="Times New Roman" w:cs="Times New Roman"/>
          <w:sz w:val="24"/>
          <w:szCs w:val="24"/>
          <w:shd w:val="clear" w:color="auto" w:fill="FFFFFF"/>
        </w:rPr>
        <w:t xml:space="preserve"> case of </w:t>
      </w:r>
      <w:r w:rsidR="000249FF">
        <w:rPr>
          <w:rFonts w:ascii="Times New Roman" w:hAnsi="Times New Roman" w:cs="Times New Roman"/>
          <w:i/>
          <w:iCs/>
          <w:sz w:val="24"/>
          <w:szCs w:val="24"/>
          <w:shd w:val="clear" w:color="auto" w:fill="FFFFFF"/>
        </w:rPr>
        <w:t xml:space="preserve">R v </w:t>
      </w:r>
      <w:r w:rsidR="001B1A22" w:rsidRPr="000249FF">
        <w:rPr>
          <w:rFonts w:ascii="Times New Roman" w:hAnsi="Times New Roman" w:cs="Times New Roman"/>
          <w:i/>
          <w:iCs/>
          <w:sz w:val="24"/>
          <w:szCs w:val="24"/>
          <w:shd w:val="clear" w:color="auto" w:fill="FFFFFF"/>
        </w:rPr>
        <w:t>Dear</w:t>
      </w:r>
      <w:r w:rsidR="006837CA">
        <w:rPr>
          <w:rFonts w:ascii="Times New Roman" w:hAnsi="Times New Roman" w:cs="Times New Roman"/>
          <w:sz w:val="24"/>
          <w:szCs w:val="24"/>
          <w:shd w:val="clear" w:color="auto" w:fill="FFFFFF"/>
        </w:rPr>
        <w:t xml:space="preserve">, which was applied in </w:t>
      </w:r>
      <w:r w:rsidR="0016059C">
        <w:rPr>
          <w:rFonts w:ascii="Times New Roman" w:hAnsi="Times New Roman" w:cs="Times New Roman"/>
          <w:i/>
          <w:iCs/>
          <w:sz w:val="24"/>
          <w:szCs w:val="24"/>
          <w:shd w:val="clear" w:color="auto" w:fill="FFFFFF"/>
        </w:rPr>
        <w:t xml:space="preserve">R v </w:t>
      </w:r>
      <w:r w:rsidR="006837CA">
        <w:rPr>
          <w:rFonts w:ascii="Times New Roman" w:hAnsi="Times New Roman" w:cs="Times New Roman"/>
          <w:i/>
          <w:iCs/>
          <w:sz w:val="24"/>
          <w:szCs w:val="24"/>
          <w:shd w:val="clear" w:color="auto" w:fill="FFFFFF"/>
        </w:rPr>
        <w:t>Wallace</w:t>
      </w:r>
      <w:r w:rsidR="006837CA">
        <w:rPr>
          <w:rFonts w:ascii="Times New Roman" w:hAnsi="Times New Roman" w:cs="Times New Roman"/>
          <w:sz w:val="24"/>
          <w:szCs w:val="24"/>
          <w:shd w:val="clear" w:color="auto" w:fill="FFFFFF"/>
        </w:rPr>
        <w:t>,</w:t>
      </w:r>
      <w:r w:rsidR="00991CD4">
        <w:rPr>
          <w:rStyle w:val="EndnoteReference"/>
          <w:rFonts w:ascii="Times New Roman" w:hAnsi="Times New Roman" w:cs="Times New Roman"/>
          <w:sz w:val="24"/>
          <w:szCs w:val="24"/>
          <w:shd w:val="clear" w:color="auto" w:fill="FFFFFF"/>
        </w:rPr>
        <w:endnoteReference w:id="38"/>
      </w:r>
      <w:r w:rsidR="001B1A22">
        <w:rPr>
          <w:rFonts w:ascii="Times New Roman" w:hAnsi="Times New Roman" w:cs="Times New Roman"/>
          <w:sz w:val="24"/>
          <w:szCs w:val="24"/>
          <w:shd w:val="clear" w:color="auto" w:fill="FFFFFF"/>
        </w:rPr>
        <w:t xml:space="preserve"> confirm</w:t>
      </w:r>
      <w:r w:rsidR="00544429">
        <w:rPr>
          <w:rFonts w:ascii="Times New Roman" w:hAnsi="Times New Roman" w:cs="Times New Roman"/>
          <w:sz w:val="24"/>
          <w:szCs w:val="24"/>
          <w:shd w:val="clear" w:color="auto" w:fill="FFFFFF"/>
        </w:rPr>
        <w:t>ed</w:t>
      </w:r>
      <w:r w:rsidR="001B1A22">
        <w:rPr>
          <w:rFonts w:ascii="Times New Roman" w:hAnsi="Times New Roman" w:cs="Times New Roman"/>
          <w:sz w:val="24"/>
          <w:szCs w:val="24"/>
          <w:shd w:val="clear" w:color="auto" w:fill="FFFFFF"/>
        </w:rPr>
        <w:t xml:space="preserve"> that </w:t>
      </w:r>
      <w:r w:rsidR="002864D4">
        <w:rPr>
          <w:rFonts w:ascii="Times New Roman" w:hAnsi="Times New Roman" w:cs="Times New Roman"/>
          <w:sz w:val="24"/>
          <w:szCs w:val="24"/>
          <w:shd w:val="clear" w:color="auto" w:fill="FFFFFF"/>
        </w:rPr>
        <w:t xml:space="preserve">a </w:t>
      </w:r>
      <w:r w:rsidR="004F5DE7">
        <w:rPr>
          <w:rFonts w:ascii="Times New Roman" w:hAnsi="Times New Roman" w:cs="Times New Roman"/>
          <w:sz w:val="24"/>
          <w:szCs w:val="24"/>
          <w:shd w:val="clear" w:color="auto" w:fill="FFFFFF"/>
        </w:rPr>
        <w:t xml:space="preserve">victim’s actions </w:t>
      </w:r>
      <w:r w:rsidR="00760536">
        <w:rPr>
          <w:rFonts w:ascii="Times New Roman" w:hAnsi="Times New Roman" w:cs="Times New Roman"/>
          <w:sz w:val="24"/>
          <w:szCs w:val="24"/>
          <w:shd w:val="clear" w:color="auto" w:fill="FFFFFF"/>
        </w:rPr>
        <w:t xml:space="preserve">will not break the chain of causation if the </w:t>
      </w:r>
      <w:r w:rsidR="00877CEA">
        <w:rPr>
          <w:rFonts w:ascii="Times New Roman" w:hAnsi="Times New Roman" w:cs="Times New Roman"/>
          <w:sz w:val="24"/>
          <w:szCs w:val="24"/>
          <w:shd w:val="clear" w:color="auto" w:fill="FFFFFF"/>
        </w:rPr>
        <w:t>injuries inflicted by the defendant were an operating and significant cause of the death.</w:t>
      </w:r>
      <w:r w:rsidR="00AE2E3C">
        <w:rPr>
          <w:rStyle w:val="EndnoteReference"/>
          <w:rFonts w:ascii="Times New Roman" w:hAnsi="Times New Roman" w:cs="Times New Roman"/>
          <w:sz w:val="24"/>
          <w:szCs w:val="24"/>
          <w:shd w:val="clear" w:color="auto" w:fill="FFFFFF"/>
        </w:rPr>
        <w:endnoteReference w:id="39"/>
      </w:r>
      <w:r w:rsidR="00950B1B">
        <w:rPr>
          <w:rFonts w:ascii="Times New Roman" w:hAnsi="Times New Roman" w:cs="Times New Roman"/>
          <w:sz w:val="24"/>
          <w:szCs w:val="24"/>
          <w:shd w:val="clear" w:color="auto" w:fill="FFFFFF"/>
        </w:rPr>
        <w:t xml:space="preserve">  </w:t>
      </w:r>
      <w:r w:rsidR="00993D33">
        <w:rPr>
          <w:rFonts w:ascii="Times New Roman" w:hAnsi="Times New Roman" w:cs="Times New Roman"/>
          <w:sz w:val="24"/>
          <w:szCs w:val="24"/>
          <w:shd w:val="clear" w:color="auto" w:fill="FFFFFF"/>
        </w:rPr>
        <w:t xml:space="preserve">In </w:t>
      </w:r>
      <w:r w:rsidR="00393E7A">
        <w:rPr>
          <w:rFonts w:ascii="Times New Roman" w:hAnsi="Times New Roman" w:cs="Times New Roman"/>
          <w:i/>
          <w:iCs/>
          <w:sz w:val="24"/>
          <w:szCs w:val="24"/>
          <w:shd w:val="clear" w:color="auto" w:fill="FFFFFF"/>
        </w:rPr>
        <w:t xml:space="preserve">R v </w:t>
      </w:r>
      <w:r w:rsidR="00993D33">
        <w:rPr>
          <w:rFonts w:ascii="Times New Roman" w:hAnsi="Times New Roman" w:cs="Times New Roman"/>
          <w:i/>
          <w:iCs/>
          <w:sz w:val="24"/>
          <w:szCs w:val="24"/>
          <w:shd w:val="clear" w:color="auto" w:fill="FFFFFF"/>
        </w:rPr>
        <w:t xml:space="preserve">Wallace, </w:t>
      </w:r>
      <w:r w:rsidR="00993D33" w:rsidRPr="00993D33">
        <w:rPr>
          <w:rFonts w:ascii="Times New Roman" w:hAnsi="Times New Roman" w:cs="Times New Roman"/>
          <w:sz w:val="24"/>
          <w:szCs w:val="24"/>
          <w:shd w:val="clear" w:color="auto" w:fill="FFFFFF"/>
        </w:rPr>
        <w:t>d</w:t>
      </w:r>
      <w:r w:rsidR="00993D33" w:rsidRPr="00993D33">
        <w:rPr>
          <w:rFonts w:ascii="Times New Roman" w:hAnsi="Times New Roman" w:cs="Times New Roman"/>
          <w:sz w:val="24"/>
          <w:szCs w:val="24"/>
        </w:rPr>
        <w:t>espite the time delay between the</w:t>
      </w:r>
      <w:r w:rsidR="0016059C">
        <w:rPr>
          <w:rFonts w:ascii="Times New Roman" w:hAnsi="Times New Roman" w:cs="Times New Roman"/>
          <w:sz w:val="24"/>
          <w:szCs w:val="24"/>
        </w:rPr>
        <w:t xml:space="preserve"> defendant’s</w:t>
      </w:r>
      <w:r w:rsidR="00993D33" w:rsidRPr="00993D33">
        <w:rPr>
          <w:rFonts w:ascii="Times New Roman" w:hAnsi="Times New Roman" w:cs="Times New Roman"/>
          <w:sz w:val="24"/>
          <w:szCs w:val="24"/>
        </w:rPr>
        <w:t xml:space="preserve"> actions of throwing the acid and the victim’s death, the original </w:t>
      </w:r>
      <w:r w:rsidR="00461C8F">
        <w:rPr>
          <w:rFonts w:ascii="Times New Roman" w:hAnsi="Times New Roman" w:cs="Times New Roman"/>
          <w:sz w:val="24"/>
          <w:szCs w:val="24"/>
        </w:rPr>
        <w:t>injuries</w:t>
      </w:r>
      <w:r w:rsidR="00993D33" w:rsidRPr="00993D33">
        <w:rPr>
          <w:rFonts w:ascii="Times New Roman" w:hAnsi="Times New Roman" w:cs="Times New Roman"/>
          <w:sz w:val="24"/>
          <w:szCs w:val="24"/>
        </w:rPr>
        <w:t xml:space="preserve"> were still operating and contributed significantly, if not solely, to the defendant’s decision to request euthanasia</w:t>
      </w:r>
      <w:r w:rsidR="00987832">
        <w:rPr>
          <w:rFonts w:ascii="Times New Roman" w:hAnsi="Times New Roman" w:cs="Times New Roman"/>
          <w:sz w:val="24"/>
          <w:szCs w:val="24"/>
        </w:rPr>
        <w:t>.  The cause of death, however, was the lethal injection and not the injuries from the acid attack.</w:t>
      </w:r>
      <w:r w:rsidR="000E1138">
        <w:rPr>
          <w:rFonts w:ascii="Times New Roman" w:hAnsi="Times New Roman" w:cs="Times New Roman"/>
          <w:sz w:val="24"/>
          <w:szCs w:val="24"/>
        </w:rPr>
        <w:t xml:space="preserve">  </w:t>
      </w:r>
      <w:r w:rsidR="00003BAE">
        <w:rPr>
          <w:rFonts w:ascii="Times New Roman" w:hAnsi="Times New Roman" w:cs="Times New Roman"/>
          <w:sz w:val="24"/>
          <w:szCs w:val="24"/>
        </w:rPr>
        <w:t>Notwithstanding</w:t>
      </w:r>
      <w:r w:rsidR="007907AA">
        <w:rPr>
          <w:rFonts w:ascii="Times New Roman" w:hAnsi="Times New Roman" w:cs="Times New Roman"/>
          <w:sz w:val="24"/>
          <w:szCs w:val="24"/>
        </w:rPr>
        <w:t xml:space="preserve"> this</w:t>
      </w:r>
      <w:r w:rsidR="00EA44D0">
        <w:rPr>
          <w:rFonts w:ascii="Times New Roman" w:hAnsi="Times New Roman" w:cs="Times New Roman"/>
          <w:sz w:val="24"/>
          <w:szCs w:val="24"/>
        </w:rPr>
        <w:t>,</w:t>
      </w:r>
      <w:r w:rsidR="000E1138">
        <w:rPr>
          <w:rFonts w:ascii="Times New Roman" w:hAnsi="Times New Roman" w:cs="Times New Roman"/>
          <w:sz w:val="24"/>
          <w:szCs w:val="24"/>
        </w:rPr>
        <w:t xml:space="preserve"> it c</w:t>
      </w:r>
      <w:r w:rsidR="007907AA">
        <w:rPr>
          <w:rFonts w:ascii="Times New Roman" w:hAnsi="Times New Roman" w:cs="Times New Roman"/>
          <w:sz w:val="24"/>
          <w:szCs w:val="24"/>
        </w:rPr>
        <w:t>ould</w:t>
      </w:r>
      <w:r w:rsidR="000E1138">
        <w:rPr>
          <w:rFonts w:ascii="Times New Roman" w:hAnsi="Times New Roman" w:cs="Times New Roman"/>
          <w:sz w:val="24"/>
          <w:szCs w:val="24"/>
        </w:rPr>
        <w:t xml:space="preserve"> </w:t>
      </w:r>
      <w:r w:rsidR="00397F9B">
        <w:rPr>
          <w:rFonts w:ascii="Times New Roman" w:hAnsi="Times New Roman" w:cs="Times New Roman"/>
          <w:sz w:val="24"/>
          <w:szCs w:val="24"/>
        </w:rPr>
        <w:t xml:space="preserve">still </w:t>
      </w:r>
      <w:r w:rsidR="000E1138">
        <w:rPr>
          <w:rFonts w:ascii="Times New Roman" w:hAnsi="Times New Roman" w:cs="Times New Roman"/>
          <w:sz w:val="24"/>
          <w:szCs w:val="24"/>
        </w:rPr>
        <w:t>be said that the acid attack contributed significantly to the death</w:t>
      </w:r>
      <w:r w:rsidR="00EA44D0">
        <w:rPr>
          <w:rFonts w:ascii="Times New Roman" w:hAnsi="Times New Roman" w:cs="Times New Roman"/>
          <w:sz w:val="24"/>
          <w:szCs w:val="24"/>
        </w:rPr>
        <w:t>.  As seen</w:t>
      </w:r>
      <w:r w:rsidR="00BB5447">
        <w:rPr>
          <w:rFonts w:ascii="Times New Roman" w:hAnsi="Times New Roman" w:cs="Times New Roman"/>
          <w:sz w:val="24"/>
          <w:szCs w:val="24"/>
        </w:rPr>
        <w:t xml:space="preserve"> </w:t>
      </w:r>
      <w:r w:rsidR="00BB5447" w:rsidRPr="00BB5447">
        <w:rPr>
          <w:rFonts w:ascii="Times New Roman" w:hAnsi="Times New Roman" w:cs="Times New Roman"/>
          <w:sz w:val="24"/>
          <w:szCs w:val="24"/>
        </w:rPr>
        <w:t xml:space="preserve">in </w:t>
      </w:r>
      <w:r w:rsidR="00BB5447" w:rsidRPr="00BB5447">
        <w:rPr>
          <w:rFonts w:ascii="Times New Roman" w:hAnsi="Times New Roman" w:cs="Times New Roman"/>
          <w:i/>
          <w:iCs/>
          <w:sz w:val="24"/>
          <w:szCs w:val="24"/>
        </w:rPr>
        <w:t>R v Cheshire</w:t>
      </w:r>
      <w:r w:rsidR="00BB5447" w:rsidRPr="00BB5447">
        <w:rPr>
          <w:rFonts w:ascii="Times New Roman" w:hAnsi="Times New Roman" w:cs="Times New Roman"/>
          <w:sz w:val="24"/>
          <w:szCs w:val="24"/>
        </w:rPr>
        <w:t>,</w:t>
      </w:r>
      <w:r w:rsidR="00003BAE" w:rsidRPr="00BB5447">
        <w:rPr>
          <w:rStyle w:val="EndnoteReference"/>
          <w:rFonts w:ascii="Times New Roman" w:hAnsi="Times New Roman" w:cs="Times New Roman"/>
          <w:sz w:val="24"/>
          <w:szCs w:val="24"/>
        </w:rPr>
        <w:endnoteReference w:id="40"/>
      </w:r>
      <w:r w:rsidR="00003BAE" w:rsidRPr="00BB5447">
        <w:rPr>
          <w:rFonts w:ascii="Times New Roman" w:hAnsi="Times New Roman" w:cs="Times New Roman"/>
          <w:sz w:val="24"/>
          <w:szCs w:val="24"/>
        </w:rPr>
        <w:t xml:space="preserve"> when the</w:t>
      </w:r>
      <w:r w:rsidR="006E020E">
        <w:rPr>
          <w:rFonts w:ascii="Times New Roman" w:hAnsi="Times New Roman" w:cs="Times New Roman"/>
          <w:sz w:val="24"/>
          <w:szCs w:val="24"/>
        </w:rPr>
        <w:t xml:space="preserve"> victim</w:t>
      </w:r>
      <w:r w:rsidR="00003BAE" w:rsidRPr="00BB5447">
        <w:rPr>
          <w:rFonts w:ascii="Times New Roman" w:hAnsi="Times New Roman" w:cs="Times New Roman"/>
          <w:sz w:val="24"/>
          <w:szCs w:val="24"/>
        </w:rPr>
        <w:t xml:space="preserve">’s </w:t>
      </w:r>
      <w:r w:rsidR="0049298D">
        <w:rPr>
          <w:rFonts w:ascii="Times New Roman" w:hAnsi="Times New Roman" w:cs="Times New Roman"/>
          <w:sz w:val="24"/>
          <w:szCs w:val="24"/>
        </w:rPr>
        <w:t>gunshot injuries to the stomach and leg</w:t>
      </w:r>
      <w:r w:rsidR="00003BAE" w:rsidRPr="00BB5447">
        <w:rPr>
          <w:rFonts w:ascii="Times New Roman" w:hAnsi="Times New Roman" w:cs="Times New Roman"/>
          <w:sz w:val="24"/>
          <w:szCs w:val="24"/>
        </w:rPr>
        <w:t xml:space="preserve"> had almost healed</w:t>
      </w:r>
      <w:r w:rsidR="00227ECB">
        <w:rPr>
          <w:rFonts w:ascii="Times New Roman" w:hAnsi="Times New Roman" w:cs="Times New Roman"/>
          <w:sz w:val="24"/>
          <w:szCs w:val="24"/>
        </w:rPr>
        <w:t xml:space="preserve"> </w:t>
      </w:r>
      <w:r w:rsidR="00003BAE" w:rsidRPr="00BB5447">
        <w:rPr>
          <w:rFonts w:ascii="Times New Roman" w:hAnsi="Times New Roman" w:cs="Times New Roman"/>
          <w:sz w:val="24"/>
          <w:szCs w:val="24"/>
        </w:rPr>
        <w:t xml:space="preserve">the doctors’ </w:t>
      </w:r>
      <w:r w:rsidR="005A4D2F">
        <w:rPr>
          <w:rFonts w:ascii="Times New Roman" w:hAnsi="Times New Roman" w:cs="Times New Roman"/>
          <w:sz w:val="24"/>
          <w:szCs w:val="24"/>
        </w:rPr>
        <w:t>actions</w:t>
      </w:r>
      <w:r w:rsidR="00227ECB">
        <w:rPr>
          <w:rFonts w:ascii="Times New Roman" w:hAnsi="Times New Roman" w:cs="Times New Roman"/>
          <w:sz w:val="24"/>
          <w:szCs w:val="24"/>
        </w:rPr>
        <w:t>,</w:t>
      </w:r>
      <w:r w:rsidR="00D16827">
        <w:rPr>
          <w:rFonts w:ascii="Times New Roman" w:hAnsi="Times New Roman" w:cs="Times New Roman"/>
          <w:sz w:val="24"/>
          <w:szCs w:val="24"/>
        </w:rPr>
        <w:t xml:space="preserve"> which </w:t>
      </w:r>
      <w:r w:rsidR="0049298D">
        <w:rPr>
          <w:rFonts w:ascii="Times New Roman" w:hAnsi="Times New Roman" w:cs="Times New Roman"/>
          <w:sz w:val="24"/>
          <w:szCs w:val="24"/>
        </w:rPr>
        <w:t>l</w:t>
      </w:r>
      <w:r w:rsidR="00D16827">
        <w:rPr>
          <w:rFonts w:ascii="Times New Roman" w:hAnsi="Times New Roman" w:cs="Times New Roman"/>
          <w:sz w:val="24"/>
          <w:szCs w:val="24"/>
        </w:rPr>
        <w:t>ed to a blockage</w:t>
      </w:r>
      <w:r w:rsidR="0049298D">
        <w:rPr>
          <w:rFonts w:ascii="Times New Roman" w:hAnsi="Times New Roman" w:cs="Times New Roman"/>
          <w:sz w:val="24"/>
          <w:szCs w:val="24"/>
        </w:rPr>
        <w:t xml:space="preserve"> in the victim’s windpipe,</w:t>
      </w:r>
      <w:r w:rsidR="00003BAE" w:rsidRPr="00BB5447">
        <w:rPr>
          <w:rFonts w:ascii="Times New Roman" w:hAnsi="Times New Roman" w:cs="Times New Roman"/>
          <w:sz w:val="24"/>
          <w:szCs w:val="24"/>
        </w:rPr>
        <w:t xml:space="preserve"> did not break the chain of causation</w:t>
      </w:r>
      <w:r w:rsidR="00227ECB">
        <w:rPr>
          <w:rFonts w:ascii="Times New Roman" w:hAnsi="Times New Roman" w:cs="Times New Roman"/>
          <w:sz w:val="24"/>
          <w:szCs w:val="24"/>
        </w:rPr>
        <w:t>.  T</w:t>
      </w:r>
      <w:r w:rsidR="00003BAE" w:rsidRPr="00BB5447">
        <w:rPr>
          <w:rFonts w:ascii="Times New Roman" w:hAnsi="Times New Roman" w:cs="Times New Roman"/>
          <w:sz w:val="24"/>
          <w:szCs w:val="24"/>
        </w:rPr>
        <w:t>he defendant’s actions were held to have contributed significantly to the victim’s death.</w:t>
      </w:r>
      <w:r w:rsidR="00003BAE" w:rsidRPr="00BB5447">
        <w:rPr>
          <w:rStyle w:val="EndnoteReference"/>
          <w:rFonts w:ascii="Times New Roman" w:hAnsi="Times New Roman" w:cs="Times New Roman"/>
          <w:sz w:val="24"/>
          <w:szCs w:val="24"/>
        </w:rPr>
        <w:endnoteReference w:id="41"/>
      </w:r>
      <w:r w:rsidR="007F1104">
        <w:rPr>
          <w:rFonts w:ascii="Times New Roman" w:hAnsi="Times New Roman" w:cs="Times New Roman"/>
          <w:sz w:val="24"/>
          <w:szCs w:val="24"/>
        </w:rPr>
        <w:t xml:space="preserve">  Therefore, arguably there does not need to be a direct connection</w:t>
      </w:r>
      <w:r w:rsidR="00CC278A">
        <w:rPr>
          <w:rStyle w:val="EndnoteReference"/>
          <w:rFonts w:ascii="Times New Roman" w:hAnsi="Times New Roman" w:cs="Times New Roman"/>
          <w:sz w:val="24"/>
          <w:szCs w:val="24"/>
        </w:rPr>
        <w:endnoteReference w:id="42"/>
      </w:r>
      <w:r w:rsidR="007F1104">
        <w:rPr>
          <w:rFonts w:ascii="Times New Roman" w:hAnsi="Times New Roman" w:cs="Times New Roman"/>
          <w:sz w:val="24"/>
          <w:szCs w:val="24"/>
        </w:rPr>
        <w:t xml:space="preserve"> between the injuries caused</w:t>
      </w:r>
      <w:r w:rsidR="00F84244">
        <w:rPr>
          <w:rFonts w:ascii="Times New Roman" w:hAnsi="Times New Roman" w:cs="Times New Roman"/>
          <w:sz w:val="24"/>
          <w:szCs w:val="24"/>
        </w:rPr>
        <w:t xml:space="preserve"> by the defendant</w:t>
      </w:r>
      <w:r w:rsidR="007F1104">
        <w:rPr>
          <w:rFonts w:ascii="Times New Roman" w:hAnsi="Times New Roman" w:cs="Times New Roman"/>
          <w:sz w:val="24"/>
          <w:szCs w:val="24"/>
        </w:rPr>
        <w:t xml:space="preserve"> and the resulting </w:t>
      </w:r>
      <w:r w:rsidR="00584596">
        <w:rPr>
          <w:rFonts w:ascii="Times New Roman" w:hAnsi="Times New Roman" w:cs="Times New Roman"/>
          <w:sz w:val="24"/>
          <w:szCs w:val="24"/>
        </w:rPr>
        <w:t>medical cause of death</w:t>
      </w:r>
      <w:r w:rsidR="00F84244">
        <w:rPr>
          <w:rFonts w:ascii="Times New Roman" w:hAnsi="Times New Roman" w:cs="Times New Roman"/>
          <w:sz w:val="24"/>
          <w:szCs w:val="24"/>
        </w:rPr>
        <w:t>, as long as it can be shown that the defendant’s actions significantly contributed to the death</w:t>
      </w:r>
      <w:r w:rsidR="00584596">
        <w:rPr>
          <w:rFonts w:ascii="Times New Roman" w:hAnsi="Times New Roman" w:cs="Times New Roman"/>
          <w:sz w:val="24"/>
          <w:szCs w:val="24"/>
        </w:rPr>
        <w:t>.</w:t>
      </w:r>
      <w:r w:rsidR="00003BAE">
        <w:t xml:space="preserve"> </w:t>
      </w:r>
      <w:r w:rsidR="00BB5447">
        <w:t xml:space="preserve"> </w:t>
      </w:r>
    </w:p>
    <w:p w14:paraId="24A0FA37" w14:textId="77777777" w:rsidR="002A4FA5" w:rsidRDefault="002A4FA5" w:rsidP="005A62CC">
      <w:pPr>
        <w:spacing w:line="360" w:lineRule="auto"/>
        <w:contextualSpacing/>
        <w:jc w:val="both"/>
      </w:pPr>
    </w:p>
    <w:p w14:paraId="674ECEBE" w14:textId="38B8E27B" w:rsidR="004047D3" w:rsidRDefault="00584596" w:rsidP="003002C6">
      <w:pPr>
        <w:spacing w:line="360" w:lineRule="auto"/>
        <w:contextualSpacing/>
        <w:jc w:val="both"/>
        <w:rPr>
          <w:rFonts w:ascii="Times New Roman" w:eastAsia="Calibri" w:hAnsi="Times New Roman" w:cs="Times New Roman"/>
          <w:sz w:val="24"/>
          <w:szCs w:val="24"/>
        </w:rPr>
      </w:pPr>
      <w:r w:rsidRPr="00901C17">
        <w:rPr>
          <w:rFonts w:ascii="Times New Roman" w:hAnsi="Times New Roman" w:cs="Times New Roman"/>
          <w:sz w:val="24"/>
          <w:szCs w:val="24"/>
        </w:rPr>
        <w:lastRenderedPageBreak/>
        <w:t xml:space="preserve">This still does not resolve the second issue.  </w:t>
      </w:r>
      <w:r w:rsidR="00777E8D">
        <w:rPr>
          <w:rFonts w:ascii="Times New Roman" w:hAnsi="Times New Roman" w:cs="Times New Roman"/>
          <w:sz w:val="24"/>
          <w:szCs w:val="24"/>
        </w:rPr>
        <w:t>A</w:t>
      </w:r>
      <w:r w:rsidR="00901C17" w:rsidRPr="00901C17">
        <w:rPr>
          <w:rFonts w:ascii="Times New Roman" w:hAnsi="Times New Roman" w:cs="Times New Roman"/>
          <w:sz w:val="24"/>
          <w:szCs w:val="24"/>
        </w:rPr>
        <w:t>ctions of the victim that are not considered reasonably foreseeable can break the chain of causation.</w:t>
      </w:r>
      <w:r w:rsidR="00901C17" w:rsidRPr="00901C17">
        <w:rPr>
          <w:rStyle w:val="EndnoteReference"/>
          <w:rFonts w:ascii="Times New Roman" w:hAnsi="Times New Roman" w:cs="Times New Roman"/>
          <w:sz w:val="24"/>
          <w:szCs w:val="24"/>
        </w:rPr>
        <w:endnoteReference w:id="43"/>
      </w:r>
      <w:r w:rsidR="00901C17" w:rsidRPr="00901C17">
        <w:rPr>
          <w:rFonts w:ascii="Times New Roman" w:hAnsi="Times New Roman" w:cs="Times New Roman"/>
          <w:sz w:val="24"/>
          <w:szCs w:val="24"/>
        </w:rPr>
        <w:t xml:space="preserve">  This principle of foreseeability, however, whilst readily accepted in civil law only seems to apply in criminal law if the original wound is not s</w:t>
      </w:r>
      <w:r w:rsidR="00AD0C74">
        <w:rPr>
          <w:rFonts w:ascii="Times New Roman" w:hAnsi="Times New Roman" w:cs="Times New Roman"/>
          <w:sz w:val="24"/>
          <w:szCs w:val="24"/>
        </w:rPr>
        <w:t>ignificant</w:t>
      </w:r>
      <w:r w:rsidR="00901C17" w:rsidRPr="00901C17">
        <w:rPr>
          <w:rFonts w:ascii="Times New Roman" w:hAnsi="Times New Roman" w:cs="Times New Roman"/>
          <w:sz w:val="24"/>
          <w:szCs w:val="24"/>
        </w:rPr>
        <w:t xml:space="preserve"> and operative.</w:t>
      </w:r>
      <w:r w:rsidR="00901C17" w:rsidRPr="00901C17">
        <w:rPr>
          <w:rStyle w:val="EndnoteReference"/>
          <w:rFonts w:ascii="Times New Roman" w:hAnsi="Times New Roman" w:cs="Times New Roman"/>
          <w:sz w:val="24"/>
          <w:szCs w:val="24"/>
        </w:rPr>
        <w:endnoteReference w:id="44"/>
      </w:r>
      <w:r w:rsidR="00901C17" w:rsidRPr="00901C17">
        <w:rPr>
          <w:rFonts w:ascii="Times New Roman" w:hAnsi="Times New Roman" w:cs="Times New Roman"/>
          <w:sz w:val="24"/>
          <w:szCs w:val="24"/>
        </w:rPr>
        <w:t xml:space="preserve">  Cases when the issue of foreseeability has readily been considered, are ones where the substantial injury occurs after the victim has acted in fear in response to the defendant’s actions, which are yet to be significantly physically harmful.</w:t>
      </w:r>
      <w:r w:rsidR="00901C17" w:rsidRPr="00901C17">
        <w:rPr>
          <w:rStyle w:val="EndnoteReference"/>
          <w:rFonts w:ascii="Times New Roman" w:hAnsi="Times New Roman" w:cs="Times New Roman"/>
          <w:sz w:val="24"/>
          <w:szCs w:val="24"/>
        </w:rPr>
        <w:endnoteReference w:id="45"/>
      </w:r>
      <w:r w:rsidR="00901C17" w:rsidRPr="00901C17">
        <w:rPr>
          <w:rFonts w:ascii="Times New Roman" w:hAnsi="Times New Roman" w:cs="Times New Roman"/>
          <w:sz w:val="24"/>
          <w:szCs w:val="24"/>
        </w:rPr>
        <w:t xml:space="preserve">  This then raises the question of why foreseeability</w:t>
      </w:r>
      <w:r w:rsidR="007C37A5">
        <w:rPr>
          <w:rFonts w:ascii="Times New Roman" w:hAnsi="Times New Roman" w:cs="Times New Roman"/>
          <w:sz w:val="24"/>
          <w:szCs w:val="24"/>
        </w:rPr>
        <w:t xml:space="preserve"> of the victim’s actions in considering whether the chain of causation has been broken</w:t>
      </w:r>
      <w:r w:rsidR="00901C17" w:rsidRPr="00901C17">
        <w:rPr>
          <w:rFonts w:ascii="Times New Roman" w:hAnsi="Times New Roman" w:cs="Times New Roman"/>
          <w:sz w:val="24"/>
          <w:szCs w:val="24"/>
        </w:rPr>
        <w:t xml:space="preserve"> </w:t>
      </w:r>
      <w:r w:rsidR="00F84244">
        <w:rPr>
          <w:rFonts w:ascii="Times New Roman" w:hAnsi="Times New Roman" w:cs="Times New Roman"/>
          <w:sz w:val="24"/>
          <w:szCs w:val="24"/>
        </w:rPr>
        <w:t>was</w:t>
      </w:r>
      <w:r w:rsidR="00901C17" w:rsidRPr="00901C17">
        <w:rPr>
          <w:rFonts w:ascii="Times New Roman" w:hAnsi="Times New Roman" w:cs="Times New Roman"/>
          <w:sz w:val="24"/>
          <w:szCs w:val="24"/>
        </w:rPr>
        <w:t xml:space="preserve"> included in th</w:t>
      </w:r>
      <w:r w:rsidR="007747CE">
        <w:rPr>
          <w:rFonts w:ascii="Times New Roman" w:hAnsi="Times New Roman" w:cs="Times New Roman"/>
          <w:sz w:val="24"/>
          <w:szCs w:val="24"/>
        </w:rPr>
        <w:t>e</w:t>
      </w:r>
      <w:r w:rsidR="00901C17" w:rsidRPr="00901C17">
        <w:rPr>
          <w:rFonts w:ascii="Times New Roman" w:hAnsi="Times New Roman" w:cs="Times New Roman"/>
          <w:sz w:val="24"/>
          <w:szCs w:val="24"/>
        </w:rPr>
        <w:t xml:space="preserve"> model</w:t>
      </w:r>
      <w:r w:rsidR="00A9419A">
        <w:rPr>
          <w:rFonts w:ascii="Times New Roman" w:hAnsi="Times New Roman" w:cs="Times New Roman"/>
          <w:sz w:val="24"/>
          <w:szCs w:val="24"/>
        </w:rPr>
        <w:t xml:space="preserve"> jury</w:t>
      </w:r>
      <w:r w:rsidR="00901C17" w:rsidRPr="00901C17">
        <w:rPr>
          <w:rFonts w:ascii="Times New Roman" w:hAnsi="Times New Roman" w:cs="Times New Roman"/>
          <w:sz w:val="24"/>
          <w:szCs w:val="24"/>
        </w:rPr>
        <w:t xml:space="preserve"> direction </w:t>
      </w:r>
      <w:r w:rsidR="00EC33C3">
        <w:rPr>
          <w:rFonts w:ascii="Times New Roman" w:hAnsi="Times New Roman" w:cs="Times New Roman"/>
          <w:sz w:val="24"/>
          <w:szCs w:val="24"/>
        </w:rPr>
        <w:t xml:space="preserve">at the end of the judgment in </w:t>
      </w:r>
      <w:r w:rsidR="00A9419A">
        <w:rPr>
          <w:rFonts w:ascii="Times New Roman" w:hAnsi="Times New Roman" w:cs="Times New Roman"/>
          <w:i/>
          <w:iCs/>
          <w:sz w:val="24"/>
          <w:szCs w:val="24"/>
        </w:rPr>
        <w:t xml:space="preserve">R v </w:t>
      </w:r>
      <w:r w:rsidR="00EC33C3">
        <w:rPr>
          <w:rFonts w:ascii="Times New Roman" w:hAnsi="Times New Roman" w:cs="Times New Roman"/>
          <w:i/>
          <w:iCs/>
          <w:sz w:val="24"/>
          <w:szCs w:val="24"/>
        </w:rPr>
        <w:t>Wallace</w:t>
      </w:r>
      <w:r w:rsidR="00901C17" w:rsidRPr="00901C17">
        <w:rPr>
          <w:rFonts w:ascii="Times New Roman" w:hAnsi="Times New Roman" w:cs="Times New Roman"/>
          <w:sz w:val="24"/>
          <w:szCs w:val="24"/>
        </w:rPr>
        <w:t>,</w:t>
      </w:r>
      <w:r w:rsidR="004E2AA5">
        <w:rPr>
          <w:rStyle w:val="EndnoteReference"/>
          <w:rFonts w:ascii="Times New Roman" w:hAnsi="Times New Roman" w:cs="Times New Roman"/>
          <w:sz w:val="24"/>
          <w:szCs w:val="24"/>
        </w:rPr>
        <w:endnoteReference w:id="46"/>
      </w:r>
      <w:r w:rsidR="004E2AA5">
        <w:rPr>
          <w:rFonts w:ascii="Times New Roman" w:hAnsi="Times New Roman" w:cs="Times New Roman"/>
          <w:sz w:val="24"/>
          <w:szCs w:val="24"/>
        </w:rPr>
        <w:t xml:space="preserve"> when</w:t>
      </w:r>
      <w:r w:rsidR="00EC33C3">
        <w:rPr>
          <w:rFonts w:ascii="Times New Roman" w:hAnsi="Times New Roman" w:cs="Times New Roman"/>
          <w:sz w:val="24"/>
          <w:szCs w:val="24"/>
        </w:rPr>
        <w:t xml:space="preserve"> at the time of death</w:t>
      </w:r>
      <w:r w:rsidR="00901C17" w:rsidRPr="00901C17">
        <w:rPr>
          <w:rFonts w:ascii="Times New Roman" w:hAnsi="Times New Roman" w:cs="Times New Roman"/>
          <w:sz w:val="24"/>
          <w:szCs w:val="24"/>
        </w:rPr>
        <w:t xml:space="preserve"> the original wound was still operating and s</w:t>
      </w:r>
      <w:r w:rsidR="004E2AA5">
        <w:rPr>
          <w:rFonts w:ascii="Times New Roman" w:hAnsi="Times New Roman" w:cs="Times New Roman"/>
          <w:sz w:val="24"/>
          <w:szCs w:val="24"/>
        </w:rPr>
        <w:t>ignificant</w:t>
      </w:r>
      <w:r w:rsidR="00901C17" w:rsidRPr="00901C17">
        <w:rPr>
          <w:rFonts w:ascii="Times New Roman" w:hAnsi="Times New Roman" w:cs="Times New Roman"/>
          <w:sz w:val="24"/>
          <w:szCs w:val="24"/>
        </w:rPr>
        <w:t>.  Furthermore, it is difficult to know when a jury would ever foresee that a person would go on</w:t>
      </w:r>
      <w:r w:rsidR="00D910B6">
        <w:rPr>
          <w:rFonts w:ascii="Times New Roman" w:hAnsi="Times New Roman" w:cs="Times New Roman"/>
          <w:sz w:val="24"/>
          <w:szCs w:val="24"/>
        </w:rPr>
        <w:t xml:space="preserve"> to</w:t>
      </w:r>
      <w:r w:rsidR="00901C17" w:rsidRPr="00901C17">
        <w:rPr>
          <w:rFonts w:ascii="Times New Roman" w:hAnsi="Times New Roman" w:cs="Times New Roman"/>
          <w:sz w:val="24"/>
          <w:szCs w:val="24"/>
        </w:rPr>
        <w:t xml:space="preserve"> be euthanised, when the initial act of throwing acid occurred in a country where euthanasia is illegal.  It is perhaps then not surprising that on ret</w:t>
      </w:r>
      <w:r w:rsidR="00D910B6">
        <w:rPr>
          <w:rFonts w:ascii="Times New Roman" w:hAnsi="Times New Roman" w:cs="Times New Roman"/>
          <w:sz w:val="24"/>
          <w:szCs w:val="24"/>
        </w:rPr>
        <w:t>rial</w:t>
      </w:r>
      <w:r w:rsidR="00901C17" w:rsidRPr="00901C17">
        <w:rPr>
          <w:rFonts w:ascii="Times New Roman" w:hAnsi="Times New Roman" w:cs="Times New Roman"/>
          <w:sz w:val="24"/>
          <w:szCs w:val="24"/>
        </w:rPr>
        <w:t xml:space="preserve">, the jury acquitted </w:t>
      </w:r>
      <w:r w:rsidR="00901C17" w:rsidRPr="004E2AA5">
        <w:rPr>
          <w:rFonts w:ascii="Times New Roman" w:hAnsi="Times New Roman" w:cs="Times New Roman"/>
          <w:i/>
          <w:iCs/>
          <w:sz w:val="24"/>
          <w:szCs w:val="24"/>
        </w:rPr>
        <w:t>Wallace</w:t>
      </w:r>
      <w:r w:rsidR="00901C17" w:rsidRPr="00901C17">
        <w:rPr>
          <w:rFonts w:ascii="Times New Roman" w:hAnsi="Times New Roman" w:cs="Times New Roman"/>
          <w:sz w:val="24"/>
          <w:szCs w:val="24"/>
        </w:rPr>
        <w:t xml:space="preserve"> of murder, although she</w:t>
      </w:r>
      <w:r w:rsidR="00A9419A">
        <w:rPr>
          <w:rFonts w:ascii="Times New Roman" w:hAnsi="Times New Roman" w:cs="Times New Roman"/>
          <w:sz w:val="24"/>
          <w:szCs w:val="24"/>
        </w:rPr>
        <w:t xml:space="preserve"> did</w:t>
      </w:r>
      <w:r w:rsidR="00901C17" w:rsidRPr="00901C17">
        <w:rPr>
          <w:rFonts w:ascii="Times New Roman" w:hAnsi="Times New Roman" w:cs="Times New Roman"/>
          <w:sz w:val="24"/>
          <w:szCs w:val="24"/>
        </w:rPr>
        <w:t xml:space="preserve"> bec</w:t>
      </w:r>
      <w:r w:rsidR="00A9419A">
        <w:rPr>
          <w:rFonts w:ascii="Times New Roman" w:hAnsi="Times New Roman" w:cs="Times New Roman"/>
          <w:sz w:val="24"/>
          <w:szCs w:val="24"/>
        </w:rPr>
        <w:t>o</w:t>
      </w:r>
      <w:r w:rsidR="00901C17" w:rsidRPr="00901C17">
        <w:rPr>
          <w:rFonts w:ascii="Times New Roman" w:hAnsi="Times New Roman" w:cs="Times New Roman"/>
          <w:sz w:val="24"/>
          <w:szCs w:val="24"/>
        </w:rPr>
        <w:t>me the first person sentenced to life for an acid attack.</w:t>
      </w:r>
      <w:r w:rsidR="00A863D6">
        <w:rPr>
          <w:rStyle w:val="EndnoteReference"/>
          <w:rFonts w:ascii="Times New Roman" w:hAnsi="Times New Roman" w:cs="Times New Roman"/>
          <w:sz w:val="24"/>
          <w:szCs w:val="24"/>
        </w:rPr>
        <w:endnoteReference w:id="47"/>
      </w:r>
      <w:r w:rsidR="003002C6">
        <w:rPr>
          <w:rFonts w:ascii="Times New Roman" w:hAnsi="Times New Roman" w:cs="Times New Roman"/>
          <w:sz w:val="24"/>
          <w:szCs w:val="24"/>
        </w:rPr>
        <w:t xml:space="preserve">  </w:t>
      </w:r>
    </w:p>
    <w:p w14:paraId="6A801250" w14:textId="77777777" w:rsidR="003002C6" w:rsidRDefault="003002C6" w:rsidP="005A62CC">
      <w:pPr>
        <w:spacing w:line="360" w:lineRule="auto"/>
        <w:ind w:left="720"/>
        <w:contextualSpacing/>
        <w:jc w:val="both"/>
        <w:rPr>
          <w:rFonts w:ascii="Times New Roman" w:eastAsia="Calibri" w:hAnsi="Times New Roman" w:cs="Times New Roman"/>
          <w:sz w:val="24"/>
          <w:szCs w:val="24"/>
        </w:rPr>
      </w:pPr>
    </w:p>
    <w:p w14:paraId="3734FB01" w14:textId="5B20F4D6" w:rsidR="004047D3" w:rsidRDefault="003002C6" w:rsidP="00CE1F7C">
      <w:pPr>
        <w:spacing w:before="24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One </w:t>
      </w:r>
      <w:r w:rsidR="004047D3">
        <w:rPr>
          <w:rFonts w:ascii="Times New Roman" w:eastAsia="Calibri" w:hAnsi="Times New Roman" w:cs="Times New Roman"/>
          <w:sz w:val="24"/>
          <w:szCs w:val="24"/>
        </w:rPr>
        <w:t xml:space="preserve">explanation of why </w:t>
      </w:r>
      <w:r w:rsidR="000249FF">
        <w:rPr>
          <w:rFonts w:ascii="Times New Roman" w:eastAsia="Calibri" w:hAnsi="Times New Roman" w:cs="Times New Roman"/>
          <w:sz w:val="24"/>
          <w:szCs w:val="24"/>
        </w:rPr>
        <w:t>the Court of Appeal</w:t>
      </w:r>
      <w:r w:rsidR="005F75A4">
        <w:rPr>
          <w:rFonts w:ascii="Times New Roman" w:eastAsia="Calibri" w:hAnsi="Times New Roman" w:cs="Times New Roman"/>
          <w:sz w:val="24"/>
          <w:szCs w:val="24"/>
        </w:rPr>
        <w:t xml:space="preserve"> </w:t>
      </w:r>
      <w:r w:rsidR="00950248">
        <w:rPr>
          <w:rFonts w:ascii="Times New Roman" w:eastAsia="Calibri" w:hAnsi="Times New Roman" w:cs="Times New Roman"/>
          <w:sz w:val="24"/>
          <w:szCs w:val="24"/>
        </w:rPr>
        <w:t xml:space="preserve">allowed the Crown’s </w:t>
      </w:r>
      <w:r w:rsidR="00CE1F7C">
        <w:rPr>
          <w:rFonts w:ascii="Times New Roman" w:eastAsia="Calibri" w:hAnsi="Times New Roman" w:cs="Times New Roman"/>
          <w:sz w:val="24"/>
          <w:szCs w:val="24"/>
        </w:rPr>
        <w:t>appeal</w:t>
      </w:r>
      <w:r w:rsidR="00950248">
        <w:rPr>
          <w:rFonts w:ascii="Times New Roman" w:eastAsia="Calibri" w:hAnsi="Times New Roman" w:cs="Times New Roman"/>
          <w:sz w:val="24"/>
          <w:szCs w:val="24"/>
        </w:rPr>
        <w:t xml:space="preserve"> </w:t>
      </w:r>
      <w:r w:rsidR="005F75A4">
        <w:rPr>
          <w:rFonts w:ascii="Times New Roman" w:eastAsia="Calibri" w:hAnsi="Times New Roman" w:cs="Times New Roman"/>
          <w:sz w:val="24"/>
          <w:szCs w:val="24"/>
        </w:rPr>
        <w:t>in</w:t>
      </w:r>
      <w:r w:rsidR="004047D3">
        <w:rPr>
          <w:rFonts w:ascii="Times New Roman" w:eastAsia="Calibri" w:hAnsi="Times New Roman" w:cs="Times New Roman"/>
          <w:sz w:val="24"/>
          <w:szCs w:val="24"/>
        </w:rPr>
        <w:t xml:space="preserve"> </w:t>
      </w:r>
      <w:r w:rsidR="00CE1F7C">
        <w:rPr>
          <w:rFonts w:ascii="Times New Roman" w:eastAsia="Calibri" w:hAnsi="Times New Roman" w:cs="Times New Roman"/>
          <w:i/>
          <w:iCs/>
          <w:sz w:val="24"/>
          <w:szCs w:val="24"/>
        </w:rPr>
        <w:t xml:space="preserve">R v </w:t>
      </w:r>
      <w:r w:rsidR="004047D3">
        <w:rPr>
          <w:rFonts w:ascii="Times New Roman" w:eastAsia="Calibri" w:hAnsi="Times New Roman" w:cs="Times New Roman"/>
          <w:i/>
          <w:iCs/>
          <w:sz w:val="24"/>
          <w:szCs w:val="24"/>
        </w:rPr>
        <w:t>Wallace</w:t>
      </w:r>
      <w:r w:rsidR="00FC7F47">
        <w:rPr>
          <w:rFonts w:ascii="Times New Roman" w:eastAsia="Calibri" w:hAnsi="Times New Roman" w:cs="Times New Roman"/>
          <w:sz w:val="24"/>
          <w:szCs w:val="24"/>
        </w:rPr>
        <w:t xml:space="preserve"> </w:t>
      </w:r>
      <w:r w:rsidR="004047D3">
        <w:rPr>
          <w:rFonts w:ascii="Times New Roman" w:eastAsia="Calibri" w:hAnsi="Times New Roman" w:cs="Times New Roman"/>
          <w:sz w:val="24"/>
          <w:szCs w:val="24"/>
        </w:rPr>
        <w:t>is that criminal law does not always follow strict legal principle</w:t>
      </w:r>
      <w:r w:rsidR="00CE1F7C">
        <w:rPr>
          <w:rFonts w:ascii="Times New Roman" w:eastAsia="Calibri" w:hAnsi="Times New Roman" w:cs="Times New Roman"/>
          <w:sz w:val="24"/>
          <w:szCs w:val="24"/>
        </w:rPr>
        <w:t xml:space="preserve">, such as the </w:t>
      </w:r>
      <w:r w:rsidR="00CE1F7C">
        <w:rPr>
          <w:rFonts w:ascii="Times New Roman" w:eastAsia="Calibri" w:hAnsi="Times New Roman" w:cs="Times New Roman"/>
          <w:i/>
          <w:iCs/>
          <w:sz w:val="24"/>
          <w:szCs w:val="24"/>
        </w:rPr>
        <w:t xml:space="preserve">novus actus interveniens </w:t>
      </w:r>
      <w:r w:rsidR="00CE1F7C">
        <w:rPr>
          <w:rFonts w:ascii="Times New Roman" w:eastAsia="Calibri" w:hAnsi="Times New Roman" w:cs="Times New Roman"/>
          <w:sz w:val="24"/>
          <w:szCs w:val="24"/>
        </w:rPr>
        <w:t xml:space="preserve">rule laid out in </w:t>
      </w:r>
      <w:r w:rsidR="00CE1F7C">
        <w:rPr>
          <w:rFonts w:ascii="Times New Roman" w:eastAsia="Calibri" w:hAnsi="Times New Roman" w:cs="Times New Roman"/>
          <w:i/>
          <w:sz w:val="24"/>
          <w:szCs w:val="24"/>
        </w:rPr>
        <w:t>R v Kennedy</w:t>
      </w:r>
      <w:r w:rsidR="009C1298">
        <w:rPr>
          <w:rFonts w:ascii="Times New Roman" w:eastAsia="Calibri" w:hAnsi="Times New Roman" w:cs="Times New Roman"/>
          <w:iCs/>
          <w:sz w:val="24"/>
          <w:szCs w:val="24"/>
        </w:rPr>
        <w:t>.</w:t>
      </w:r>
      <w:r w:rsidR="004047D3">
        <w:rPr>
          <w:rFonts w:ascii="Times New Roman" w:eastAsia="Calibri" w:hAnsi="Times New Roman" w:cs="Times New Roman"/>
          <w:sz w:val="24"/>
          <w:szCs w:val="24"/>
        </w:rPr>
        <w:t xml:space="preserve">  </w:t>
      </w:r>
      <w:r w:rsidR="009C1298">
        <w:rPr>
          <w:rFonts w:ascii="Times New Roman" w:eastAsia="Calibri" w:hAnsi="Times New Roman" w:cs="Times New Roman"/>
          <w:sz w:val="24"/>
          <w:szCs w:val="24"/>
        </w:rPr>
        <w:t xml:space="preserve">The way the law is developed and applied is </w:t>
      </w:r>
      <w:r w:rsidR="004047D3">
        <w:rPr>
          <w:rFonts w:ascii="Times New Roman" w:eastAsia="Calibri" w:hAnsi="Times New Roman" w:cs="Times New Roman"/>
          <w:sz w:val="24"/>
          <w:szCs w:val="24"/>
        </w:rPr>
        <w:t>instead influenced by what is deemed morally acceptable</w:t>
      </w:r>
      <w:r w:rsidR="001853B3">
        <w:rPr>
          <w:rFonts w:ascii="Times New Roman" w:eastAsia="Calibri" w:hAnsi="Times New Roman" w:cs="Times New Roman"/>
          <w:sz w:val="24"/>
          <w:szCs w:val="24"/>
        </w:rPr>
        <w:t>.</w:t>
      </w:r>
      <w:r w:rsidR="00FA21D0">
        <w:rPr>
          <w:rFonts w:ascii="Times New Roman" w:eastAsia="Calibri" w:hAnsi="Times New Roman" w:cs="Times New Roman"/>
          <w:sz w:val="24"/>
          <w:szCs w:val="24"/>
        </w:rPr>
        <w:t xml:space="preserve">  </w:t>
      </w:r>
      <w:r w:rsidR="00FA21D0" w:rsidRPr="00FA21D0">
        <w:rPr>
          <w:rFonts w:ascii="Times New Roman" w:eastAsia="Calibri" w:hAnsi="Times New Roman" w:cs="Times New Roman"/>
          <w:sz w:val="24"/>
          <w:szCs w:val="24"/>
        </w:rPr>
        <w:t xml:space="preserve">As Simester states: </w:t>
      </w:r>
      <w:r w:rsidR="00E85CBB">
        <w:rPr>
          <w:rFonts w:ascii="Times New Roman" w:eastAsia="Calibri" w:hAnsi="Times New Roman" w:cs="Times New Roman"/>
          <w:sz w:val="24"/>
          <w:szCs w:val="24"/>
        </w:rPr>
        <w:t>‘</w:t>
      </w:r>
      <w:r w:rsidR="00FA21D0" w:rsidRPr="00FA21D0">
        <w:rPr>
          <w:rFonts w:ascii="Times New Roman" w:eastAsia="Calibri" w:hAnsi="Times New Roman" w:cs="Times New Roman"/>
          <w:sz w:val="24"/>
          <w:szCs w:val="24"/>
        </w:rPr>
        <w:t>The unwelcome nature of criminal conviction… naturally creates pressure to accommodate moral considerations within the causation doctrine.</w:t>
      </w:r>
      <w:r w:rsidR="00E85CBB">
        <w:rPr>
          <w:rFonts w:ascii="Times New Roman" w:eastAsia="Calibri" w:hAnsi="Times New Roman" w:cs="Times New Roman"/>
          <w:sz w:val="24"/>
          <w:szCs w:val="24"/>
        </w:rPr>
        <w:t>’</w:t>
      </w:r>
      <w:r w:rsidR="00733561">
        <w:rPr>
          <w:rStyle w:val="EndnoteReference"/>
          <w:rFonts w:ascii="Times New Roman" w:eastAsia="Calibri" w:hAnsi="Times New Roman" w:cs="Times New Roman"/>
          <w:sz w:val="24"/>
          <w:szCs w:val="24"/>
        </w:rPr>
        <w:endnoteReference w:id="48"/>
      </w:r>
      <w:r w:rsidR="00FA21D0">
        <w:rPr>
          <w:rFonts w:ascii="Times New Roman" w:eastAsia="Calibri" w:hAnsi="Times New Roman" w:cs="Times New Roman"/>
          <w:sz w:val="24"/>
          <w:szCs w:val="24"/>
        </w:rPr>
        <w:t xml:space="preserve">  </w:t>
      </w:r>
      <w:r w:rsidR="0014769C">
        <w:rPr>
          <w:rFonts w:ascii="Times New Roman" w:eastAsia="Calibri" w:hAnsi="Times New Roman" w:cs="Times New Roman"/>
          <w:sz w:val="24"/>
          <w:szCs w:val="24"/>
        </w:rPr>
        <w:t>C</w:t>
      </w:r>
      <w:r w:rsidR="00FA21D0">
        <w:rPr>
          <w:rFonts w:ascii="Times New Roman" w:eastAsia="Calibri" w:hAnsi="Times New Roman" w:cs="Times New Roman"/>
          <w:sz w:val="24"/>
          <w:szCs w:val="24"/>
        </w:rPr>
        <w:t>ausation acts as a tool to</w:t>
      </w:r>
      <w:r w:rsidR="00FA21D0" w:rsidRPr="00FA21D0">
        <w:rPr>
          <w:rFonts w:ascii="Times New Roman" w:eastAsia="Calibri" w:hAnsi="Times New Roman" w:cs="Times New Roman"/>
          <w:sz w:val="24"/>
          <w:szCs w:val="24"/>
        </w:rPr>
        <w:t xml:space="preserve"> </w:t>
      </w:r>
      <w:r w:rsidR="00FA21D0">
        <w:rPr>
          <w:rFonts w:ascii="Times New Roman" w:eastAsia="Calibri" w:hAnsi="Times New Roman" w:cs="Times New Roman"/>
          <w:sz w:val="24"/>
          <w:szCs w:val="24"/>
        </w:rPr>
        <w:t>determine</w:t>
      </w:r>
      <w:r w:rsidR="00FA21D0" w:rsidRPr="00FA21D0">
        <w:rPr>
          <w:rFonts w:ascii="Times New Roman" w:eastAsia="Calibri" w:hAnsi="Times New Roman" w:cs="Times New Roman"/>
          <w:sz w:val="24"/>
          <w:szCs w:val="24"/>
        </w:rPr>
        <w:t xml:space="preserve"> who can justly be held legally accountable (and labelled) for the outcome.</w:t>
      </w:r>
      <w:r w:rsidR="002200C8">
        <w:rPr>
          <w:rFonts w:ascii="Times New Roman" w:eastAsia="Calibri" w:hAnsi="Times New Roman" w:cs="Times New Roman"/>
          <w:sz w:val="24"/>
          <w:szCs w:val="24"/>
        </w:rPr>
        <w:t xml:space="preserve">  </w:t>
      </w:r>
      <w:r w:rsidR="00956EF9">
        <w:rPr>
          <w:rFonts w:ascii="Times New Roman" w:eastAsia="Calibri" w:hAnsi="Times New Roman" w:cs="Times New Roman"/>
          <w:sz w:val="24"/>
          <w:szCs w:val="24"/>
        </w:rPr>
        <w:t>As</w:t>
      </w:r>
      <w:r w:rsidR="00304E62">
        <w:rPr>
          <w:rFonts w:ascii="Times New Roman" w:eastAsia="Calibri" w:hAnsi="Times New Roman" w:cs="Times New Roman"/>
          <w:sz w:val="24"/>
          <w:szCs w:val="24"/>
        </w:rPr>
        <w:t xml:space="preserve"> the case of</w:t>
      </w:r>
      <w:r w:rsidR="00956EF9">
        <w:rPr>
          <w:rFonts w:ascii="Times New Roman" w:eastAsia="Calibri" w:hAnsi="Times New Roman" w:cs="Times New Roman"/>
          <w:sz w:val="24"/>
          <w:szCs w:val="24"/>
        </w:rPr>
        <w:t xml:space="preserve"> </w:t>
      </w:r>
      <w:r w:rsidR="002F1C2B">
        <w:rPr>
          <w:rFonts w:ascii="Times New Roman" w:eastAsia="Calibri" w:hAnsi="Times New Roman" w:cs="Times New Roman"/>
          <w:i/>
          <w:iCs/>
          <w:sz w:val="24"/>
          <w:szCs w:val="24"/>
        </w:rPr>
        <w:t xml:space="preserve">R v </w:t>
      </w:r>
      <w:r w:rsidR="004047D3">
        <w:rPr>
          <w:rFonts w:ascii="Times New Roman" w:eastAsia="Calibri" w:hAnsi="Times New Roman" w:cs="Times New Roman"/>
          <w:i/>
          <w:iCs/>
          <w:sz w:val="24"/>
          <w:szCs w:val="24"/>
        </w:rPr>
        <w:t>Wallace</w:t>
      </w:r>
      <w:r w:rsidR="004047D3" w:rsidRPr="00BB1FE2">
        <w:rPr>
          <w:rFonts w:ascii="Times New Roman" w:eastAsia="Calibri" w:hAnsi="Times New Roman" w:cs="Times New Roman"/>
          <w:sz w:val="24"/>
          <w:szCs w:val="24"/>
        </w:rPr>
        <w:t xml:space="preserve"> was morally charged, this influenced the</w:t>
      </w:r>
      <w:r>
        <w:rPr>
          <w:rFonts w:ascii="Times New Roman" w:eastAsia="Calibri" w:hAnsi="Times New Roman" w:cs="Times New Roman"/>
          <w:sz w:val="24"/>
          <w:szCs w:val="24"/>
        </w:rPr>
        <w:t xml:space="preserve"> Court of Appeal’s</w:t>
      </w:r>
      <w:r w:rsidR="004047D3" w:rsidRPr="00BB1FE2">
        <w:rPr>
          <w:rFonts w:ascii="Times New Roman" w:eastAsia="Calibri" w:hAnsi="Times New Roman" w:cs="Times New Roman"/>
          <w:sz w:val="24"/>
          <w:szCs w:val="24"/>
        </w:rPr>
        <w:t xml:space="preserve"> decision.</w:t>
      </w:r>
      <w:r w:rsidR="004047D3">
        <w:rPr>
          <w:rStyle w:val="EndnoteReference"/>
          <w:rFonts w:ascii="Times New Roman" w:eastAsia="Calibri" w:hAnsi="Times New Roman" w:cs="Times New Roman"/>
          <w:sz w:val="24"/>
          <w:szCs w:val="24"/>
        </w:rPr>
        <w:endnoteReference w:id="49"/>
      </w:r>
      <w:r w:rsidR="002200C8">
        <w:rPr>
          <w:rFonts w:ascii="Times New Roman" w:eastAsia="Calibri" w:hAnsi="Times New Roman" w:cs="Times New Roman"/>
          <w:sz w:val="24"/>
          <w:szCs w:val="24"/>
        </w:rPr>
        <w:t xml:space="preserve">  As Firkins comments:</w:t>
      </w:r>
      <w:r w:rsidR="002200C8">
        <w:rPr>
          <w:rFonts w:ascii="Times New Roman" w:eastAsia="Calibri" w:hAnsi="Times New Roman" w:cs="Times New Roman"/>
          <w:i/>
          <w:sz w:val="24"/>
          <w:szCs w:val="24"/>
        </w:rPr>
        <w:t xml:space="preserve"> </w:t>
      </w:r>
      <w:r w:rsidR="002200C8">
        <w:rPr>
          <w:rFonts w:ascii="Times New Roman" w:eastAsia="Calibri" w:hAnsi="Times New Roman" w:cs="Times New Roman"/>
          <w:sz w:val="24"/>
          <w:szCs w:val="24"/>
        </w:rPr>
        <w:t>‘The court therefore clearly blamed D for V’s death.  As a result, it controversially tightened the notion of voluntariness in order to ascribe liability to D for the death of V.’</w:t>
      </w:r>
      <w:r w:rsidR="002200C8">
        <w:rPr>
          <w:rStyle w:val="EndnoteReference"/>
          <w:rFonts w:ascii="Times New Roman" w:eastAsia="Calibri" w:hAnsi="Times New Roman" w:cs="Times New Roman"/>
          <w:sz w:val="24"/>
          <w:szCs w:val="24"/>
        </w:rPr>
        <w:endnoteReference w:id="50"/>
      </w:r>
      <w:r w:rsidR="002200C8" w:rsidRPr="00FA21D0">
        <w:rPr>
          <w:rFonts w:ascii="Times New Roman" w:eastAsia="Calibri" w:hAnsi="Times New Roman" w:cs="Times New Roman"/>
          <w:sz w:val="24"/>
          <w:szCs w:val="24"/>
        </w:rPr>
        <w:t xml:space="preserve">  </w:t>
      </w:r>
      <w:r w:rsidR="007465B2">
        <w:rPr>
          <w:rFonts w:ascii="Times New Roman" w:eastAsia="Calibri" w:hAnsi="Times New Roman" w:cs="Times New Roman"/>
          <w:sz w:val="24"/>
          <w:szCs w:val="24"/>
        </w:rPr>
        <w:t xml:space="preserve"> </w:t>
      </w:r>
      <w:r w:rsidR="00874676">
        <w:rPr>
          <w:rFonts w:ascii="Times New Roman" w:eastAsia="Calibri" w:hAnsi="Times New Roman" w:cs="Times New Roman"/>
          <w:sz w:val="24"/>
          <w:szCs w:val="24"/>
        </w:rPr>
        <w:t>T</w:t>
      </w:r>
      <w:r w:rsidR="008667F4">
        <w:rPr>
          <w:rFonts w:ascii="Times New Roman" w:eastAsia="Calibri" w:hAnsi="Times New Roman" w:cs="Times New Roman"/>
          <w:sz w:val="24"/>
          <w:szCs w:val="24"/>
        </w:rPr>
        <w:t>he result</w:t>
      </w:r>
      <w:r w:rsidR="00874676">
        <w:rPr>
          <w:rFonts w:ascii="Times New Roman" w:eastAsia="Calibri" w:hAnsi="Times New Roman" w:cs="Times New Roman"/>
          <w:sz w:val="24"/>
          <w:szCs w:val="24"/>
        </w:rPr>
        <w:t xml:space="preserve"> of this is</w:t>
      </w:r>
      <w:r w:rsidR="008667F4">
        <w:rPr>
          <w:rFonts w:ascii="Times New Roman" w:eastAsia="Calibri" w:hAnsi="Times New Roman" w:cs="Times New Roman"/>
          <w:sz w:val="24"/>
          <w:szCs w:val="24"/>
        </w:rPr>
        <w:t xml:space="preserve"> that </w:t>
      </w:r>
      <w:r w:rsidR="00874676">
        <w:rPr>
          <w:rFonts w:ascii="Times New Roman" w:eastAsia="Calibri" w:hAnsi="Times New Roman" w:cs="Times New Roman"/>
          <w:sz w:val="24"/>
          <w:szCs w:val="24"/>
        </w:rPr>
        <w:t xml:space="preserve">the judicial reasoning has </w:t>
      </w:r>
      <w:r w:rsidR="005F75A4">
        <w:rPr>
          <w:rFonts w:ascii="Times New Roman" w:eastAsia="Calibri" w:hAnsi="Times New Roman" w:cs="Times New Roman"/>
          <w:sz w:val="24"/>
          <w:szCs w:val="24"/>
        </w:rPr>
        <w:t>led</w:t>
      </w:r>
      <w:r w:rsidR="008667F4">
        <w:rPr>
          <w:rFonts w:ascii="Times New Roman" w:eastAsia="Calibri" w:hAnsi="Times New Roman" w:cs="Times New Roman"/>
          <w:sz w:val="24"/>
          <w:szCs w:val="24"/>
        </w:rPr>
        <w:t xml:space="preserve"> to</w:t>
      </w:r>
      <w:r w:rsidR="004047D3">
        <w:rPr>
          <w:rFonts w:ascii="Times New Roman" w:eastAsia="Calibri" w:hAnsi="Times New Roman" w:cs="Times New Roman"/>
          <w:sz w:val="24"/>
          <w:szCs w:val="24"/>
        </w:rPr>
        <w:t xml:space="preserve"> a lack of certainty in </w:t>
      </w:r>
      <w:r w:rsidR="007D5773">
        <w:rPr>
          <w:rFonts w:ascii="Times New Roman" w:eastAsia="Calibri" w:hAnsi="Times New Roman" w:cs="Times New Roman"/>
          <w:sz w:val="24"/>
          <w:szCs w:val="24"/>
        </w:rPr>
        <w:t xml:space="preserve">the </w:t>
      </w:r>
      <w:r w:rsidR="004047D3">
        <w:rPr>
          <w:rFonts w:ascii="Times New Roman" w:eastAsia="Calibri" w:hAnsi="Times New Roman" w:cs="Times New Roman"/>
          <w:sz w:val="24"/>
          <w:szCs w:val="24"/>
        </w:rPr>
        <w:t xml:space="preserve">application of </w:t>
      </w:r>
      <w:r w:rsidR="002200C8">
        <w:rPr>
          <w:rFonts w:ascii="Times New Roman" w:eastAsia="Calibri" w:hAnsi="Times New Roman" w:cs="Times New Roman"/>
          <w:sz w:val="24"/>
          <w:szCs w:val="24"/>
        </w:rPr>
        <w:t xml:space="preserve">the </w:t>
      </w:r>
      <w:r w:rsidR="004047D3">
        <w:rPr>
          <w:rFonts w:ascii="Times New Roman" w:eastAsia="Calibri" w:hAnsi="Times New Roman" w:cs="Times New Roman"/>
          <w:sz w:val="24"/>
          <w:szCs w:val="24"/>
        </w:rPr>
        <w:t>legal principle</w:t>
      </w:r>
      <w:r w:rsidR="002200C8">
        <w:rPr>
          <w:rFonts w:ascii="Times New Roman" w:eastAsia="Calibri" w:hAnsi="Times New Roman" w:cs="Times New Roman"/>
          <w:sz w:val="24"/>
          <w:szCs w:val="24"/>
        </w:rPr>
        <w:t xml:space="preserve"> of voluntariness</w:t>
      </w:r>
      <w:r w:rsidR="004047D3">
        <w:rPr>
          <w:rFonts w:ascii="Times New Roman" w:eastAsia="Calibri" w:hAnsi="Times New Roman" w:cs="Times New Roman"/>
          <w:sz w:val="24"/>
          <w:szCs w:val="24"/>
        </w:rPr>
        <w:t>.</w:t>
      </w:r>
    </w:p>
    <w:p w14:paraId="407F1CDC" w14:textId="67830121" w:rsidR="003002C6" w:rsidRDefault="003002C6" w:rsidP="00CE1F7C">
      <w:pPr>
        <w:spacing w:before="240" w:line="360" w:lineRule="auto"/>
        <w:contextualSpacing/>
        <w:jc w:val="both"/>
        <w:rPr>
          <w:rFonts w:ascii="Times New Roman" w:eastAsia="Calibri" w:hAnsi="Times New Roman" w:cs="Times New Roman"/>
          <w:sz w:val="24"/>
          <w:szCs w:val="24"/>
        </w:rPr>
      </w:pPr>
    </w:p>
    <w:p w14:paraId="011F5B54" w14:textId="4E78529E" w:rsidR="003002C6" w:rsidRDefault="003002C6" w:rsidP="003002C6">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Despite the morally charged context of</w:t>
      </w:r>
      <w:r w:rsidR="00304E62">
        <w:rPr>
          <w:rFonts w:ascii="Times New Roman" w:eastAsia="Calibri" w:hAnsi="Times New Roman" w:cs="Times New Roman"/>
          <w:sz w:val="24"/>
          <w:szCs w:val="24"/>
        </w:rPr>
        <w:t xml:space="preserve"> </w:t>
      </w:r>
      <w:r w:rsidR="00304E62">
        <w:rPr>
          <w:rFonts w:ascii="Times New Roman" w:eastAsia="Calibri" w:hAnsi="Times New Roman" w:cs="Times New Roman"/>
          <w:i/>
          <w:sz w:val="24"/>
          <w:szCs w:val="24"/>
        </w:rPr>
        <w:t>Wallace</w:t>
      </w:r>
      <w:r>
        <w:rPr>
          <w:rFonts w:ascii="Times New Roman" w:eastAsia="Calibri" w:hAnsi="Times New Roman" w:cs="Times New Roman"/>
          <w:sz w:val="24"/>
          <w:szCs w:val="24"/>
        </w:rPr>
        <w:t xml:space="preserve"> and the</w:t>
      </w:r>
      <w:r w:rsidR="00304E62">
        <w:rPr>
          <w:rFonts w:ascii="Times New Roman" w:eastAsia="Calibri" w:hAnsi="Times New Roman" w:cs="Times New Roman"/>
          <w:sz w:val="24"/>
          <w:szCs w:val="24"/>
        </w:rPr>
        <w:t xml:space="preserve"> Crown’s</w:t>
      </w:r>
      <w:r>
        <w:rPr>
          <w:rFonts w:ascii="Times New Roman" w:eastAsia="Calibri" w:hAnsi="Times New Roman" w:cs="Times New Roman"/>
          <w:sz w:val="24"/>
          <w:szCs w:val="24"/>
        </w:rPr>
        <w:t xml:space="preserve"> appeal being allowed, as stated above, the jury did not convict in </w:t>
      </w:r>
      <w:r>
        <w:rPr>
          <w:rFonts w:ascii="Times New Roman" w:eastAsia="Calibri" w:hAnsi="Times New Roman" w:cs="Times New Roman"/>
          <w:i/>
          <w:iCs/>
          <w:sz w:val="24"/>
          <w:szCs w:val="24"/>
        </w:rPr>
        <w:t>Wallace's</w:t>
      </w:r>
      <w:r>
        <w:rPr>
          <w:rFonts w:ascii="Times New Roman" w:eastAsia="Calibri" w:hAnsi="Times New Roman" w:cs="Times New Roman"/>
          <w:sz w:val="24"/>
          <w:szCs w:val="24"/>
        </w:rPr>
        <w:t xml:space="preserve"> retrial.  Perhaps the jury held similar views to that of</w:t>
      </w:r>
      <w:r w:rsidRPr="00495846">
        <w:rPr>
          <w:rFonts w:ascii="Times New Roman" w:eastAsia="Calibri" w:hAnsi="Times New Roman" w:cs="Times New Roman"/>
          <w:sz w:val="24"/>
          <w:szCs w:val="24"/>
        </w:rPr>
        <w:t xml:space="preserve"> Wilson </w:t>
      </w:r>
      <w:r>
        <w:rPr>
          <w:rFonts w:ascii="Times New Roman" w:eastAsia="Calibri" w:hAnsi="Times New Roman" w:cs="Times New Roman"/>
          <w:sz w:val="24"/>
          <w:szCs w:val="24"/>
        </w:rPr>
        <w:t>who had</w:t>
      </w:r>
      <w:r w:rsidRPr="004958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previously </w:t>
      </w:r>
      <w:r w:rsidRPr="00495846">
        <w:rPr>
          <w:rFonts w:ascii="Times New Roman" w:eastAsia="Calibri" w:hAnsi="Times New Roman" w:cs="Times New Roman"/>
          <w:sz w:val="24"/>
          <w:szCs w:val="24"/>
        </w:rPr>
        <w:t>argue</w:t>
      </w:r>
      <w:r>
        <w:rPr>
          <w:rFonts w:ascii="Times New Roman" w:eastAsia="Calibri" w:hAnsi="Times New Roman" w:cs="Times New Roman"/>
          <w:sz w:val="24"/>
          <w:szCs w:val="24"/>
        </w:rPr>
        <w:t>d that:</w:t>
      </w:r>
    </w:p>
    <w:p w14:paraId="2AFF51F3" w14:textId="77777777" w:rsidR="003002C6" w:rsidRDefault="003002C6" w:rsidP="003002C6">
      <w:pPr>
        <w:spacing w:line="360" w:lineRule="auto"/>
        <w:contextualSpacing/>
        <w:jc w:val="both"/>
        <w:rPr>
          <w:rFonts w:ascii="Times New Roman" w:eastAsia="Calibri" w:hAnsi="Times New Roman" w:cs="Times New Roman"/>
          <w:sz w:val="24"/>
          <w:szCs w:val="24"/>
        </w:rPr>
      </w:pPr>
    </w:p>
    <w:p w14:paraId="1FF7A61B" w14:textId="77777777" w:rsidR="003002C6" w:rsidRDefault="003002C6" w:rsidP="003002C6">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495846">
        <w:rPr>
          <w:rFonts w:ascii="Times New Roman" w:eastAsia="Calibri" w:hAnsi="Times New Roman" w:cs="Times New Roman"/>
          <w:sz w:val="24"/>
          <w:szCs w:val="24"/>
        </w:rPr>
        <w:t xml:space="preserve">f a person chooses to kill themselves because of something somebody else does it is their choice not the other’s.  If the other has done something wrong then the appropriate </w:t>
      </w:r>
      <w:r w:rsidRPr="00495846">
        <w:rPr>
          <w:rFonts w:ascii="Times New Roman" w:eastAsia="Calibri" w:hAnsi="Times New Roman" w:cs="Times New Roman"/>
          <w:sz w:val="24"/>
          <w:szCs w:val="24"/>
        </w:rPr>
        <w:lastRenderedPageBreak/>
        <w:t>response is to censure and punish for that wrong rather than use the victim’s unusual reaction as an occasion to pile on added criticism and punishmen</w:t>
      </w:r>
      <w:r>
        <w:rPr>
          <w:rFonts w:ascii="Times New Roman" w:eastAsia="Calibri" w:hAnsi="Times New Roman" w:cs="Times New Roman"/>
          <w:sz w:val="24"/>
          <w:szCs w:val="24"/>
        </w:rPr>
        <w:t>t.’</w:t>
      </w:r>
      <w:r>
        <w:rPr>
          <w:rStyle w:val="EndnoteReference"/>
          <w:rFonts w:ascii="Times New Roman" w:eastAsia="Calibri" w:hAnsi="Times New Roman" w:cs="Times New Roman"/>
          <w:sz w:val="24"/>
          <w:szCs w:val="24"/>
        </w:rPr>
        <w:endnoteReference w:id="51"/>
      </w:r>
    </w:p>
    <w:p w14:paraId="27CF4DB2" w14:textId="3AEF15AD" w:rsidR="003002C6" w:rsidRDefault="003002C6" w:rsidP="00CE1F7C">
      <w:pPr>
        <w:spacing w:before="240" w:line="360" w:lineRule="auto"/>
        <w:contextualSpacing/>
        <w:jc w:val="both"/>
        <w:rPr>
          <w:rFonts w:ascii="Times New Roman" w:eastAsia="Calibri" w:hAnsi="Times New Roman" w:cs="Times New Roman"/>
          <w:sz w:val="24"/>
          <w:szCs w:val="24"/>
        </w:rPr>
      </w:pPr>
    </w:p>
    <w:p w14:paraId="122F4ADD" w14:textId="273A4824" w:rsidR="00304E62" w:rsidRDefault="00304E62"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Therefore, whilst the decision of the Court of Appeal may have allowed criminal liability to be ascribed to the defendant, the limited phrasing of the jury direction and the robustness of the jury’s decision making, meant that </w:t>
      </w:r>
      <w:r>
        <w:rPr>
          <w:rFonts w:ascii="Times New Roman" w:eastAsia="Calibri" w:hAnsi="Times New Roman" w:cs="Times New Roman"/>
          <w:i/>
          <w:sz w:val="24"/>
          <w:szCs w:val="24"/>
        </w:rPr>
        <w:t xml:space="preserve">Wallace </w:t>
      </w:r>
      <w:r>
        <w:rPr>
          <w:rFonts w:ascii="Times New Roman" w:eastAsia="Calibri" w:hAnsi="Times New Roman" w:cs="Times New Roman"/>
          <w:sz w:val="24"/>
          <w:szCs w:val="24"/>
        </w:rPr>
        <w:t xml:space="preserve">was found not the cause of the victim’s death. </w:t>
      </w:r>
    </w:p>
    <w:p w14:paraId="00830638" w14:textId="77777777" w:rsidR="00304E62" w:rsidRPr="00304E62" w:rsidRDefault="00304E62" w:rsidP="005A62CC">
      <w:pPr>
        <w:spacing w:line="360" w:lineRule="auto"/>
        <w:contextualSpacing/>
        <w:jc w:val="both"/>
        <w:rPr>
          <w:rFonts w:ascii="Times New Roman" w:eastAsia="Calibri" w:hAnsi="Times New Roman" w:cs="Times New Roman"/>
          <w:sz w:val="24"/>
          <w:szCs w:val="24"/>
        </w:rPr>
      </w:pPr>
    </w:p>
    <w:p w14:paraId="3992ADD7" w14:textId="11D77850" w:rsidR="004047D3" w:rsidRDefault="008E7C48"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Following the decision in </w:t>
      </w:r>
      <w:r w:rsidR="00393E7A">
        <w:rPr>
          <w:rFonts w:ascii="Times New Roman" w:eastAsia="Calibri" w:hAnsi="Times New Roman" w:cs="Times New Roman"/>
          <w:i/>
          <w:iCs/>
          <w:sz w:val="24"/>
          <w:szCs w:val="24"/>
        </w:rPr>
        <w:t xml:space="preserve">R v </w:t>
      </w:r>
      <w:r w:rsidRPr="00275612">
        <w:rPr>
          <w:rFonts w:ascii="Times New Roman" w:eastAsia="Calibri" w:hAnsi="Times New Roman" w:cs="Times New Roman"/>
          <w:i/>
          <w:iCs/>
          <w:sz w:val="24"/>
          <w:szCs w:val="24"/>
        </w:rPr>
        <w:t>Wallace</w:t>
      </w:r>
      <w:r>
        <w:rPr>
          <w:rFonts w:ascii="Times New Roman" w:eastAsia="Calibri" w:hAnsi="Times New Roman" w:cs="Times New Roman"/>
          <w:sz w:val="24"/>
          <w:szCs w:val="24"/>
        </w:rPr>
        <w:t>, the</w:t>
      </w:r>
      <w:r w:rsidR="006A65A1">
        <w:rPr>
          <w:rFonts w:ascii="Times New Roman" w:eastAsia="Calibri" w:hAnsi="Times New Roman" w:cs="Times New Roman"/>
          <w:sz w:val="24"/>
          <w:szCs w:val="24"/>
        </w:rPr>
        <w:t xml:space="preserve"> Court of Appeal were again called to consider the issue of whether the victim’s actions could break the chain of causation in </w:t>
      </w:r>
      <w:r w:rsidR="004047D3">
        <w:rPr>
          <w:rFonts w:ascii="Times New Roman" w:eastAsia="Calibri" w:hAnsi="Times New Roman" w:cs="Times New Roman"/>
          <w:i/>
          <w:iCs/>
          <w:sz w:val="24"/>
          <w:szCs w:val="24"/>
        </w:rPr>
        <w:t>R v Field</w:t>
      </w:r>
      <w:r w:rsidR="006A65A1">
        <w:rPr>
          <w:rFonts w:ascii="Times New Roman" w:eastAsia="Calibri" w:hAnsi="Times New Roman" w:cs="Times New Roman"/>
          <w:i/>
          <w:iCs/>
          <w:sz w:val="24"/>
          <w:szCs w:val="24"/>
        </w:rPr>
        <w:t>.</w:t>
      </w:r>
      <w:r w:rsidR="00275612" w:rsidRPr="000249FF">
        <w:rPr>
          <w:rStyle w:val="EndnoteReference"/>
          <w:rFonts w:ascii="Times New Roman" w:eastAsia="Calibri" w:hAnsi="Times New Roman" w:cs="Times New Roman"/>
          <w:sz w:val="24"/>
          <w:szCs w:val="24"/>
        </w:rPr>
        <w:endnoteReference w:id="52"/>
      </w:r>
      <w:r w:rsidR="004047D3">
        <w:rPr>
          <w:rFonts w:ascii="Times New Roman" w:eastAsia="Calibri" w:hAnsi="Times New Roman" w:cs="Times New Roman"/>
          <w:sz w:val="24"/>
          <w:szCs w:val="24"/>
        </w:rPr>
        <w:t xml:space="preserve"> </w:t>
      </w:r>
      <w:r w:rsidR="00275612">
        <w:rPr>
          <w:rFonts w:ascii="Times New Roman" w:eastAsia="Calibri" w:hAnsi="Times New Roman" w:cs="Times New Roman"/>
          <w:sz w:val="24"/>
          <w:szCs w:val="24"/>
        </w:rPr>
        <w:t>T</w:t>
      </w:r>
      <w:r w:rsidR="004047D3">
        <w:rPr>
          <w:rFonts w:ascii="Times New Roman" w:eastAsia="Calibri" w:hAnsi="Times New Roman" w:cs="Times New Roman"/>
          <w:sz w:val="24"/>
          <w:szCs w:val="24"/>
        </w:rPr>
        <w:t xml:space="preserve">he Court of Appeal once more distinguished the facts from </w:t>
      </w:r>
      <w:r w:rsidR="004047D3">
        <w:rPr>
          <w:rFonts w:ascii="Times New Roman" w:eastAsia="Calibri" w:hAnsi="Times New Roman" w:cs="Times New Roman"/>
          <w:i/>
          <w:iCs/>
          <w:sz w:val="24"/>
          <w:szCs w:val="24"/>
        </w:rPr>
        <w:t>R v Kennedy</w:t>
      </w:r>
      <w:r w:rsidR="004047D3">
        <w:rPr>
          <w:rFonts w:ascii="Times New Roman" w:eastAsia="Calibri" w:hAnsi="Times New Roman" w:cs="Times New Roman"/>
          <w:sz w:val="24"/>
          <w:szCs w:val="24"/>
        </w:rPr>
        <w:t xml:space="preserve"> and decided, similarly to </w:t>
      </w:r>
      <w:r w:rsidR="004047D3">
        <w:rPr>
          <w:rFonts w:ascii="Times New Roman" w:eastAsia="Calibri" w:hAnsi="Times New Roman" w:cs="Times New Roman"/>
          <w:i/>
          <w:iCs/>
          <w:sz w:val="24"/>
          <w:szCs w:val="24"/>
        </w:rPr>
        <w:t>R v Wallace</w:t>
      </w:r>
      <w:r w:rsidR="004047D3">
        <w:rPr>
          <w:rFonts w:ascii="Times New Roman" w:eastAsia="Calibri" w:hAnsi="Times New Roman" w:cs="Times New Roman"/>
          <w:sz w:val="24"/>
          <w:szCs w:val="24"/>
        </w:rPr>
        <w:t>, that the victim’s otherwise seemingly voluntary actions were involuntary.  The basis for this decision was that in choosing to drink the whisky the victim had not been fully informed of the circumstances.</w:t>
      </w:r>
      <w:r w:rsidR="004047D3">
        <w:rPr>
          <w:rStyle w:val="EndnoteReference"/>
          <w:rFonts w:ascii="Times New Roman" w:eastAsia="Calibri" w:hAnsi="Times New Roman" w:cs="Times New Roman"/>
          <w:sz w:val="24"/>
          <w:szCs w:val="24"/>
        </w:rPr>
        <w:endnoteReference w:id="53"/>
      </w:r>
      <w:r w:rsidR="004047D3">
        <w:rPr>
          <w:rFonts w:ascii="Times New Roman" w:eastAsia="Calibri" w:hAnsi="Times New Roman" w:cs="Times New Roman"/>
          <w:sz w:val="24"/>
          <w:szCs w:val="24"/>
        </w:rPr>
        <w:t xml:space="preserve">  The court held that the pertinent circumstance was the defendant’s intent that the victim should die as this meant that whilst the victim thought he was in ‘safe hands’, should he fall into difficulties whilst drinking highly alcoholic whisky, the opposite was in fact true.</w:t>
      </w:r>
      <w:r w:rsidR="004047D3">
        <w:rPr>
          <w:rStyle w:val="EndnoteReference"/>
          <w:rFonts w:ascii="Times New Roman" w:eastAsia="Calibri" w:hAnsi="Times New Roman" w:cs="Times New Roman"/>
          <w:sz w:val="24"/>
          <w:szCs w:val="24"/>
        </w:rPr>
        <w:endnoteReference w:id="54"/>
      </w:r>
      <w:r w:rsidR="004047D3">
        <w:rPr>
          <w:rFonts w:ascii="Times New Roman" w:eastAsia="Calibri" w:hAnsi="Times New Roman" w:cs="Times New Roman"/>
          <w:sz w:val="24"/>
          <w:szCs w:val="24"/>
        </w:rPr>
        <w:t xml:space="preserve">  </w:t>
      </w:r>
    </w:p>
    <w:p w14:paraId="48DE8CBF" w14:textId="77777777" w:rsidR="00F1109C" w:rsidRDefault="00F1109C" w:rsidP="005A62CC">
      <w:pPr>
        <w:spacing w:line="360" w:lineRule="auto"/>
        <w:contextualSpacing/>
        <w:jc w:val="both"/>
        <w:rPr>
          <w:rFonts w:ascii="Times New Roman" w:eastAsia="Calibri" w:hAnsi="Times New Roman" w:cs="Times New Roman"/>
          <w:sz w:val="24"/>
          <w:szCs w:val="24"/>
        </w:rPr>
      </w:pPr>
    </w:p>
    <w:p w14:paraId="38C3F913" w14:textId="6DF696E1" w:rsidR="006E78EC" w:rsidRDefault="004047D3" w:rsidP="003F5635">
      <w:pPr>
        <w:spacing w:line="360" w:lineRule="auto"/>
        <w:contextualSpacing/>
        <w:jc w:val="both"/>
        <w:rPr>
          <w:rFonts w:ascii="Times New Roman" w:eastAsia="Calibri" w:hAnsi="Times New Roman" w:cs="Times New Roman"/>
          <w:sz w:val="24"/>
          <w:szCs w:val="24"/>
        </w:rPr>
      </w:pPr>
      <w:r w:rsidRPr="00A70367">
        <w:rPr>
          <w:rFonts w:ascii="Times New Roman" w:eastAsia="Calibri" w:hAnsi="Times New Roman" w:cs="Times New Roman"/>
          <w:sz w:val="24"/>
          <w:szCs w:val="24"/>
        </w:rPr>
        <w:t>In examining th</w:t>
      </w:r>
      <w:r>
        <w:rPr>
          <w:rFonts w:ascii="Times New Roman" w:eastAsia="Calibri" w:hAnsi="Times New Roman" w:cs="Times New Roman"/>
          <w:sz w:val="24"/>
          <w:szCs w:val="24"/>
        </w:rPr>
        <w:t>e</w:t>
      </w:r>
      <w:r w:rsidRPr="00A70367">
        <w:rPr>
          <w:rFonts w:ascii="Times New Roman" w:eastAsia="Calibri" w:hAnsi="Times New Roman" w:cs="Times New Roman"/>
          <w:sz w:val="24"/>
          <w:szCs w:val="24"/>
        </w:rPr>
        <w:t xml:space="preserve"> judgment</w:t>
      </w:r>
      <w:r>
        <w:rPr>
          <w:rFonts w:ascii="Times New Roman" w:eastAsia="Calibri" w:hAnsi="Times New Roman" w:cs="Times New Roman"/>
          <w:sz w:val="24"/>
          <w:szCs w:val="24"/>
        </w:rPr>
        <w:t xml:space="preserve"> in </w:t>
      </w:r>
      <w:r w:rsidR="00304E62">
        <w:rPr>
          <w:rFonts w:ascii="Times New Roman" w:eastAsia="Calibri" w:hAnsi="Times New Roman" w:cs="Times New Roman"/>
          <w:i/>
          <w:sz w:val="24"/>
          <w:szCs w:val="24"/>
        </w:rPr>
        <w:t xml:space="preserve">R v </w:t>
      </w:r>
      <w:r>
        <w:rPr>
          <w:rFonts w:ascii="Times New Roman" w:eastAsia="Calibri" w:hAnsi="Times New Roman" w:cs="Times New Roman"/>
          <w:i/>
          <w:iCs/>
          <w:sz w:val="24"/>
          <w:szCs w:val="24"/>
        </w:rPr>
        <w:t>Wallace</w:t>
      </w:r>
      <w:r w:rsidRPr="00A70367">
        <w:rPr>
          <w:rFonts w:ascii="Times New Roman" w:eastAsia="Calibri" w:hAnsi="Times New Roman" w:cs="Times New Roman"/>
          <w:sz w:val="24"/>
          <w:szCs w:val="24"/>
        </w:rPr>
        <w:t xml:space="preserve"> Sullivan and Simester comment that although the conviction is morally understandable, that morals cannot be used to avoid clear legal principle as set out in </w:t>
      </w:r>
      <w:r w:rsidRPr="001D42AC">
        <w:rPr>
          <w:rFonts w:ascii="Times New Roman" w:eastAsia="Calibri" w:hAnsi="Times New Roman" w:cs="Times New Roman"/>
          <w:i/>
          <w:iCs/>
          <w:sz w:val="24"/>
          <w:szCs w:val="24"/>
        </w:rPr>
        <w:t>Kennedy</w:t>
      </w:r>
      <w:r w:rsidRPr="00A70367">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55"/>
      </w:r>
      <w:r w:rsidRPr="00A70367">
        <w:rPr>
          <w:rFonts w:ascii="Times New Roman" w:eastAsia="Calibri" w:hAnsi="Times New Roman" w:cs="Times New Roman"/>
          <w:sz w:val="24"/>
          <w:szCs w:val="24"/>
        </w:rPr>
        <w:t xml:space="preserve">  which appears to be exactly what happened </w:t>
      </w:r>
      <w:r w:rsidR="002E08D6">
        <w:rPr>
          <w:rFonts w:ascii="Times New Roman" w:eastAsia="Calibri" w:hAnsi="Times New Roman" w:cs="Times New Roman"/>
          <w:sz w:val="24"/>
          <w:szCs w:val="24"/>
        </w:rPr>
        <w:t xml:space="preserve">again in </w:t>
      </w:r>
      <w:r w:rsidR="002E08D6">
        <w:rPr>
          <w:rFonts w:ascii="Times New Roman" w:eastAsia="Calibri" w:hAnsi="Times New Roman" w:cs="Times New Roman"/>
          <w:i/>
          <w:iCs/>
          <w:sz w:val="24"/>
          <w:szCs w:val="24"/>
        </w:rPr>
        <w:t>R v Field</w:t>
      </w:r>
      <w:r w:rsidRPr="00A70367">
        <w:rPr>
          <w:rFonts w:ascii="Times New Roman" w:eastAsia="Calibri" w:hAnsi="Times New Roman" w:cs="Times New Roman"/>
          <w:sz w:val="24"/>
          <w:szCs w:val="24"/>
        </w:rPr>
        <w:t>.</w:t>
      </w:r>
      <w:r>
        <w:rPr>
          <w:rFonts w:ascii="Times New Roman" w:eastAsia="Calibri" w:hAnsi="Times New Roman" w:cs="Times New Roman"/>
          <w:sz w:val="24"/>
          <w:szCs w:val="24"/>
        </w:rPr>
        <w:t xml:space="preserve">  Whilst the decision in </w:t>
      </w:r>
      <w:r>
        <w:rPr>
          <w:rFonts w:ascii="Times New Roman" w:eastAsia="Calibri" w:hAnsi="Times New Roman" w:cs="Times New Roman"/>
          <w:i/>
          <w:iCs/>
          <w:sz w:val="24"/>
          <w:szCs w:val="24"/>
        </w:rPr>
        <w:t>R v Wallace</w:t>
      </w:r>
      <w:r>
        <w:rPr>
          <w:rFonts w:ascii="Times New Roman" w:eastAsia="Calibri" w:hAnsi="Times New Roman" w:cs="Times New Roman"/>
          <w:sz w:val="24"/>
          <w:szCs w:val="24"/>
        </w:rPr>
        <w:t xml:space="preserve"> can perhaps be rationalised as the defendant had started the chain of causation with the illegal act of covering the victim with acid, in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 xml:space="preserve">, regardless of any intent he may have had, </w:t>
      </w:r>
      <w:r w:rsidR="0009001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actions of the defendant constituted no more than making available a legal substance.</w:t>
      </w:r>
      <w:r w:rsidR="00AE18D6">
        <w:rPr>
          <w:rFonts w:ascii="Times New Roman" w:eastAsia="Calibri" w:hAnsi="Times New Roman" w:cs="Times New Roman"/>
          <w:sz w:val="24"/>
          <w:szCs w:val="24"/>
        </w:rPr>
        <w:t xml:space="preserve">  </w:t>
      </w:r>
    </w:p>
    <w:p w14:paraId="4EFCAC99" w14:textId="77777777" w:rsidR="00165BD3" w:rsidRDefault="00165BD3" w:rsidP="003F5635">
      <w:pPr>
        <w:spacing w:line="360" w:lineRule="auto"/>
        <w:contextualSpacing/>
        <w:jc w:val="both"/>
        <w:rPr>
          <w:rFonts w:ascii="Times New Roman" w:eastAsia="Calibri" w:hAnsi="Times New Roman" w:cs="Times New Roman"/>
          <w:sz w:val="24"/>
          <w:szCs w:val="24"/>
        </w:rPr>
      </w:pPr>
    </w:p>
    <w:p w14:paraId="6BF844EE" w14:textId="2B98C3EF" w:rsidR="003F5635" w:rsidRDefault="00AE18D6" w:rsidP="003F5635">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raises the question of how minimal a defendant’s contribution </w:t>
      </w:r>
      <w:r w:rsidR="00C57269">
        <w:rPr>
          <w:rFonts w:ascii="Times New Roman" w:eastAsia="Calibri" w:hAnsi="Times New Roman" w:cs="Times New Roman"/>
          <w:sz w:val="24"/>
          <w:szCs w:val="24"/>
        </w:rPr>
        <w:t>can</w:t>
      </w:r>
      <w:r>
        <w:rPr>
          <w:rFonts w:ascii="Times New Roman" w:eastAsia="Calibri" w:hAnsi="Times New Roman" w:cs="Times New Roman"/>
          <w:sz w:val="24"/>
          <w:szCs w:val="24"/>
        </w:rPr>
        <w:t xml:space="preserve"> be to the result to fulfil the </w:t>
      </w:r>
      <w:r>
        <w:rPr>
          <w:rFonts w:ascii="Times New Roman" w:eastAsia="Calibri" w:hAnsi="Times New Roman" w:cs="Times New Roman"/>
          <w:i/>
          <w:iCs/>
          <w:sz w:val="24"/>
          <w:szCs w:val="24"/>
        </w:rPr>
        <w:t>de minimis</w:t>
      </w:r>
      <w:r>
        <w:rPr>
          <w:rFonts w:ascii="Times New Roman" w:eastAsia="Calibri" w:hAnsi="Times New Roman" w:cs="Times New Roman"/>
          <w:sz w:val="24"/>
          <w:szCs w:val="24"/>
        </w:rPr>
        <w:t xml:space="preserve"> principle.  For example, if a person leaves their keys in their car and another takes the car and crashes it and dies, can the car owner be said to have been more than a minimal cause of the death?  </w:t>
      </w:r>
      <w:r>
        <w:rPr>
          <w:rFonts w:ascii="Times New Roman" w:eastAsia="Calibri" w:hAnsi="Times New Roman" w:cs="Times New Roman"/>
          <w:i/>
          <w:iCs/>
          <w:sz w:val="24"/>
          <w:szCs w:val="24"/>
        </w:rPr>
        <w:t xml:space="preserve">Kennedy </w:t>
      </w:r>
      <w:r>
        <w:rPr>
          <w:rFonts w:ascii="Times New Roman" w:eastAsia="Calibri" w:hAnsi="Times New Roman" w:cs="Times New Roman"/>
          <w:sz w:val="24"/>
          <w:szCs w:val="24"/>
        </w:rPr>
        <w:t xml:space="preserve">establishes that a defendant will not be held responsible for merely providing the opportunity </w:t>
      </w:r>
      <w:r w:rsidRPr="003172E8">
        <w:rPr>
          <w:rFonts w:ascii="Times New Roman" w:eastAsia="Calibri" w:hAnsi="Times New Roman" w:cs="Times New Roman"/>
          <w:sz w:val="24"/>
          <w:szCs w:val="24"/>
        </w:rPr>
        <w:t>for the victim to cause their own death</w:t>
      </w:r>
      <w:r>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56"/>
      </w:r>
      <w:r>
        <w:rPr>
          <w:rFonts w:ascii="Times New Roman" w:eastAsia="Calibri" w:hAnsi="Times New Roman" w:cs="Times New Roman"/>
          <w:sz w:val="24"/>
          <w:szCs w:val="24"/>
        </w:rPr>
        <w:t xml:space="preserve">  </w:t>
      </w:r>
      <w:r w:rsidR="000354C6">
        <w:rPr>
          <w:rFonts w:ascii="Times New Roman" w:eastAsia="Calibri" w:hAnsi="Times New Roman" w:cs="Times New Roman"/>
          <w:sz w:val="24"/>
          <w:szCs w:val="24"/>
        </w:rPr>
        <w:t>‘</w:t>
      </w:r>
      <w:r w:rsidR="004047D3" w:rsidRPr="0073771F">
        <w:rPr>
          <w:rFonts w:ascii="Times New Roman" w:eastAsia="Calibri" w:hAnsi="Times New Roman" w:cs="Times New Roman"/>
          <w:sz w:val="24"/>
          <w:szCs w:val="24"/>
        </w:rPr>
        <w:t xml:space="preserve">The purpose of a criminal conviction is not simply to pinpoint a convenient wrongdoer upon which to pin responsibility, but to declare a moral truth about the undesired event, namely that it was the wrongdoer’s </w:t>
      </w:r>
      <w:r w:rsidR="000354C6">
        <w:rPr>
          <w:rFonts w:ascii="Times New Roman" w:eastAsia="Calibri" w:hAnsi="Times New Roman" w:cs="Times New Roman"/>
          <w:sz w:val="24"/>
          <w:szCs w:val="24"/>
        </w:rPr>
        <w:t>‘</w:t>
      </w:r>
      <w:r w:rsidR="004047D3" w:rsidRPr="0073771F">
        <w:rPr>
          <w:rFonts w:ascii="Times New Roman" w:eastAsia="Calibri" w:hAnsi="Times New Roman" w:cs="Times New Roman"/>
          <w:sz w:val="24"/>
          <w:szCs w:val="24"/>
        </w:rPr>
        <w:t>doing’ for which he is accountable.</w:t>
      </w:r>
      <w:r w:rsidR="000354C6">
        <w:rPr>
          <w:rFonts w:ascii="Times New Roman" w:eastAsia="Calibri" w:hAnsi="Times New Roman" w:cs="Times New Roman"/>
          <w:sz w:val="24"/>
          <w:szCs w:val="24"/>
        </w:rPr>
        <w:t>’</w:t>
      </w:r>
      <w:r w:rsidR="004047D3" w:rsidRPr="0073771F">
        <w:rPr>
          <w:rStyle w:val="EndnoteReference"/>
          <w:rFonts w:ascii="Times New Roman" w:eastAsia="Calibri" w:hAnsi="Times New Roman" w:cs="Times New Roman"/>
          <w:sz w:val="24"/>
          <w:szCs w:val="24"/>
        </w:rPr>
        <w:endnoteReference w:id="57"/>
      </w:r>
      <w:r w:rsidR="004047D3">
        <w:rPr>
          <w:rFonts w:ascii="Times New Roman" w:eastAsia="Calibri" w:hAnsi="Times New Roman" w:cs="Times New Roman"/>
          <w:sz w:val="24"/>
          <w:szCs w:val="24"/>
        </w:rPr>
        <w:t xml:space="preserve">  In </w:t>
      </w:r>
      <w:r w:rsidR="004047D3">
        <w:rPr>
          <w:rFonts w:ascii="Times New Roman" w:eastAsia="Calibri" w:hAnsi="Times New Roman" w:cs="Times New Roman"/>
          <w:i/>
          <w:iCs/>
          <w:sz w:val="24"/>
          <w:szCs w:val="24"/>
        </w:rPr>
        <w:t>R v Field</w:t>
      </w:r>
      <w:r w:rsidR="004047D3">
        <w:rPr>
          <w:rFonts w:ascii="Times New Roman" w:eastAsia="Calibri" w:hAnsi="Times New Roman" w:cs="Times New Roman"/>
          <w:sz w:val="24"/>
          <w:szCs w:val="24"/>
        </w:rPr>
        <w:t xml:space="preserve"> the defendant was pinpointed as the wrongdoer of murder, but the issue is what was his ‘doing’ for which he has been held </w:t>
      </w:r>
      <w:r w:rsidR="004047D3">
        <w:rPr>
          <w:rFonts w:ascii="Times New Roman" w:eastAsia="Calibri" w:hAnsi="Times New Roman" w:cs="Times New Roman"/>
          <w:sz w:val="24"/>
          <w:szCs w:val="24"/>
        </w:rPr>
        <w:lastRenderedPageBreak/>
        <w:t>accountable</w:t>
      </w:r>
      <w:r w:rsidR="00D60A7C">
        <w:rPr>
          <w:rFonts w:ascii="Times New Roman" w:eastAsia="Calibri" w:hAnsi="Times New Roman" w:cs="Times New Roman"/>
          <w:sz w:val="24"/>
          <w:szCs w:val="24"/>
        </w:rPr>
        <w:t>?</w:t>
      </w:r>
      <w:r w:rsidR="004047D3">
        <w:rPr>
          <w:rFonts w:ascii="Times New Roman" w:eastAsia="Calibri" w:hAnsi="Times New Roman" w:cs="Times New Roman"/>
          <w:sz w:val="24"/>
          <w:szCs w:val="24"/>
        </w:rPr>
        <w:t xml:space="preserve">  </w:t>
      </w:r>
      <w:r w:rsidR="00A47E40">
        <w:rPr>
          <w:rFonts w:ascii="Times New Roman" w:eastAsia="Calibri" w:hAnsi="Times New Roman" w:cs="Times New Roman"/>
          <w:sz w:val="24"/>
          <w:szCs w:val="24"/>
        </w:rPr>
        <w:t xml:space="preserve">This seems to suggest that </w:t>
      </w:r>
      <w:r w:rsidR="00A47E40">
        <w:rPr>
          <w:rFonts w:ascii="Times New Roman" w:eastAsia="Calibri" w:hAnsi="Times New Roman" w:cs="Times New Roman"/>
          <w:i/>
          <w:iCs/>
          <w:sz w:val="24"/>
          <w:szCs w:val="24"/>
        </w:rPr>
        <w:t>R v Field</w:t>
      </w:r>
      <w:r w:rsidR="00A47E40">
        <w:rPr>
          <w:rFonts w:ascii="Times New Roman" w:eastAsia="Calibri" w:hAnsi="Times New Roman" w:cs="Times New Roman"/>
          <w:sz w:val="24"/>
          <w:szCs w:val="24"/>
        </w:rPr>
        <w:t xml:space="preserve"> should not have been </w:t>
      </w:r>
      <w:r w:rsidR="00D60A7C">
        <w:rPr>
          <w:rFonts w:ascii="Times New Roman" w:eastAsia="Calibri" w:hAnsi="Times New Roman" w:cs="Times New Roman"/>
          <w:sz w:val="24"/>
          <w:szCs w:val="24"/>
        </w:rPr>
        <w:t xml:space="preserve">criminally </w:t>
      </w:r>
      <w:r w:rsidR="00A47E40">
        <w:rPr>
          <w:rFonts w:ascii="Times New Roman" w:eastAsia="Calibri" w:hAnsi="Times New Roman" w:cs="Times New Roman"/>
          <w:sz w:val="24"/>
          <w:szCs w:val="24"/>
        </w:rPr>
        <w:t>responsible, as he only supplied the whisky, but, as stated above, the appeal was focused on the voluntariness of the victim’s actions in drinking the whisky.  This was even though there was no suggestion that the victim had been forced to drink the whisky and it was accepted at trial that it was his choice.</w:t>
      </w:r>
      <w:r w:rsidR="00A47E40">
        <w:rPr>
          <w:rStyle w:val="EndnoteReference"/>
          <w:rFonts w:ascii="Times New Roman" w:eastAsia="Calibri" w:hAnsi="Times New Roman" w:cs="Times New Roman"/>
          <w:sz w:val="24"/>
          <w:szCs w:val="24"/>
        </w:rPr>
        <w:endnoteReference w:id="58"/>
      </w:r>
      <w:r w:rsidR="00A47E40">
        <w:rPr>
          <w:rFonts w:ascii="Times New Roman" w:eastAsia="Calibri" w:hAnsi="Times New Roman" w:cs="Times New Roman"/>
          <w:sz w:val="24"/>
          <w:szCs w:val="24"/>
        </w:rPr>
        <w:t xml:space="preserve">  Furthermore, i</w:t>
      </w:r>
      <w:r w:rsidR="004047D3">
        <w:rPr>
          <w:rFonts w:ascii="Times New Roman" w:eastAsia="Calibri" w:hAnsi="Times New Roman" w:cs="Times New Roman"/>
          <w:sz w:val="24"/>
          <w:szCs w:val="24"/>
        </w:rPr>
        <w:t xml:space="preserve">n </w:t>
      </w:r>
      <w:r w:rsidR="004047D3">
        <w:rPr>
          <w:rFonts w:ascii="Times New Roman" w:eastAsia="Calibri" w:hAnsi="Times New Roman" w:cs="Times New Roman"/>
          <w:i/>
          <w:iCs/>
          <w:sz w:val="24"/>
          <w:szCs w:val="24"/>
        </w:rPr>
        <w:t>R v Field</w:t>
      </w:r>
      <w:r w:rsidR="004047D3">
        <w:rPr>
          <w:rFonts w:ascii="Times New Roman" w:eastAsia="Calibri" w:hAnsi="Times New Roman" w:cs="Times New Roman"/>
          <w:sz w:val="24"/>
          <w:szCs w:val="24"/>
        </w:rPr>
        <w:t xml:space="preserve"> it cannot be claimed, as in </w:t>
      </w:r>
      <w:r w:rsidR="004047D3">
        <w:rPr>
          <w:rFonts w:ascii="Times New Roman" w:eastAsia="Calibri" w:hAnsi="Times New Roman" w:cs="Times New Roman"/>
          <w:i/>
          <w:iCs/>
          <w:sz w:val="24"/>
          <w:szCs w:val="24"/>
        </w:rPr>
        <w:t xml:space="preserve">R v Wallace, </w:t>
      </w:r>
      <w:r w:rsidR="004047D3">
        <w:rPr>
          <w:rFonts w:ascii="Times New Roman" w:eastAsia="Calibri" w:hAnsi="Times New Roman" w:cs="Times New Roman"/>
          <w:sz w:val="24"/>
          <w:szCs w:val="24"/>
        </w:rPr>
        <w:t>that the original injury was still operating</w:t>
      </w:r>
      <w:r w:rsidR="004B5174">
        <w:rPr>
          <w:rFonts w:ascii="Times New Roman" w:eastAsia="Calibri" w:hAnsi="Times New Roman" w:cs="Times New Roman"/>
          <w:sz w:val="24"/>
          <w:szCs w:val="24"/>
        </w:rPr>
        <w:t xml:space="preserve"> and significant</w:t>
      </w:r>
      <w:r w:rsidR="004047D3">
        <w:rPr>
          <w:rFonts w:ascii="Times New Roman" w:eastAsia="Calibri" w:hAnsi="Times New Roman" w:cs="Times New Roman"/>
          <w:sz w:val="24"/>
          <w:szCs w:val="24"/>
        </w:rPr>
        <w:t xml:space="preserve"> as the defendant had caused no injury to the victim.</w:t>
      </w:r>
      <w:r w:rsidR="003F5635">
        <w:rPr>
          <w:rFonts w:ascii="Times New Roman" w:eastAsia="Calibri" w:hAnsi="Times New Roman" w:cs="Times New Roman"/>
          <w:sz w:val="24"/>
          <w:szCs w:val="24"/>
        </w:rPr>
        <w:t xml:space="preserve">  </w:t>
      </w:r>
    </w:p>
    <w:p w14:paraId="7D0E81E7" w14:textId="2E795C7E" w:rsidR="004047D3" w:rsidRDefault="004047D3" w:rsidP="005A62CC">
      <w:pPr>
        <w:spacing w:line="360" w:lineRule="auto"/>
        <w:contextualSpacing/>
        <w:jc w:val="both"/>
        <w:rPr>
          <w:rFonts w:ascii="Times New Roman" w:eastAsia="Calibri" w:hAnsi="Times New Roman" w:cs="Times New Roman"/>
          <w:sz w:val="24"/>
          <w:szCs w:val="24"/>
        </w:rPr>
      </w:pPr>
    </w:p>
    <w:p w14:paraId="0A42649F" w14:textId="11724F9C"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One line of reasoning adopted by the Court of Appeal to reach their conclusion</w:t>
      </w:r>
      <w:r w:rsidR="004B5174">
        <w:rPr>
          <w:rFonts w:ascii="Times New Roman" w:eastAsia="Calibri" w:hAnsi="Times New Roman" w:cs="Times New Roman"/>
          <w:sz w:val="24"/>
          <w:szCs w:val="24"/>
        </w:rPr>
        <w:t xml:space="preserve"> that the victim’s actions in drinking the whisky were not voluntary</w:t>
      </w:r>
      <w:r>
        <w:rPr>
          <w:rFonts w:ascii="Times New Roman" w:eastAsia="Calibri" w:hAnsi="Times New Roman" w:cs="Times New Roman"/>
          <w:sz w:val="24"/>
          <w:szCs w:val="24"/>
        </w:rPr>
        <w:t xml:space="preserve"> was to draw an analogy to a weak swimmer, who enters the water under the false assurances from the accused that he would </w:t>
      </w:r>
      <w:r w:rsidR="005555C2">
        <w:rPr>
          <w:rFonts w:ascii="Times New Roman" w:eastAsia="Calibri" w:hAnsi="Times New Roman" w:cs="Times New Roman"/>
          <w:sz w:val="24"/>
          <w:szCs w:val="24"/>
        </w:rPr>
        <w:t>help</w:t>
      </w:r>
      <w:r>
        <w:rPr>
          <w:rFonts w:ascii="Times New Roman" w:eastAsia="Calibri" w:hAnsi="Times New Roman" w:cs="Times New Roman"/>
          <w:sz w:val="24"/>
          <w:szCs w:val="24"/>
        </w:rPr>
        <w:t xml:space="preserve"> if the swimmer encountered difficulties.  In this situation the court accepted that the accused would be criminally liable if the victim drowned.</w:t>
      </w:r>
      <w:r>
        <w:rPr>
          <w:rStyle w:val="EndnoteReference"/>
          <w:rFonts w:ascii="Times New Roman" w:eastAsia="Calibri" w:hAnsi="Times New Roman" w:cs="Times New Roman"/>
          <w:sz w:val="24"/>
          <w:szCs w:val="24"/>
        </w:rPr>
        <w:endnoteReference w:id="59"/>
      </w:r>
      <w:r>
        <w:rPr>
          <w:rFonts w:ascii="Times New Roman" w:eastAsia="Calibri" w:hAnsi="Times New Roman" w:cs="Times New Roman"/>
          <w:sz w:val="24"/>
          <w:szCs w:val="24"/>
        </w:rPr>
        <w:t xml:space="preserve">  Fulford LJ deemed the defence’s concession to this point to be both correct and important</w:t>
      </w:r>
      <w:r w:rsidR="003A37BB">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60"/>
      </w:r>
      <w:r w:rsidR="003A37BB">
        <w:rPr>
          <w:rFonts w:ascii="Times New Roman" w:eastAsia="Calibri" w:hAnsi="Times New Roman" w:cs="Times New Roman"/>
          <w:sz w:val="24"/>
          <w:szCs w:val="24"/>
        </w:rPr>
        <w:t xml:space="preserve">  This acceptance by the defence is perhaps somewhat surprising as it appears to ignore one fundamental difference.  Unlike in the example of the swimmer, there was no evidence in </w:t>
      </w:r>
      <w:r w:rsidR="00A47E40">
        <w:rPr>
          <w:rFonts w:ascii="Times New Roman" w:eastAsia="Calibri" w:hAnsi="Times New Roman" w:cs="Times New Roman"/>
          <w:i/>
          <w:iCs/>
          <w:sz w:val="24"/>
          <w:szCs w:val="24"/>
        </w:rPr>
        <w:t xml:space="preserve">R v </w:t>
      </w:r>
      <w:r w:rsidR="003A37BB">
        <w:rPr>
          <w:rFonts w:ascii="Times New Roman" w:eastAsia="Calibri" w:hAnsi="Times New Roman" w:cs="Times New Roman"/>
          <w:i/>
          <w:iCs/>
          <w:sz w:val="24"/>
          <w:szCs w:val="24"/>
        </w:rPr>
        <w:t xml:space="preserve">Field </w:t>
      </w:r>
      <w:r w:rsidR="003A37BB">
        <w:rPr>
          <w:rFonts w:ascii="Times New Roman" w:eastAsia="Calibri" w:hAnsi="Times New Roman" w:cs="Times New Roman"/>
          <w:sz w:val="24"/>
          <w:szCs w:val="24"/>
        </w:rPr>
        <w:t xml:space="preserve">to support that positive assurances to </w:t>
      </w:r>
      <w:r w:rsidR="005555C2">
        <w:rPr>
          <w:rFonts w:ascii="Times New Roman" w:eastAsia="Calibri" w:hAnsi="Times New Roman" w:cs="Times New Roman"/>
          <w:sz w:val="24"/>
          <w:szCs w:val="24"/>
        </w:rPr>
        <w:t>help</w:t>
      </w:r>
      <w:r w:rsidR="003A37BB">
        <w:rPr>
          <w:rFonts w:ascii="Times New Roman" w:eastAsia="Calibri" w:hAnsi="Times New Roman" w:cs="Times New Roman"/>
          <w:sz w:val="24"/>
          <w:szCs w:val="24"/>
        </w:rPr>
        <w:t xml:space="preserve"> were made</w:t>
      </w:r>
      <w:r w:rsidR="00161DE8">
        <w:rPr>
          <w:rFonts w:ascii="Times New Roman" w:eastAsia="Calibri" w:hAnsi="Times New Roman" w:cs="Times New Roman"/>
          <w:sz w:val="24"/>
          <w:szCs w:val="24"/>
        </w:rPr>
        <w:t>, although perhaps this could be implied from the relationship between the defendant and the victim.</w:t>
      </w:r>
      <w:r w:rsidR="003A37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The </w:t>
      </w:r>
      <w:r w:rsidR="00CD0D0E">
        <w:rPr>
          <w:rFonts w:ascii="Times New Roman" w:eastAsia="Calibri" w:hAnsi="Times New Roman" w:cs="Times New Roman"/>
          <w:sz w:val="24"/>
          <w:szCs w:val="24"/>
        </w:rPr>
        <w:t>court</w:t>
      </w:r>
      <w:r>
        <w:rPr>
          <w:rFonts w:ascii="Times New Roman" w:eastAsia="Calibri" w:hAnsi="Times New Roman" w:cs="Times New Roman"/>
          <w:sz w:val="24"/>
          <w:szCs w:val="24"/>
        </w:rPr>
        <w:t xml:space="preserve"> stated</w:t>
      </w:r>
      <w:r w:rsidR="00CD0D0E">
        <w:rPr>
          <w:rFonts w:ascii="Times New Roman" w:eastAsia="Calibri" w:hAnsi="Times New Roman" w:cs="Times New Roman"/>
          <w:sz w:val="24"/>
          <w:szCs w:val="24"/>
        </w:rPr>
        <w:t xml:space="preserve"> it</w:t>
      </w:r>
      <w:r>
        <w:rPr>
          <w:rFonts w:ascii="Times New Roman" w:eastAsia="Calibri" w:hAnsi="Times New Roman" w:cs="Times New Roman"/>
          <w:sz w:val="24"/>
          <w:szCs w:val="24"/>
        </w:rPr>
        <w:t xml:space="preserve"> was the defendant’s deceitful intent in wishing the victim to die </w:t>
      </w:r>
      <w:r w:rsidR="00E277CF">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changed the nature of the act of supplying the whisky to one of something more dangerous.  This was because the victim had drunk the highly alcoholic whisky </w:t>
      </w:r>
      <w:r w:rsidR="00B13DE8">
        <w:rPr>
          <w:rFonts w:ascii="Times New Roman" w:eastAsia="Calibri" w:hAnsi="Times New Roman" w:cs="Times New Roman"/>
          <w:sz w:val="24"/>
          <w:szCs w:val="24"/>
        </w:rPr>
        <w:t xml:space="preserve">relying on the presumption </w:t>
      </w:r>
      <w:r>
        <w:rPr>
          <w:rFonts w:ascii="Times New Roman" w:eastAsia="Calibri" w:hAnsi="Times New Roman" w:cs="Times New Roman"/>
          <w:sz w:val="24"/>
          <w:szCs w:val="24"/>
        </w:rPr>
        <w:t>that his caring partner would assist him if he encountered difficulties.</w:t>
      </w:r>
      <w:r>
        <w:rPr>
          <w:rStyle w:val="EndnoteReference"/>
          <w:rFonts w:ascii="Times New Roman" w:eastAsia="Calibri" w:hAnsi="Times New Roman" w:cs="Times New Roman"/>
          <w:sz w:val="24"/>
          <w:szCs w:val="24"/>
        </w:rPr>
        <w:endnoteReference w:id="61"/>
      </w:r>
      <w:r>
        <w:rPr>
          <w:rFonts w:ascii="Times New Roman" w:eastAsia="Calibri" w:hAnsi="Times New Roman" w:cs="Times New Roman"/>
          <w:sz w:val="24"/>
          <w:szCs w:val="24"/>
        </w:rPr>
        <w:t xml:space="preserve">  The court concluded that this in turn meant that the victim’s act in drinking the whisky was no longer voluntary under the criteria set out in </w:t>
      </w:r>
      <w:r w:rsidR="003555A6">
        <w:rPr>
          <w:rFonts w:ascii="Times New Roman" w:eastAsia="Calibri" w:hAnsi="Times New Roman" w:cs="Times New Roman"/>
          <w:i/>
          <w:iCs/>
          <w:sz w:val="24"/>
          <w:szCs w:val="24"/>
        </w:rPr>
        <w:t xml:space="preserve">R v </w:t>
      </w:r>
      <w:r>
        <w:rPr>
          <w:rFonts w:ascii="Times New Roman" w:eastAsia="Calibri" w:hAnsi="Times New Roman" w:cs="Times New Roman"/>
          <w:i/>
          <w:iCs/>
          <w:sz w:val="24"/>
          <w:szCs w:val="24"/>
        </w:rPr>
        <w:t>Kennedy</w:t>
      </w:r>
      <w:r>
        <w:rPr>
          <w:rFonts w:ascii="Times New Roman" w:eastAsia="Calibri" w:hAnsi="Times New Roman" w:cs="Times New Roman"/>
          <w:sz w:val="24"/>
          <w:szCs w:val="24"/>
        </w:rPr>
        <w:t xml:space="preserve"> as his actions were not informed.</w:t>
      </w:r>
      <w:r>
        <w:rPr>
          <w:rStyle w:val="EndnoteReference"/>
          <w:rFonts w:ascii="Times New Roman" w:eastAsia="Calibri" w:hAnsi="Times New Roman" w:cs="Times New Roman"/>
          <w:sz w:val="24"/>
          <w:szCs w:val="24"/>
        </w:rPr>
        <w:endnoteReference w:id="62"/>
      </w:r>
    </w:p>
    <w:p w14:paraId="7492831E" w14:textId="77777777" w:rsidR="00353680" w:rsidRDefault="00353680" w:rsidP="005A62CC">
      <w:pPr>
        <w:spacing w:line="360" w:lineRule="auto"/>
        <w:contextualSpacing/>
        <w:jc w:val="both"/>
        <w:rPr>
          <w:rFonts w:ascii="Times New Roman" w:eastAsia="Calibri" w:hAnsi="Times New Roman" w:cs="Times New Roman"/>
          <w:sz w:val="24"/>
          <w:szCs w:val="24"/>
        </w:rPr>
      </w:pPr>
    </w:p>
    <w:p w14:paraId="6BF25E35" w14:textId="18174349"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outcome is, however, that the actions of choosing to drink whisky that appear to be voluntary, are regarded as involuntary.  Thus, </w:t>
      </w:r>
      <w:r w:rsidR="00FC3797">
        <w:rPr>
          <w:rFonts w:ascii="Times New Roman" w:eastAsia="Calibri" w:hAnsi="Times New Roman" w:cs="Times New Roman"/>
          <w:sz w:val="24"/>
          <w:szCs w:val="24"/>
        </w:rPr>
        <w:t>to achieve a morally satisfactory outcome</w:t>
      </w:r>
      <w:r w:rsidR="00E3647D">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clear and established legal principle of causation, that voluntary actions from the victim will break the chain of causation,</w:t>
      </w:r>
      <w:r w:rsidR="00E3647D">
        <w:rPr>
          <w:rFonts w:ascii="Times New Roman" w:eastAsia="Calibri" w:hAnsi="Times New Roman" w:cs="Times New Roman"/>
          <w:sz w:val="24"/>
          <w:szCs w:val="24"/>
        </w:rPr>
        <w:t xml:space="preserve"> was avoided.</w:t>
      </w:r>
      <w:r>
        <w:rPr>
          <w:rFonts w:ascii="Times New Roman" w:eastAsia="Calibri" w:hAnsi="Times New Roman" w:cs="Times New Roman"/>
          <w:sz w:val="24"/>
          <w:szCs w:val="24"/>
        </w:rPr>
        <w:t xml:space="preserve">  Whilst this approach may be regarded as commendable, if it is accepted that the ends justify the means, it does not consider that an alternative, more principled approach could have been taken, by considering the legal </w:t>
      </w:r>
      <w:r w:rsidR="00B13DE8">
        <w:rPr>
          <w:rFonts w:ascii="Times New Roman" w:eastAsia="Calibri" w:hAnsi="Times New Roman" w:cs="Times New Roman"/>
          <w:sz w:val="24"/>
          <w:szCs w:val="24"/>
        </w:rPr>
        <w:t>doctrine</w:t>
      </w:r>
      <w:r>
        <w:rPr>
          <w:rFonts w:ascii="Times New Roman" w:eastAsia="Calibri" w:hAnsi="Times New Roman" w:cs="Times New Roman"/>
          <w:sz w:val="24"/>
          <w:szCs w:val="24"/>
        </w:rPr>
        <w:t xml:space="preserve"> of omissions.</w:t>
      </w:r>
      <w:r>
        <w:rPr>
          <w:rStyle w:val="EndnoteReference"/>
          <w:rFonts w:ascii="Times New Roman" w:eastAsia="Calibri" w:hAnsi="Times New Roman" w:cs="Times New Roman"/>
          <w:sz w:val="24"/>
          <w:szCs w:val="24"/>
        </w:rPr>
        <w:endnoteReference w:id="63"/>
      </w:r>
    </w:p>
    <w:p w14:paraId="47949298" w14:textId="29C8AEA8" w:rsidR="004047D3" w:rsidRDefault="004047D3" w:rsidP="005A62CC">
      <w:pPr>
        <w:spacing w:line="360" w:lineRule="auto"/>
        <w:contextualSpacing/>
        <w:jc w:val="both"/>
        <w:rPr>
          <w:rFonts w:ascii="Times New Roman" w:eastAsia="Calibri" w:hAnsi="Times New Roman" w:cs="Times New Roman"/>
          <w:sz w:val="24"/>
          <w:szCs w:val="24"/>
        </w:rPr>
      </w:pPr>
    </w:p>
    <w:p w14:paraId="7B8F3C2C" w14:textId="2DA8DEC3" w:rsidR="004047D3" w:rsidRDefault="004047D3" w:rsidP="009171E0">
      <w:pPr>
        <w:pStyle w:val="ListParagraph"/>
        <w:numPr>
          <w:ilvl w:val="0"/>
          <w:numId w:val="3"/>
        </w:numPr>
        <w:spacing w:line="360" w:lineRule="auto"/>
        <w:jc w:val="both"/>
        <w:rPr>
          <w:rFonts w:ascii="Times New Roman" w:eastAsia="Calibri" w:hAnsi="Times New Roman" w:cs="Times New Roman"/>
          <w:b/>
          <w:bCs/>
          <w:sz w:val="24"/>
          <w:szCs w:val="24"/>
        </w:rPr>
      </w:pPr>
      <w:r w:rsidRPr="009171E0">
        <w:rPr>
          <w:rFonts w:ascii="Times New Roman" w:eastAsia="Calibri" w:hAnsi="Times New Roman" w:cs="Times New Roman"/>
          <w:b/>
          <w:bCs/>
          <w:sz w:val="24"/>
          <w:szCs w:val="24"/>
        </w:rPr>
        <w:t xml:space="preserve">An alternative analysis of </w:t>
      </w:r>
      <w:r w:rsidRPr="009171E0">
        <w:rPr>
          <w:rFonts w:ascii="Times New Roman" w:eastAsia="Calibri" w:hAnsi="Times New Roman" w:cs="Times New Roman"/>
          <w:b/>
          <w:bCs/>
          <w:i/>
          <w:iCs/>
          <w:sz w:val="24"/>
          <w:szCs w:val="24"/>
        </w:rPr>
        <w:t xml:space="preserve">R v Field </w:t>
      </w:r>
      <w:r w:rsidRPr="009171E0">
        <w:rPr>
          <w:rFonts w:ascii="Times New Roman" w:eastAsia="Calibri" w:hAnsi="Times New Roman" w:cs="Times New Roman"/>
          <w:b/>
          <w:bCs/>
          <w:sz w:val="24"/>
          <w:szCs w:val="24"/>
        </w:rPr>
        <w:t xml:space="preserve"> </w:t>
      </w:r>
    </w:p>
    <w:p w14:paraId="0F038A0B" w14:textId="77777777" w:rsidR="00586CFB" w:rsidRPr="009171E0" w:rsidRDefault="00586CFB" w:rsidP="00586CFB">
      <w:pPr>
        <w:pStyle w:val="ListParagraph"/>
        <w:spacing w:line="360" w:lineRule="auto"/>
        <w:jc w:val="both"/>
        <w:rPr>
          <w:rFonts w:ascii="Times New Roman" w:eastAsia="Calibri" w:hAnsi="Times New Roman" w:cs="Times New Roman"/>
          <w:b/>
          <w:bCs/>
          <w:sz w:val="24"/>
          <w:szCs w:val="24"/>
        </w:rPr>
      </w:pPr>
    </w:p>
    <w:p w14:paraId="3A202779" w14:textId="3997FFC1"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 alternative way of looking at the case of </w:t>
      </w:r>
      <w:r>
        <w:rPr>
          <w:rFonts w:ascii="Times New Roman" w:eastAsia="Calibri" w:hAnsi="Times New Roman" w:cs="Times New Roman"/>
          <w:i/>
          <w:iCs/>
          <w:sz w:val="24"/>
          <w:szCs w:val="24"/>
        </w:rPr>
        <w:t xml:space="preserve">R v Field </w:t>
      </w:r>
      <w:r>
        <w:rPr>
          <w:rFonts w:ascii="Times New Roman" w:eastAsia="Calibri" w:hAnsi="Times New Roman" w:cs="Times New Roman"/>
          <w:sz w:val="24"/>
          <w:szCs w:val="24"/>
        </w:rPr>
        <w:t>is through the lens of omissions.</w:t>
      </w:r>
      <w:r w:rsidR="0066209D">
        <w:rPr>
          <w:rStyle w:val="EndnoteReference"/>
          <w:rFonts w:ascii="Times New Roman" w:eastAsia="Calibri" w:hAnsi="Times New Roman" w:cs="Times New Roman"/>
          <w:sz w:val="24"/>
          <w:szCs w:val="24"/>
        </w:rPr>
        <w:endnoteReference w:id="64"/>
      </w:r>
      <w:r>
        <w:rPr>
          <w:rFonts w:ascii="Times New Roman" w:eastAsia="Calibri" w:hAnsi="Times New Roman" w:cs="Times New Roman"/>
          <w:sz w:val="24"/>
          <w:szCs w:val="24"/>
        </w:rPr>
        <w:t xml:space="preserve">  In the English legal system, there is no general liability for failure to act, but the existence of a voluntarily undertaken duty of care, which is breached by the defendant’s failure to act, can lead to liability.</w:t>
      </w:r>
      <w:r>
        <w:rPr>
          <w:rStyle w:val="EndnoteReference"/>
          <w:rFonts w:ascii="Times New Roman" w:eastAsia="Calibri" w:hAnsi="Times New Roman" w:cs="Times New Roman"/>
          <w:sz w:val="24"/>
          <w:szCs w:val="24"/>
        </w:rPr>
        <w:endnoteReference w:id="65"/>
      </w:r>
      <w:r>
        <w:rPr>
          <w:rFonts w:ascii="Times New Roman" w:eastAsia="Calibri" w:hAnsi="Times New Roman" w:cs="Times New Roman"/>
          <w:sz w:val="24"/>
          <w:szCs w:val="24"/>
        </w:rPr>
        <w:t xml:space="preserve">  As has been previously established in case law, a failure to act in a duty situation married with an intention to kill or cause serious bodily harm, can lead to a conviction for murder.</w:t>
      </w:r>
      <w:r>
        <w:rPr>
          <w:rStyle w:val="EndnoteReference"/>
          <w:rFonts w:ascii="Times New Roman" w:eastAsia="Calibri" w:hAnsi="Times New Roman" w:cs="Times New Roman"/>
          <w:sz w:val="24"/>
          <w:szCs w:val="24"/>
        </w:rPr>
        <w:endnoteReference w:id="66"/>
      </w:r>
      <w:r>
        <w:rPr>
          <w:rFonts w:ascii="Times New Roman" w:eastAsia="Calibri" w:hAnsi="Times New Roman" w:cs="Times New Roman"/>
          <w:sz w:val="24"/>
          <w:szCs w:val="24"/>
        </w:rPr>
        <w:t xml:space="preserve">  The question in the case of </w:t>
      </w:r>
      <w:r>
        <w:rPr>
          <w:rFonts w:ascii="Times New Roman" w:eastAsia="Calibri" w:hAnsi="Times New Roman" w:cs="Times New Roman"/>
          <w:i/>
          <w:iCs/>
          <w:sz w:val="24"/>
          <w:szCs w:val="24"/>
        </w:rPr>
        <w:t xml:space="preserve">R v Field, </w:t>
      </w:r>
      <w:r>
        <w:rPr>
          <w:rFonts w:ascii="Times New Roman" w:eastAsia="Calibri" w:hAnsi="Times New Roman" w:cs="Times New Roman"/>
          <w:sz w:val="24"/>
          <w:szCs w:val="24"/>
        </w:rPr>
        <w:t>then becomes not whether the defendant’s actions in supplying the whisky caused the victim’s death or whether the victim’s actions are a voluntary break in the chain of causation, but instead whether the defendant had voluntarily undertaken a duty of care towards the victim, which he then breached</w:t>
      </w:r>
      <w:r w:rsidR="004C704C">
        <w:rPr>
          <w:rFonts w:ascii="Times New Roman" w:eastAsia="Calibri" w:hAnsi="Times New Roman" w:cs="Times New Roman"/>
          <w:sz w:val="24"/>
          <w:szCs w:val="24"/>
        </w:rPr>
        <w:t xml:space="preserve"> by failing to provide assistance</w:t>
      </w:r>
      <w:r>
        <w:rPr>
          <w:rFonts w:ascii="Times New Roman" w:eastAsia="Calibri" w:hAnsi="Times New Roman" w:cs="Times New Roman"/>
          <w:sz w:val="24"/>
          <w:szCs w:val="24"/>
        </w:rPr>
        <w:t xml:space="preserve"> resulting in the victim’s death.</w:t>
      </w:r>
      <w:r>
        <w:rPr>
          <w:rStyle w:val="EndnoteReference"/>
          <w:rFonts w:ascii="Times New Roman" w:eastAsia="Calibri" w:hAnsi="Times New Roman" w:cs="Times New Roman"/>
          <w:sz w:val="24"/>
          <w:szCs w:val="24"/>
        </w:rPr>
        <w:endnoteReference w:id="67"/>
      </w:r>
    </w:p>
    <w:p w14:paraId="56B03E80" w14:textId="77777777" w:rsidR="003555A6" w:rsidRDefault="003555A6" w:rsidP="005A62CC">
      <w:pPr>
        <w:spacing w:line="360" w:lineRule="auto"/>
        <w:contextualSpacing/>
        <w:jc w:val="both"/>
        <w:rPr>
          <w:rFonts w:ascii="Times New Roman" w:eastAsia="Calibri" w:hAnsi="Times New Roman" w:cs="Times New Roman"/>
          <w:sz w:val="24"/>
          <w:szCs w:val="24"/>
        </w:rPr>
      </w:pPr>
    </w:p>
    <w:p w14:paraId="36A81ECD" w14:textId="56218D24"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There is much debate about whether an omission can fulfil the voluntary action requirements of a crime,</w:t>
      </w:r>
      <w:r>
        <w:rPr>
          <w:rStyle w:val="EndnoteReference"/>
          <w:rFonts w:ascii="Times New Roman" w:eastAsia="Calibri" w:hAnsi="Times New Roman" w:cs="Times New Roman"/>
          <w:sz w:val="24"/>
          <w:szCs w:val="24"/>
        </w:rPr>
        <w:endnoteReference w:id="68"/>
      </w:r>
      <w:r>
        <w:rPr>
          <w:rFonts w:ascii="Times New Roman" w:eastAsia="Calibri" w:hAnsi="Times New Roman" w:cs="Times New Roman"/>
          <w:sz w:val="24"/>
          <w:szCs w:val="24"/>
        </w:rPr>
        <w:t xml:space="preserve"> when a duty should be imposed as a vehicle for determining liability for an omission,</w:t>
      </w:r>
      <w:r>
        <w:rPr>
          <w:rStyle w:val="EndnoteReference"/>
          <w:rFonts w:ascii="Times New Roman" w:eastAsia="Calibri" w:hAnsi="Times New Roman" w:cs="Times New Roman"/>
          <w:sz w:val="24"/>
          <w:szCs w:val="24"/>
        </w:rPr>
        <w:endnoteReference w:id="69"/>
      </w:r>
      <w:r>
        <w:rPr>
          <w:rFonts w:ascii="Times New Roman" w:eastAsia="Calibri" w:hAnsi="Times New Roman" w:cs="Times New Roman"/>
          <w:sz w:val="24"/>
          <w:szCs w:val="24"/>
        </w:rPr>
        <w:t xml:space="preserve"> and what the proper role of judges is in retrospectively determining that a duty situation exists.</w:t>
      </w:r>
      <w:r>
        <w:rPr>
          <w:rStyle w:val="EndnoteReference"/>
          <w:rFonts w:ascii="Times New Roman" w:eastAsia="Calibri" w:hAnsi="Times New Roman" w:cs="Times New Roman"/>
          <w:sz w:val="24"/>
          <w:szCs w:val="24"/>
        </w:rPr>
        <w:endnoteReference w:id="70"/>
      </w:r>
      <w:r>
        <w:rPr>
          <w:rFonts w:ascii="Times New Roman" w:eastAsia="Calibri" w:hAnsi="Times New Roman" w:cs="Times New Roman"/>
          <w:sz w:val="24"/>
          <w:szCs w:val="24"/>
        </w:rPr>
        <w:t xml:space="preserve">  Nonetheless, the courts have established that a duty </w:t>
      </w:r>
      <w:r w:rsidR="004C704C">
        <w:rPr>
          <w:rFonts w:ascii="Times New Roman" w:eastAsia="Calibri" w:hAnsi="Times New Roman" w:cs="Times New Roman"/>
          <w:sz w:val="24"/>
          <w:szCs w:val="24"/>
        </w:rPr>
        <w:t>to</w:t>
      </w:r>
      <w:r>
        <w:rPr>
          <w:rFonts w:ascii="Times New Roman" w:eastAsia="Calibri" w:hAnsi="Times New Roman" w:cs="Times New Roman"/>
          <w:sz w:val="24"/>
          <w:szCs w:val="24"/>
        </w:rPr>
        <w:t xml:space="preserve"> </w:t>
      </w:r>
      <w:r w:rsidR="008100EA">
        <w:rPr>
          <w:rFonts w:ascii="Times New Roman" w:eastAsia="Calibri" w:hAnsi="Times New Roman" w:cs="Times New Roman"/>
          <w:sz w:val="24"/>
          <w:szCs w:val="24"/>
        </w:rPr>
        <w:t>act</w:t>
      </w:r>
      <w:r>
        <w:rPr>
          <w:rFonts w:ascii="Times New Roman" w:eastAsia="Calibri" w:hAnsi="Times New Roman" w:cs="Times New Roman"/>
          <w:sz w:val="24"/>
          <w:szCs w:val="24"/>
        </w:rPr>
        <w:t xml:space="preserve"> can be established in several ways, these include: voluntarily assuming a responsibility for another,</w:t>
      </w:r>
      <w:r>
        <w:rPr>
          <w:rStyle w:val="EndnoteReference"/>
          <w:rFonts w:ascii="Times New Roman" w:eastAsia="Calibri" w:hAnsi="Times New Roman" w:cs="Times New Roman"/>
          <w:sz w:val="24"/>
          <w:szCs w:val="24"/>
        </w:rPr>
        <w:endnoteReference w:id="71"/>
      </w:r>
      <w:r>
        <w:rPr>
          <w:rFonts w:ascii="Times New Roman" w:eastAsia="Calibri" w:hAnsi="Times New Roman" w:cs="Times New Roman"/>
          <w:sz w:val="24"/>
          <w:szCs w:val="24"/>
        </w:rPr>
        <w:t xml:space="preserve"> through certain kinds of relationship,</w:t>
      </w:r>
      <w:r>
        <w:rPr>
          <w:rStyle w:val="EndnoteReference"/>
          <w:rFonts w:ascii="Times New Roman" w:eastAsia="Calibri" w:hAnsi="Times New Roman" w:cs="Times New Roman"/>
          <w:sz w:val="24"/>
          <w:szCs w:val="24"/>
        </w:rPr>
        <w:endnoteReference w:id="72"/>
      </w:r>
      <w:r>
        <w:rPr>
          <w:rFonts w:ascii="Times New Roman" w:eastAsia="Calibri" w:hAnsi="Times New Roman" w:cs="Times New Roman"/>
          <w:sz w:val="24"/>
          <w:szCs w:val="24"/>
        </w:rPr>
        <w:t xml:space="preserve"> and by the defendant creating a dangerous situation.</w:t>
      </w:r>
      <w:r>
        <w:rPr>
          <w:rStyle w:val="EndnoteReference"/>
          <w:rFonts w:ascii="Times New Roman" w:eastAsia="Calibri" w:hAnsi="Times New Roman" w:cs="Times New Roman"/>
          <w:sz w:val="24"/>
          <w:szCs w:val="24"/>
        </w:rPr>
        <w:endnoteReference w:id="73"/>
      </w:r>
      <w:r>
        <w:rPr>
          <w:rFonts w:ascii="Times New Roman" w:eastAsia="Calibri" w:hAnsi="Times New Roman" w:cs="Times New Roman"/>
          <w:sz w:val="24"/>
          <w:szCs w:val="24"/>
        </w:rPr>
        <w:t xml:space="preserve"> As will be discussed below, in </w:t>
      </w:r>
      <w:r>
        <w:rPr>
          <w:rFonts w:ascii="Times New Roman" w:eastAsia="Calibri" w:hAnsi="Times New Roman" w:cs="Times New Roman"/>
          <w:i/>
          <w:iCs/>
          <w:sz w:val="24"/>
          <w:szCs w:val="24"/>
        </w:rPr>
        <w:t xml:space="preserve">R v </w:t>
      </w:r>
      <w:r w:rsidRPr="001E53A8">
        <w:rPr>
          <w:rFonts w:ascii="Times New Roman" w:eastAsia="Calibri" w:hAnsi="Times New Roman" w:cs="Times New Roman"/>
          <w:i/>
          <w:iCs/>
          <w:sz w:val="24"/>
          <w:szCs w:val="24"/>
        </w:rPr>
        <w:t>Field</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the defendant could fit any of these already recognised duty situations without stretching the already established principles of omissions.  </w:t>
      </w:r>
    </w:p>
    <w:p w14:paraId="2977B5BC" w14:textId="77777777" w:rsidR="003555A6" w:rsidRDefault="003555A6" w:rsidP="005A62CC">
      <w:pPr>
        <w:spacing w:line="360" w:lineRule="auto"/>
        <w:contextualSpacing/>
        <w:jc w:val="both"/>
        <w:rPr>
          <w:rFonts w:ascii="Times New Roman" w:eastAsia="Calibri" w:hAnsi="Times New Roman" w:cs="Times New Roman"/>
          <w:sz w:val="24"/>
          <w:szCs w:val="24"/>
        </w:rPr>
      </w:pPr>
    </w:p>
    <w:p w14:paraId="3DFA7547" w14:textId="7923716E" w:rsidR="00012B7C" w:rsidRDefault="004047D3" w:rsidP="005A62CC">
      <w:pPr>
        <w:widowControl w:val="0"/>
        <w:autoSpaceDE w:val="0"/>
        <w:autoSpaceDN w:val="0"/>
        <w:adjustRightInd w:val="0"/>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Court of Appeal reasoned that the victim’s belief that the defendant would help if he got into difficulties changed the nature of the act.  </w:t>
      </w:r>
      <w:r w:rsidR="004C704C">
        <w:rPr>
          <w:rFonts w:ascii="Times New Roman" w:eastAsia="Calibri" w:hAnsi="Times New Roman" w:cs="Times New Roman"/>
          <w:sz w:val="24"/>
          <w:szCs w:val="24"/>
        </w:rPr>
        <w:t>On the contrary, it can be argued that</w:t>
      </w:r>
      <w:r>
        <w:rPr>
          <w:rFonts w:ascii="Times New Roman" w:eastAsia="Calibri" w:hAnsi="Times New Roman" w:cs="Times New Roman"/>
          <w:sz w:val="24"/>
          <w:szCs w:val="24"/>
        </w:rPr>
        <w:t xml:space="preserve"> the act of supplying whisky remained the same as there was no deceit about the contents of </w:t>
      </w:r>
      <w:r w:rsidR="004C704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bottle or the effects it would have.  As such, more logically, this article argues that the victim’s belief that the defendant would care for him shows that there had been a voluntary undertaking of a duty towards the victim.  As stated in </w:t>
      </w:r>
      <w:r>
        <w:rPr>
          <w:rFonts w:ascii="Times New Roman" w:eastAsia="Calibri" w:hAnsi="Times New Roman" w:cs="Times New Roman"/>
          <w:i/>
          <w:iCs/>
          <w:sz w:val="24"/>
          <w:szCs w:val="24"/>
        </w:rPr>
        <w:t xml:space="preserve">R v Evans </w:t>
      </w:r>
      <w:r>
        <w:rPr>
          <w:rFonts w:ascii="Times New Roman" w:eastAsia="Calibri" w:hAnsi="Times New Roman" w:cs="Times New Roman"/>
          <w:sz w:val="24"/>
          <w:szCs w:val="24"/>
        </w:rPr>
        <w:t xml:space="preserve">a duty can arise when </w:t>
      </w:r>
      <w:r w:rsidR="000354C6">
        <w:rPr>
          <w:rFonts w:ascii="Times New Roman" w:hAnsi="Times New Roman" w:cs="Times New Roman"/>
          <w:color w:val="000000"/>
          <w:sz w:val="24"/>
          <w:szCs w:val="24"/>
        </w:rPr>
        <w:t>‘</w:t>
      </w:r>
      <w:r w:rsidRPr="00716846">
        <w:rPr>
          <w:rFonts w:ascii="Times New Roman" w:hAnsi="Times New Roman" w:cs="Times New Roman"/>
          <w:color w:val="000000"/>
          <w:sz w:val="24"/>
          <w:szCs w:val="24"/>
        </w:rPr>
        <w:t>a voluntary assumption of risk by the defendant had led the victim, or others, to become dependent on him to act.</w:t>
      </w:r>
      <w:r w:rsidR="000354C6">
        <w:rPr>
          <w:rFonts w:ascii="Times New Roman" w:hAnsi="Times New Roman" w:cs="Times New Roman"/>
          <w:color w:val="000000"/>
          <w:sz w:val="24"/>
          <w:szCs w:val="24"/>
        </w:rPr>
        <w:t>’</w:t>
      </w:r>
      <w:r w:rsidRPr="00716846">
        <w:rPr>
          <w:rStyle w:val="EndnoteReference"/>
          <w:rFonts w:ascii="Times New Roman" w:hAnsi="Times New Roman" w:cs="Times New Roman"/>
          <w:color w:val="000000"/>
          <w:sz w:val="24"/>
          <w:szCs w:val="24"/>
        </w:rPr>
        <w:endnoteReference w:id="74"/>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Failure to assist the victim when he got into difficulties, as it seems accepted by the jury during the trial that the defendant was actually present,</w:t>
      </w:r>
      <w:r>
        <w:rPr>
          <w:rStyle w:val="EndnoteReference"/>
          <w:rFonts w:ascii="Times New Roman" w:eastAsia="Calibri" w:hAnsi="Times New Roman" w:cs="Times New Roman"/>
          <w:sz w:val="24"/>
          <w:szCs w:val="24"/>
        </w:rPr>
        <w:endnoteReference w:id="75"/>
      </w:r>
      <w:r>
        <w:rPr>
          <w:rFonts w:ascii="Times New Roman" w:eastAsia="Calibri" w:hAnsi="Times New Roman" w:cs="Times New Roman"/>
          <w:sz w:val="24"/>
          <w:szCs w:val="24"/>
        </w:rPr>
        <w:t xml:space="preserve"> could amount to a breach of this duty of care.  This, coupled with the defendant’s desire that the victim should die, would be sufficient for a conviction of murder.</w:t>
      </w:r>
      <w:r>
        <w:rPr>
          <w:rStyle w:val="EndnoteReference"/>
          <w:rFonts w:ascii="Times New Roman" w:eastAsia="Calibri" w:hAnsi="Times New Roman" w:cs="Times New Roman"/>
          <w:sz w:val="24"/>
          <w:szCs w:val="24"/>
        </w:rPr>
        <w:endnoteReference w:id="76"/>
      </w:r>
      <w:r>
        <w:rPr>
          <w:rFonts w:ascii="Times New Roman" w:eastAsia="Calibri" w:hAnsi="Times New Roman" w:cs="Times New Roman"/>
          <w:sz w:val="24"/>
          <w:szCs w:val="24"/>
        </w:rPr>
        <w:t xml:space="preserve">  Thus, if the jury considered that the defendant had voluntarily undertaken a </w:t>
      </w:r>
      <w:r w:rsidR="004C704C">
        <w:rPr>
          <w:rFonts w:ascii="Times New Roman" w:eastAsia="Calibri" w:hAnsi="Times New Roman" w:cs="Times New Roman"/>
          <w:sz w:val="24"/>
          <w:szCs w:val="24"/>
        </w:rPr>
        <w:t>duty to act</w:t>
      </w:r>
      <w:r>
        <w:rPr>
          <w:rFonts w:ascii="Times New Roman" w:eastAsia="Calibri" w:hAnsi="Times New Roman" w:cs="Times New Roman"/>
          <w:sz w:val="24"/>
          <w:szCs w:val="24"/>
        </w:rPr>
        <w:t xml:space="preserve"> by supplying the whisky</w:t>
      </w:r>
      <w:r w:rsidR="003A37BB">
        <w:rPr>
          <w:rFonts w:ascii="Times New Roman" w:eastAsia="Calibri" w:hAnsi="Times New Roman" w:cs="Times New Roman"/>
          <w:sz w:val="24"/>
          <w:szCs w:val="24"/>
        </w:rPr>
        <w:t xml:space="preserve"> that</w:t>
      </w:r>
      <w:r>
        <w:rPr>
          <w:rFonts w:ascii="Times New Roman" w:eastAsia="Calibri" w:hAnsi="Times New Roman" w:cs="Times New Roman"/>
          <w:sz w:val="24"/>
          <w:szCs w:val="24"/>
        </w:rPr>
        <w:t xml:space="preserve"> led to the victim to depend on him to </w:t>
      </w:r>
      <w:r w:rsidR="005555C2">
        <w:rPr>
          <w:rFonts w:ascii="Times New Roman" w:eastAsia="Calibri" w:hAnsi="Times New Roman" w:cs="Times New Roman"/>
          <w:sz w:val="24"/>
          <w:szCs w:val="24"/>
        </w:rPr>
        <w:lastRenderedPageBreak/>
        <w:t>help</w:t>
      </w:r>
      <w:r w:rsidR="003A37BB">
        <w:rPr>
          <w:rFonts w:ascii="Times New Roman" w:eastAsia="Calibri" w:hAnsi="Times New Roman" w:cs="Times New Roman"/>
          <w:sz w:val="24"/>
          <w:szCs w:val="24"/>
        </w:rPr>
        <w:t xml:space="preserve"> (which if provided would have meant the victim lived)</w:t>
      </w:r>
      <w:r w:rsidR="003A37BB">
        <w:rPr>
          <w:rStyle w:val="EndnoteReference"/>
          <w:rFonts w:ascii="Times New Roman" w:eastAsia="Calibri" w:hAnsi="Times New Roman" w:cs="Times New Roman"/>
          <w:sz w:val="24"/>
          <w:szCs w:val="24"/>
        </w:rPr>
        <w:endnoteReference w:id="77"/>
      </w:r>
      <w:r w:rsidR="003A37BB">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outcome of the case could remain the same.  This would</w:t>
      </w:r>
      <w:r w:rsidR="004C704C">
        <w:rPr>
          <w:rFonts w:ascii="Times New Roman" w:eastAsia="Calibri" w:hAnsi="Times New Roman" w:cs="Times New Roman"/>
          <w:sz w:val="24"/>
          <w:szCs w:val="24"/>
        </w:rPr>
        <w:t xml:space="preserve"> </w:t>
      </w:r>
      <w:r>
        <w:rPr>
          <w:rFonts w:ascii="Times New Roman" w:eastAsia="Calibri" w:hAnsi="Times New Roman" w:cs="Times New Roman"/>
          <w:sz w:val="24"/>
          <w:szCs w:val="24"/>
        </w:rPr>
        <w:t>be</w:t>
      </w:r>
      <w:r w:rsidR="004C704C">
        <w:rPr>
          <w:rFonts w:ascii="Times New Roman" w:eastAsia="Calibri" w:hAnsi="Times New Roman" w:cs="Times New Roman"/>
          <w:sz w:val="24"/>
          <w:szCs w:val="24"/>
        </w:rPr>
        <w:t xml:space="preserve"> achieved</w:t>
      </w:r>
      <w:r>
        <w:rPr>
          <w:rFonts w:ascii="Times New Roman" w:eastAsia="Calibri" w:hAnsi="Times New Roman" w:cs="Times New Roman"/>
          <w:sz w:val="24"/>
          <w:szCs w:val="24"/>
        </w:rPr>
        <w:t xml:space="preserve"> without the need to manipulate the facts </w:t>
      </w:r>
      <w:r w:rsidR="004C704C">
        <w:rPr>
          <w:rFonts w:ascii="Times New Roman" w:eastAsia="Calibri" w:hAnsi="Times New Roman" w:cs="Times New Roman"/>
          <w:sz w:val="24"/>
          <w:szCs w:val="24"/>
        </w:rPr>
        <w:t xml:space="preserve">so that the chain of causation was not broken by concluding that </w:t>
      </w:r>
      <w:r>
        <w:rPr>
          <w:rFonts w:ascii="Times New Roman" w:eastAsia="Calibri" w:hAnsi="Times New Roman" w:cs="Times New Roman"/>
          <w:sz w:val="24"/>
          <w:szCs w:val="24"/>
        </w:rPr>
        <w:t xml:space="preserve">the voluntary drinking of the whisky </w:t>
      </w:r>
      <w:r w:rsidR="004C704C">
        <w:rPr>
          <w:rFonts w:ascii="Times New Roman" w:eastAsia="Calibri" w:hAnsi="Times New Roman" w:cs="Times New Roman"/>
          <w:sz w:val="24"/>
          <w:szCs w:val="24"/>
        </w:rPr>
        <w:t xml:space="preserve">was </w:t>
      </w:r>
      <w:r>
        <w:rPr>
          <w:rFonts w:ascii="Times New Roman" w:eastAsia="Calibri" w:hAnsi="Times New Roman" w:cs="Times New Roman"/>
          <w:sz w:val="24"/>
          <w:szCs w:val="24"/>
        </w:rPr>
        <w:t>involuntary</w:t>
      </w:r>
      <w:r w:rsidR="004C704C">
        <w:rPr>
          <w:rFonts w:ascii="Times New Roman" w:eastAsia="Calibri" w:hAnsi="Times New Roman" w:cs="Times New Roman"/>
          <w:sz w:val="24"/>
          <w:szCs w:val="24"/>
        </w:rPr>
        <w:t>.</w:t>
      </w:r>
    </w:p>
    <w:p w14:paraId="73A3E6ED" w14:textId="77777777" w:rsidR="00012B7C" w:rsidRDefault="00012B7C" w:rsidP="005A62CC">
      <w:pPr>
        <w:widowControl w:val="0"/>
        <w:autoSpaceDE w:val="0"/>
        <w:autoSpaceDN w:val="0"/>
        <w:adjustRightInd w:val="0"/>
        <w:spacing w:line="360" w:lineRule="auto"/>
        <w:contextualSpacing/>
        <w:jc w:val="both"/>
        <w:rPr>
          <w:rFonts w:ascii="Times New Roman" w:eastAsia="Calibri" w:hAnsi="Times New Roman" w:cs="Times New Roman"/>
          <w:sz w:val="24"/>
          <w:szCs w:val="24"/>
        </w:rPr>
      </w:pPr>
    </w:p>
    <w:p w14:paraId="3613CB25" w14:textId="12AB840A" w:rsidR="004047D3" w:rsidRDefault="004047D3" w:rsidP="005A62CC">
      <w:pPr>
        <w:widowControl w:val="0"/>
        <w:autoSpaceDE w:val="0"/>
        <w:autoSpaceDN w:val="0"/>
        <w:adjustRightInd w:val="0"/>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Alternatively, it could be argued that in </w:t>
      </w:r>
      <w:r>
        <w:rPr>
          <w:rFonts w:ascii="Times New Roman" w:eastAsia="Calibri" w:hAnsi="Times New Roman" w:cs="Times New Roman"/>
          <w:i/>
          <w:iCs/>
          <w:sz w:val="24"/>
          <w:szCs w:val="24"/>
        </w:rPr>
        <w:t xml:space="preserve">R v Field </w:t>
      </w:r>
      <w:r>
        <w:rPr>
          <w:rFonts w:ascii="Times New Roman" w:eastAsia="Calibri" w:hAnsi="Times New Roman" w:cs="Times New Roman"/>
          <w:sz w:val="24"/>
          <w:szCs w:val="24"/>
        </w:rPr>
        <w:t xml:space="preserve">the defendant </w:t>
      </w:r>
      <w:r w:rsidR="008100EA">
        <w:rPr>
          <w:rFonts w:ascii="Times New Roman" w:eastAsia="Calibri" w:hAnsi="Times New Roman" w:cs="Times New Roman"/>
          <w:sz w:val="24"/>
          <w:szCs w:val="24"/>
        </w:rPr>
        <w:t xml:space="preserve">had a duty to act from the duty of care </w:t>
      </w:r>
      <w:r>
        <w:rPr>
          <w:rFonts w:ascii="Times New Roman" w:eastAsia="Calibri" w:hAnsi="Times New Roman" w:cs="Times New Roman"/>
          <w:sz w:val="24"/>
          <w:szCs w:val="24"/>
        </w:rPr>
        <w:t xml:space="preserve">owed </w:t>
      </w:r>
      <w:r w:rsidR="004C704C">
        <w:rPr>
          <w:rFonts w:ascii="Times New Roman" w:eastAsia="Calibri" w:hAnsi="Times New Roman" w:cs="Times New Roman"/>
          <w:sz w:val="24"/>
          <w:szCs w:val="24"/>
        </w:rPr>
        <w:t xml:space="preserve">to </w:t>
      </w:r>
      <w:r>
        <w:rPr>
          <w:rFonts w:ascii="Times New Roman" w:eastAsia="Calibri" w:hAnsi="Times New Roman" w:cs="Times New Roman"/>
          <w:sz w:val="24"/>
          <w:szCs w:val="24"/>
        </w:rPr>
        <w:t>the victim through their relationship.</w:t>
      </w:r>
      <w:r w:rsidR="00B12774">
        <w:rPr>
          <w:rFonts w:ascii="Times New Roman" w:eastAsia="Calibri" w:hAnsi="Times New Roman" w:cs="Times New Roman"/>
          <w:sz w:val="24"/>
          <w:szCs w:val="24"/>
        </w:rPr>
        <w:t xml:space="preserve">  As Fletcher notes, the relationship does not need to be a formal legal one, the important issue is whether the relationship is one of interdependence.</w:t>
      </w:r>
      <w:r w:rsidR="00B12774">
        <w:rPr>
          <w:rStyle w:val="EndnoteReference"/>
          <w:rFonts w:ascii="Times New Roman" w:eastAsia="Calibri" w:hAnsi="Times New Roman" w:cs="Times New Roman"/>
          <w:sz w:val="24"/>
          <w:szCs w:val="24"/>
        </w:rPr>
        <w:endnoteReference w:id="78"/>
      </w:r>
      <w:r w:rsidR="00B12774">
        <w:rPr>
          <w:rFonts w:ascii="Times New Roman" w:eastAsia="Calibri" w:hAnsi="Times New Roman" w:cs="Times New Roman"/>
          <w:sz w:val="24"/>
          <w:szCs w:val="24"/>
        </w:rPr>
        <w:t xml:space="preserve">  In this case they were in what the court described as </w:t>
      </w:r>
      <w:r w:rsidR="00B12774" w:rsidRPr="00B12774">
        <w:rPr>
          <w:rFonts w:ascii="Times New Roman" w:eastAsia="Calibri" w:hAnsi="Times New Roman" w:cs="Times New Roman"/>
          <w:sz w:val="24"/>
          <w:szCs w:val="24"/>
        </w:rPr>
        <w:t xml:space="preserve">a </w:t>
      </w:r>
      <w:r w:rsidR="000354C6">
        <w:rPr>
          <w:rFonts w:ascii="Times New Roman" w:eastAsia="Calibri" w:hAnsi="Times New Roman" w:cs="Times New Roman"/>
          <w:sz w:val="24"/>
          <w:szCs w:val="24"/>
        </w:rPr>
        <w:t>‘</w:t>
      </w:r>
      <w:r w:rsidR="00B12774" w:rsidRPr="00B12774">
        <w:rPr>
          <w:rFonts w:ascii="Times New Roman" w:eastAsia="Calibri" w:hAnsi="Times New Roman" w:cs="Times New Roman"/>
          <w:sz w:val="24"/>
          <w:szCs w:val="24"/>
        </w:rPr>
        <w:t>caring and protective</w:t>
      </w:r>
      <w:r w:rsidR="000354C6">
        <w:rPr>
          <w:rFonts w:ascii="Times New Roman" w:eastAsia="Calibri" w:hAnsi="Times New Roman" w:cs="Times New Roman"/>
          <w:sz w:val="24"/>
          <w:szCs w:val="24"/>
        </w:rPr>
        <w:t>’</w:t>
      </w:r>
      <w:r w:rsidR="00B12774" w:rsidRPr="00B12774">
        <w:rPr>
          <w:rFonts w:ascii="Times New Roman" w:eastAsia="Calibri" w:hAnsi="Times New Roman" w:cs="Times New Roman"/>
          <w:sz w:val="24"/>
          <w:szCs w:val="24"/>
        </w:rPr>
        <w:t xml:space="preserve"> relationship</w:t>
      </w:r>
      <w:r w:rsidR="00B12774">
        <w:rPr>
          <w:rFonts w:ascii="Times New Roman" w:eastAsia="Calibri" w:hAnsi="Times New Roman" w:cs="Times New Roman"/>
          <w:sz w:val="24"/>
          <w:szCs w:val="24"/>
        </w:rPr>
        <w:t>.</w:t>
      </w:r>
      <w:r w:rsidR="00B12774">
        <w:rPr>
          <w:rStyle w:val="EndnoteReference"/>
          <w:rFonts w:ascii="Times New Roman" w:eastAsia="Calibri" w:hAnsi="Times New Roman" w:cs="Times New Roman"/>
          <w:sz w:val="24"/>
          <w:szCs w:val="24"/>
        </w:rPr>
        <w:endnoteReference w:id="79"/>
      </w:r>
      <w:r>
        <w:rPr>
          <w:rFonts w:ascii="Times New Roman" w:eastAsia="Calibri" w:hAnsi="Times New Roman" w:cs="Times New Roman"/>
          <w:sz w:val="24"/>
          <w:szCs w:val="24"/>
        </w:rPr>
        <w:t xml:space="preserve"> </w:t>
      </w:r>
      <w:r w:rsidR="00B127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They had lived together for two years and </w:t>
      </w:r>
      <w:r w:rsidR="004C704C">
        <w:rPr>
          <w:rFonts w:ascii="Times New Roman" w:eastAsia="Calibri" w:hAnsi="Times New Roman" w:cs="Times New Roman"/>
          <w:sz w:val="24"/>
          <w:szCs w:val="24"/>
        </w:rPr>
        <w:t xml:space="preserve">were </w:t>
      </w:r>
      <w:r>
        <w:rPr>
          <w:rFonts w:ascii="Times New Roman" w:eastAsia="Calibri" w:hAnsi="Times New Roman" w:cs="Times New Roman"/>
          <w:sz w:val="24"/>
          <w:szCs w:val="24"/>
        </w:rPr>
        <w:t>committed to each other through a betrothal ceremony.  It has previously been established that a</w:t>
      </w:r>
      <w:r w:rsidR="004C704C">
        <w:rPr>
          <w:rFonts w:ascii="Times New Roman" w:eastAsia="Calibri" w:hAnsi="Times New Roman" w:cs="Times New Roman"/>
          <w:sz w:val="24"/>
          <w:szCs w:val="24"/>
        </w:rPr>
        <w:t xml:space="preserve"> duty to act can exist from a</w:t>
      </w:r>
      <w:r>
        <w:rPr>
          <w:rFonts w:ascii="Times New Roman" w:eastAsia="Calibri" w:hAnsi="Times New Roman" w:cs="Times New Roman"/>
          <w:sz w:val="24"/>
          <w:szCs w:val="24"/>
        </w:rPr>
        <w:t xml:space="preserve"> husband</w:t>
      </w:r>
      <w:r w:rsidR="004C704C">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duty of care </w:t>
      </w:r>
      <w:r w:rsidR="008100EA">
        <w:rPr>
          <w:rFonts w:ascii="Times New Roman" w:eastAsia="Calibri" w:hAnsi="Times New Roman" w:cs="Times New Roman"/>
          <w:sz w:val="24"/>
          <w:szCs w:val="24"/>
        </w:rPr>
        <w:t>to</w:t>
      </w:r>
      <w:r>
        <w:rPr>
          <w:rFonts w:ascii="Times New Roman" w:eastAsia="Calibri" w:hAnsi="Times New Roman" w:cs="Times New Roman"/>
          <w:sz w:val="24"/>
          <w:szCs w:val="24"/>
        </w:rPr>
        <w:t xml:space="preserve"> his wife</w:t>
      </w:r>
      <w:r w:rsidR="00E2751A">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80"/>
      </w:r>
      <w:r w:rsidR="003A37BB">
        <w:rPr>
          <w:rFonts w:ascii="Times New Roman" w:eastAsia="Calibri" w:hAnsi="Times New Roman" w:cs="Times New Roman"/>
          <w:sz w:val="24"/>
          <w:szCs w:val="24"/>
        </w:rPr>
        <w:t xml:space="preserve"> and </w:t>
      </w:r>
      <w:r w:rsidR="004C704C">
        <w:rPr>
          <w:rFonts w:ascii="Times New Roman" w:eastAsia="Calibri" w:hAnsi="Times New Roman" w:cs="Times New Roman"/>
          <w:sz w:val="24"/>
          <w:szCs w:val="24"/>
        </w:rPr>
        <w:t>from</w:t>
      </w:r>
      <w:r w:rsidR="00E2751A">
        <w:rPr>
          <w:rFonts w:ascii="Times New Roman" w:eastAsia="Calibri" w:hAnsi="Times New Roman" w:cs="Times New Roman"/>
          <w:sz w:val="24"/>
          <w:szCs w:val="24"/>
        </w:rPr>
        <w:t xml:space="preserve"> a</w:t>
      </w:r>
      <w:r w:rsidR="004C704C">
        <w:rPr>
          <w:rFonts w:ascii="Times New Roman" w:eastAsia="Calibri" w:hAnsi="Times New Roman" w:cs="Times New Roman"/>
          <w:sz w:val="24"/>
          <w:szCs w:val="24"/>
        </w:rPr>
        <w:t xml:space="preserve"> </w:t>
      </w:r>
      <w:r w:rsidR="003A37BB">
        <w:rPr>
          <w:rFonts w:ascii="Times New Roman" w:eastAsia="Calibri" w:hAnsi="Times New Roman" w:cs="Times New Roman"/>
          <w:sz w:val="24"/>
          <w:szCs w:val="24"/>
        </w:rPr>
        <w:t>man</w:t>
      </w:r>
      <w:r w:rsidR="00E2751A">
        <w:rPr>
          <w:rFonts w:ascii="Times New Roman" w:eastAsia="Calibri" w:hAnsi="Times New Roman" w:cs="Times New Roman"/>
          <w:sz w:val="24"/>
          <w:szCs w:val="24"/>
        </w:rPr>
        <w:t>’s duty of care</w:t>
      </w:r>
      <w:r w:rsidR="003A37BB">
        <w:rPr>
          <w:rFonts w:ascii="Times New Roman" w:eastAsia="Calibri" w:hAnsi="Times New Roman" w:cs="Times New Roman"/>
          <w:sz w:val="24"/>
          <w:szCs w:val="24"/>
        </w:rPr>
        <w:t xml:space="preserve"> to his female partner.</w:t>
      </w:r>
      <w:r w:rsidR="003A37BB">
        <w:rPr>
          <w:rStyle w:val="EndnoteReference"/>
          <w:rFonts w:ascii="Times New Roman" w:eastAsia="Calibri" w:hAnsi="Times New Roman" w:cs="Times New Roman"/>
          <w:sz w:val="24"/>
          <w:szCs w:val="24"/>
        </w:rPr>
        <w:endnoteReference w:id="81"/>
      </w:r>
      <w:r w:rsidR="003A37BB">
        <w:rPr>
          <w:rFonts w:ascii="Times New Roman" w:eastAsia="Calibri" w:hAnsi="Times New Roman" w:cs="Times New Roman"/>
          <w:sz w:val="24"/>
          <w:szCs w:val="24"/>
        </w:rPr>
        <w:t xml:space="preserve">  T</w:t>
      </w:r>
      <w:r>
        <w:rPr>
          <w:rFonts w:ascii="Times New Roman" w:eastAsia="Calibri" w:hAnsi="Times New Roman" w:cs="Times New Roman"/>
          <w:sz w:val="24"/>
          <w:szCs w:val="24"/>
        </w:rPr>
        <w:t xml:space="preserve">his same principle could be applied to the same-sex partnership in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w:t>
      </w:r>
      <w:r w:rsidR="00B12774">
        <w:rPr>
          <w:rFonts w:ascii="Times New Roman" w:eastAsia="Calibri" w:hAnsi="Times New Roman" w:cs="Times New Roman"/>
          <w:sz w:val="24"/>
          <w:szCs w:val="24"/>
        </w:rPr>
        <w:t xml:space="preserve">  </w:t>
      </w:r>
    </w:p>
    <w:p w14:paraId="428542F4" w14:textId="77777777" w:rsidR="00012B7C" w:rsidRDefault="00012B7C" w:rsidP="005A62CC">
      <w:pPr>
        <w:widowControl w:val="0"/>
        <w:autoSpaceDE w:val="0"/>
        <w:autoSpaceDN w:val="0"/>
        <w:adjustRightInd w:val="0"/>
        <w:spacing w:line="360" w:lineRule="auto"/>
        <w:contextualSpacing/>
        <w:jc w:val="both"/>
        <w:rPr>
          <w:rFonts w:ascii="Times New Roman" w:eastAsia="Calibri" w:hAnsi="Times New Roman" w:cs="Times New Roman"/>
          <w:sz w:val="24"/>
          <w:szCs w:val="24"/>
        </w:rPr>
      </w:pPr>
    </w:p>
    <w:p w14:paraId="01066D5A" w14:textId="5FFC5998"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further alternative, but perhaps less convincing on the facts of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 xml:space="preserve">, is that a duty can be established as a result of creating a dangerous situation.  In </w:t>
      </w:r>
      <w:r>
        <w:rPr>
          <w:rFonts w:ascii="Times New Roman" w:eastAsia="Calibri" w:hAnsi="Times New Roman" w:cs="Times New Roman"/>
          <w:i/>
          <w:iCs/>
          <w:sz w:val="24"/>
          <w:szCs w:val="24"/>
        </w:rPr>
        <w:t>R v Miller</w:t>
      </w:r>
      <w:r>
        <w:rPr>
          <w:rFonts w:ascii="Times New Roman" w:eastAsia="Calibri" w:hAnsi="Times New Roman" w:cs="Times New Roman"/>
          <w:sz w:val="24"/>
          <w:szCs w:val="24"/>
        </w:rPr>
        <w:t xml:space="preserve">, </w:t>
      </w:r>
      <w:r w:rsidRPr="00EA090B">
        <w:rPr>
          <w:rFonts w:ascii="Times New Roman" w:eastAsia="Calibri" w:hAnsi="Times New Roman" w:cs="Times New Roman"/>
          <w:sz w:val="24"/>
          <w:szCs w:val="24"/>
        </w:rPr>
        <w:t>Lord Diplock observed that he could see</w:t>
      </w:r>
      <w:r>
        <w:rPr>
          <w:rFonts w:ascii="Times New Roman" w:eastAsia="Calibri" w:hAnsi="Times New Roman" w:cs="Times New Roman"/>
          <w:sz w:val="24"/>
          <w:szCs w:val="24"/>
        </w:rPr>
        <w:t>:</w:t>
      </w:r>
    </w:p>
    <w:p w14:paraId="0559B67E" w14:textId="77777777" w:rsidR="003555A6" w:rsidRPr="00EA090B" w:rsidRDefault="003555A6" w:rsidP="005A62CC">
      <w:pPr>
        <w:spacing w:line="360" w:lineRule="auto"/>
        <w:contextualSpacing/>
        <w:jc w:val="both"/>
        <w:rPr>
          <w:rFonts w:ascii="Times New Roman" w:eastAsia="Calibri" w:hAnsi="Times New Roman" w:cs="Times New Roman"/>
          <w:sz w:val="24"/>
          <w:szCs w:val="24"/>
        </w:rPr>
      </w:pPr>
    </w:p>
    <w:p w14:paraId="7FF719D8" w14:textId="11932B89" w:rsidR="004047D3" w:rsidRDefault="000354C6" w:rsidP="005A62CC">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047D3" w:rsidRPr="00EA090B">
        <w:rPr>
          <w:rFonts w:ascii="Times New Roman" w:eastAsia="Calibri" w:hAnsi="Times New Roman" w:cs="Times New Roman"/>
          <w:sz w:val="24"/>
          <w:szCs w:val="24"/>
        </w:rPr>
        <w:t>no rational ground for excluding from conduct capable of giving rise to criminal liability, conduct which consists of failing to take measures that lie within one’s power to counteract a danger that one has oneself created, if at the time of such conduct one’s state of mind is such as constitutes a necessary ingredient of the offence</w:t>
      </w:r>
      <w:r w:rsidR="004047D3">
        <w:rPr>
          <w:rFonts w:ascii="Times New Roman" w:eastAsia="Calibri" w:hAnsi="Times New Roman" w:cs="Times New Roman"/>
          <w:sz w:val="24"/>
          <w:szCs w:val="24"/>
        </w:rPr>
        <w:t>.</w:t>
      </w:r>
      <w:r>
        <w:rPr>
          <w:rFonts w:ascii="Times New Roman" w:eastAsia="Calibri" w:hAnsi="Times New Roman" w:cs="Times New Roman"/>
          <w:sz w:val="24"/>
          <w:szCs w:val="24"/>
        </w:rPr>
        <w:t>’</w:t>
      </w:r>
      <w:r w:rsidR="004047D3" w:rsidRPr="00034A4A">
        <w:rPr>
          <w:rStyle w:val="EndnoteReference"/>
          <w:rFonts w:ascii="Times New Roman" w:eastAsia="Calibri" w:hAnsi="Times New Roman" w:cs="Times New Roman"/>
          <w:sz w:val="24"/>
          <w:szCs w:val="24"/>
        </w:rPr>
        <w:t xml:space="preserve"> </w:t>
      </w:r>
      <w:r w:rsidR="004047D3">
        <w:rPr>
          <w:rStyle w:val="EndnoteReference"/>
          <w:rFonts w:ascii="Times New Roman" w:eastAsia="Calibri" w:hAnsi="Times New Roman" w:cs="Times New Roman"/>
          <w:sz w:val="24"/>
          <w:szCs w:val="24"/>
        </w:rPr>
        <w:endnoteReference w:id="82"/>
      </w:r>
      <w:r w:rsidR="004047D3">
        <w:rPr>
          <w:rFonts w:ascii="Times New Roman" w:eastAsia="Calibri" w:hAnsi="Times New Roman" w:cs="Times New Roman"/>
          <w:sz w:val="24"/>
          <w:szCs w:val="24"/>
        </w:rPr>
        <w:t xml:space="preserve">   </w:t>
      </w:r>
    </w:p>
    <w:p w14:paraId="5EF42A7D" w14:textId="77777777" w:rsidR="003555A6" w:rsidRDefault="003555A6" w:rsidP="005A62CC">
      <w:pPr>
        <w:spacing w:line="360" w:lineRule="auto"/>
        <w:ind w:left="720"/>
        <w:contextualSpacing/>
        <w:jc w:val="both"/>
        <w:rPr>
          <w:rFonts w:ascii="Times New Roman" w:eastAsia="Calibri" w:hAnsi="Times New Roman" w:cs="Times New Roman"/>
          <w:sz w:val="24"/>
          <w:szCs w:val="24"/>
        </w:rPr>
      </w:pPr>
    </w:p>
    <w:p w14:paraId="31995160" w14:textId="4A462CD0"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Whilst in </w:t>
      </w:r>
      <w:r w:rsidR="00BE21CF">
        <w:rPr>
          <w:rFonts w:ascii="Times New Roman" w:eastAsia="Calibri" w:hAnsi="Times New Roman" w:cs="Times New Roman"/>
          <w:i/>
          <w:iCs/>
          <w:sz w:val="24"/>
          <w:szCs w:val="24"/>
        </w:rPr>
        <w:t xml:space="preserve">R v </w:t>
      </w:r>
      <w:r>
        <w:rPr>
          <w:rFonts w:ascii="Times New Roman" w:eastAsia="Calibri" w:hAnsi="Times New Roman" w:cs="Times New Roman"/>
          <w:i/>
          <w:iCs/>
          <w:sz w:val="24"/>
          <w:szCs w:val="24"/>
        </w:rPr>
        <w:t>Miller</w:t>
      </w:r>
      <w:r>
        <w:rPr>
          <w:rFonts w:ascii="Times New Roman" w:eastAsia="Calibri" w:hAnsi="Times New Roman" w:cs="Times New Roman"/>
          <w:sz w:val="24"/>
          <w:szCs w:val="24"/>
        </w:rPr>
        <w:t xml:space="preserve"> the danger arose from the act of starting a fire, there is no requirement that the initial dangerous act must be criminal in nature.</w:t>
      </w:r>
      <w:r>
        <w:rPr>
          <w:rStyle w:val="EndnoteReference"/>
          <w:rFonts w:ascii="Times New Roman" w:eastAsia="Calibri" w:hAnsi="Times New Roman" w:cs="Times New Roman"/>
          <w:sz w:val="24"/>
          <w:szCs w:val="24"/>
        </w:rPr>
        <w:endnoteReference w:id="83"/>
      </w:r>
      <w:r>
        <w:rPr>
          <w:rFonts w:ascii="Times New Roman" w:eastAsia="Calibri" w:hAnsi="Times New Roman" w:cs="Times New Roman"/>
          <w:sz w:val="24"/>
          <w:szCs w:val="24"/>
        </w:rPr>
        <w:t xml:space="preserve">  Therefore, in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 xml:space="preserve"> it could be argued that by supplying the whisky, by the defendant’s own admission to test the victim, this could amount to the creation of a dangerous situation.  As such, the defendant would have a duty to mitigate the danger he had c</w:t>
      </w:r>
      <w:r w:rsidR="00D869DF">
        <w:rPr>
          <w:rFonts w:ascii="Times New Roman" w:eastAsia="Calibri" w:hAnsi="Times New Roman" w:cs="Times New Roman"/>
          <w:sz w:val="24"/>
          <w:szCs w:val="24"/>
        </w:rPr>
        <w:t>reated</w:t>
      </w:r>
      <w:r w:rsidR="00E2751A">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by failing to at least call for assistance he had breached this duty.  Arguably, however, the danger was not created by the supply of the whisky but the victim choosing to drink it.</w:t>
      </w:r>
      <w:r>
        <w:rPr>
          <w:rStyle w:val="EndnoteReference"/>
          <w:rFonts w:ascii="Times New Roman" w:eastAsia="Calibri" w:hAnsi="Times New Roman" w:cs="Times New Roman"/>
          <w:sz w:val="24"/>
          <w:szCs w:val="24"/>
        </w:rPr>
        <w:endnoteReference w:id="84"/>
      </w:r>
      <w:r>
        <w:rPr>
          <w:rFonts w:ascii="Times New Roman" w:eastAsia="Calibri" w:hAnsi="Times New Roman" w:cs="Times New Roman"/>
          <w:sz w:val="24"/>
          <w:szCs w:val="24"/>
        </w:rPr>
        <w:t xml:space="preserve">  Thus, difficulty may arise in establishing that the defendant had created the dangerous situation</w:t>
      </w:r>
      <w:r w:rsidR="00E2751A">
        <w:rPr>
          <w:rFonts w:ascii="Times New Roman" w:eastAsia="Calibri" w:hAnsi="Times New Roman" w:cs="Times New Roman"/>
          <w:sz w:val="24"/>
          <w:szCs w:val="24"/>
        </w:rPr>
        <w:t xml:space="preserve"> that led to the victim’s death</w:t>
      </w:r>
      <w:r>
        <w:rPr>
          <w:rFonts w:ascii="Times New Roman" w:eastAsia="Calibri" w:hAnsi="Times New Roman" w:cs="Times New Roman"/>
          <w:sz w:val="24"/>
          <w:szCs w:val="24"/>
        </w:rPr>
        <w:t>.</w:t>
      </w:r>
    </w:p>
    <w:p w14:paraId="4F21E45E" w14:textId="77777777" w:rsidR="003555A6" w:rsidRDefault="003555A6" w:rsidP="005A62CC">
      <w:pPr>
        <w:spacing w:line="360" w:lineRule="auto"/>
        <w:contextualSpacing/>
        <w:jc w:val="both"/>
        <w:rPr>
          <w:rFonts w:ascii="Times New Roman" w:eastAsia="Calibri" w:hAnsi="Times New Roman" w:cs="Times New Roman"/>
          <w:sz w:val="24"/>
          <w:szCs w:val="24"/>
        </w:rPr>
      </w:pPr>
    </w:p>
    <w:p w14:paraId="3B22EBDF" w14:textId="00FB49FC" w:rsidR="004047D3" w:rsidRPr="001C68C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Regardless of how a duty situation could </w:t>
      </w:r>
      <w:r w:rsidR="00E2751A">
        <w:rPr>
          <w:rFonts w:ascii="Times New Roman" w:eastAsia="Calibri" w:hAnsi="Times New Roman" w:cs="Times New Roman"/>
          <w:sz w:val="24"/>
          <w:szCs w:val="24"/>
        </w:rPr>
        <w:t>be</w:t>
      </w:r>
      <w:r>
        <w:rPr>
          <w:rFonts w:ascii="Times New Roman" w:eastAsia="Calibri" w:hAnsi="Times New Roman" w:cs="Times New Roman"/>
          <w:sz w:val="24"/>
          <w:szCs w:val="24"/>
        </w:rPr>
        <w:t xml:space="preserve"> said to be established, what is clear is that the difficulties that arose in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 xml:space="preserve"> could have been avoided.  The court did not need to conclude </w:t>
      </w:r>
      <w:r>
        <w:rPr>
          <w:rFonts w:ascii="Times New Roman" w:eastAsia="Calibri" w:hAnsi="Times New Roman" w:cs="Times New Roman"/>
          <w:sz w:val="24"/>
          <w:szCs w:val="24"/>
        </w:rPr>
        <w:lastRenderedPageBreak/>
        <w:t xml:space="preserve">that the defendant legally providing a bottle of whisky, which was willingly drunk by the victim, amounted to the defendant causing the death.  The court should not have focused on whether the defendant’s voluntary actions in supplying the whisky were more than a minimal cause of the death, nor whether the victim’s actions in drinking the whisky were voluntary.  At this point, no crime had been committed, as despite the defendant’s hidden intentions, a person cannot be convicted of murder with </w:t>
      </w:r>
      <w:r>
        <w:rPr>
          <w:rFonts w:ascii="Times New Roman" w:eastAsia="Calibri" w:hAnsi="Times New Roman" w:cs="Times New Roman"/>
          <w:i/>
          <w:iCs/>
          <w:sz w:val="24"/>
          <w:szCs w:val="24"/>
        </w:rPr>
        <w:t>mens rea</w:t>
      </w:r>
      <w:r>
        <w:rPr>
          <w:rFonts w:ascii="Times New Roman" w:eastAsia="Calibri" w:hAnsi="Times New Roman" w:cs="Times New Roman"/>
          <w:sz w:val="24"/>
          <w:szCs w:val="24"/>
        </w:rPr>
        <w:t xml:space="preserve"> alone.</w:t>
      </w:r>
      <w:r>
        <w:rPr>
          <w:rStyle w:val="EndnoteReference"/>
          <w:rFonts w:ascii="Times New Roman" w:eastAsia="Calibri" w:hAnsi="Times New Roman" w:cs="Times New Roman"/>
          <w:sz w:val="24"/>
          <w:szCs w:val="24"/>
        </w:rPr>
        <w:endnoteReference w:id="85"/>
      </w:r>
      <w:r>
        <w:rPr>
          <w:rFonts w:ascii="Times New Roman" w:eastAsia="Calibri" w:hAnsi="Times New Roman" w:cs="Times New Roman"/>
          <w:sz w:val="24"/>
          <w:szCs w:val="24"/>
        </w:rPr>
        <w:t xml:space="preserve">  The crime occurred when the defendant voluntarily omitted to assist the victim, when he had a duty to do so</w:t>
      </w:r>
      <w:r w:rsidR="008100EA">
        <w:rPr>
          <w:rFonts w:ascii="Times New Roman" w:eastAsia="Calibri" w:hAnsi="Times New Roman" w:cs="Times New Roman"/>
          <w:sz w:val="24"/>
          <w:szCs w:val="24"/>
        </w:rPr>
        <w:t>.  This omission</w:t>
      </w:r>
      <w:r w:rsidR="009A18F5">
        <w:rPr>
          <w:rFonts w:ascii="Times New Roman" w:eastAsia="Calibri" w:hAnsi="Times New Roman" w:cs="Times New Roman"/>
          <w:sz w:val="24"/>
          <w:szCs w:val="24"/>
        </w:rPr>
        <w:t xml:space="preserve"> failed to break the chain of causation between the defendant’s supply of whisky, the victim drinking it and the whisky causing the victim’s death.  Thus, </w:t>
      </w:r>
      <w:r w:rsidR="00E2751A">
        <w:rPr>
          <w:rFonts w:ascii="Times New Roman" w:eastAsia="Calibri" w:hAnsi="Times New Roman" w:cs="Times New Roman"/>
          <w:sz w:val="24"/>
          <w:szCs w:val="24"/>
        </w:rPr>
        <w:t xml:space="preserve">it was </w:t>
      </w:r>
      <w:r w:rsidR="009A18F5" w:rsidRPr="00E2751A">
        <w:rPr>
          <w:rFonts w:ascii="Times New Roman" w:eastAsia="Calibri" w:hAnsi="Times New Roman" w:cs="Times New Roman"/>
          <w:i/>
          <w:sz w:val="24"/>
          <w:szCs w:val="24"/>
        </w:rPr>
        <w:t>Field’s</w:t>
      </w:r>
      <w:r w:rsidR="009A18F5">
        <w:rPr>
          <w:rFonts w:ascii="Times New Roman" w:eastAsia="Calibri" w:hAnsi="Times New Roman" w:cs="Times New Roman"/>
          <w:sz w:val="24"/>
          <w:szCs w:val="24"/>
        </w:rPr>
        <w:t xml:space="preserve"> omission</w:t>
      </w:r>
      <w:r w:rsidR="00E2751A">
        <w:rPr>
          <w:rFonts w:ascii="Times New Roman" w:eastAsia="Calibri" w:hAnsi="Times New Roman" w:cs="Times New Roman"/>
          <w:sz w:val="24"/>
          <w:szCs w:val="24"/>
        </w:rPr>
        <w:t>, not his actions, that</w:t>
      </w:r>
      <w:r w:rsidR="009A18F5">
        <w:rPr>
          <w:rFonts w:ascii="Times New Roman" w:eastAsia="Calibri" w:hAnsi="Times New Roman" w:cs="Times New Roman"/>
          <w:sz w:val="24"/>
          <w:szCs w:val="24"/>
        </w:rPr>
        <w:t xml:space="preserve"> w</w:t>
      </w:r>
      <w:r w:rsidR="00E2751A">
        <w:rPr>
          <w:rFonts w:ascii="Times New Roman" w:eastAsia="Calibri" w:hAnsi="Times New Roman" w:cs="Times New Roman"/>
          <w:sz w:val="24"/>
          <w:szCs w:val="24"/>
        </w:rPr>
        <w:t>ere</w:t>
      </w:r>
      <w:r w:rsidR="009A18F5">
        <w:rPr>
          <w:rFonts w:ascii="Times New Roman" w:eastAsia="Calibri" w:hAnsi="Times New Roman" w:cs="Times New Roman"/>
          <w:sz w:val="24"/>
          <w:szCs w:val="24"/>
        </w:rPr>
        <w:t xml:space="preserve"> ‘causally significant because it </w:t>
      </w:r>
      <w:r w:rsidR="009A18F5" w:rsidRPr="009A18F5">
        <w:rPr>
          <w:rFonts w:ascii="Times New Roman" w:eastAsia="Calibri" w:hAnsi="Times New Roman" w:cs="Times New Roman"/>
          <w:i/>
          <w:sz w:val="24"/>
          <w:szCs w:val="24"/>
        </w:rPr>
        <w:t>did not break the causal chain that b</w:t>
      </w:r>
      <w:r w:rsidR="009A18F5">
        <w:rPr>
          <w:rFonts w:ascii="Times New Roman" w:eastAsia="Calibri" w:hAnsi="Times New Roman" w:cs="Times New Roman"/>
          <w:i/>
          <w:sz w:val="24"/>
          <w:szCs w:val="24"/>
        </w:rPr>
        <w:t>r</w:t>
      </w:r>
      <w:r w:rsidR="009A18F5" w:rsidRPr="009A18F5">
        <w:rPr>
          <w:rFonts w:ascii="Times New Roman" w:eastAsia="Calibri" w:hAnsi="Times New Roman" w:cs="Times New Roman"/>
          <w:i/>
          <w:sz w:val="24"/>
          <w:szCs w:val="24"/>
        </w:rPr>
        <w:t>ough</w:t>
      </w:r>
      <w:r w:rsidR="009A18F5">
        <w:rPr>
          <w:rFonts w:ascii="Times New Roman" w:eastAsia="Calibri" w:hAnsi="Times New Roman" w:cs="Times New Roman"/>
          <w:i/>
          <w:sz w:val="24"/>
          <w:szCs w:val="24"/>
        </w:rPr>
        <w:t>t</w:t>
      </w:r>
      <w:r w:rsidR="009A18F5" w:rsidRPr="009A18F5">
        <w:rPr>
          <w:rFonts w:ascii="Times New Roman" w:eastAsia="Calibri" w:hAnsi="Times New Roman" w:cs="Times New Roman"/>
          <w:i/>
          <w:sz w:val="24"/>
          <w:szCs w:val="24"/>
        </w:rPr>
        <w:t xml:space="preserve"> about the result</w:t>
      </w:r>
      <w:r w:rsidR="009A18F5">
        <w:rPr>
          <w:rFonts w:ascii="Times New Roman" w:eastAsia="Calibri" w:hAnsi="Times New Roman" w:cs="Times New Roman"/>
          <w:sz w:val="24"/>
          <w:szCs w:val="24"/>
        </w:rPr>
        <w:t>’</w:t>
      </w:r>
      <w:r w:rsidR="009A18F5">
        <w:rPr>
          <w:rStyle w:val="EndnoteReference"/>
          <w:rFonts w:ascii="Times New Roman" w:eastAsia="Calibri" w:hAnsi="Times New Roman" w:cs="Times New Roman"/>
          <w:sz w:val="24"/>
          <w:szCs w:val="24"/>
        </w:rPr>
        <w:endnoteReference w:id="86"/>
      </w:r>
      <w:r w:rsidR="009A18F5">
        <w:rPr>
          <w:rFonts w:ascii="Times New Roman" w:eastAsia="Calibri" w:hAnsi="Times New Roman" w:cs="Times New Roman"/>
          <w:sz w:val="24"/>
          <w:szCs w:val="24"/>
        </w:rPr>
        <w:t xml:space="preserve"> of</w:t>
      </w:r>
      <w:r>
        <w:rPr>
          <w:rFonts w:ascii="Times New Roman" w:eastAsia="Calibri" w:hAnsi="Times New Roman" w:cs="Times New Roman"/>
          <w:sz w:val="24"/>
          <w:szCs w:val="24"/>
        </w:rPr>
        <w:t xml:space="preserve"> the victim’s death.</w:t>
      </w:r>
    </w:p>
    <w:p w14:paraId="1912A9C8" w14:textId="77777777" w:rsidR="004047D3" w:rsidRDefault="004047D3" w:rsidP="005A62CC">
      <w:pPr>
        <w:spacing w:line="360" w:lineRule="auto"/>
        <w:contextualSpacing/>
        <w:jc w:val="both"/>
        <w:rPr>
          <w:rFonts w:ascii="Times New Roman" w:eastAsia="Calibri" w:hAnsi="Times New Roman" w:cs="Times New Roman"/>
          <w:b/>
          <w:bCs/>
          <w:sz w:val="24"/>
          <w:szCs w:val="24"/>
        </w:rPr>
      </w:pPr>
    </w:p>
    <w:p w14:paraId="5C148487" w14:textId="3756D413" w:rsidR="004047D3" w:rsidRDefault="004047D3" w:rsidP="005A62CC">
      <w:pPr>
        <w:spacing w:line="36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Conclusion</w:t>
      </w:r>
    </w:p>
    <w:p w14:paraId="70DDB877" w14:textId="77777777" w:rsidR="00586CFB" w:rsidRDefault="00586CFB" w:rsidP="005A62CC">
      <w:pPr>
        <w:spacing w:line="360" w:lineRule="auto"/>
        <w:contextualSpacing/>
        <w:jc w:val="both"/>
        <w:rPr>
          <w:rFonts w:ascii="Times New Roman" w:eastAsia="Calibri" w:hAnsi="Times New Roman" w:cs="Times New Roman"/>
          <w:b/>
          <w:bCs/>
          <w:sz w:val="24"/>
          <w:szCs w:val="24"/>
        </w:rPr>
      </w:pPr>
    </w:p>
    <w:p w14:paraId="321F1C46" w14:textId="0809A6FF" w:rsidR="004047D3"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problem exists that there is no clear definition of when the voluntary actions of the defendant will legally cease to be the cause of the outcome due to the </w:t>
      </w:r>
      <w:r w:rsidR="00E2751A">
        <w:rPr>
          <w:rFonts w:ascii="Times New Roman" w:eastAsia="Calibri" w:hAnsi="Times New Roman" w:cs="Times New Roman"/>
          <w:sz w:val="24"/>
          <w:szCs w:val="24"/>
        </w:rPr>
        <w:t xml:space="preserve">voluntary </w:t>
      </w:r>
      <w:r>
        <w:rPr>
          <w:rFonts w:ascii="Times New Roman" w:eastAsia="Calibri" w:hAnsi="Times New Roman" w:cs="Times New Roman"/>
          <w:sz w:val="24"/>
          <w:szCs w:val="24"/>
        </w:rPr>
        <w:t>actions of the victim.  A wide approach has been adopted where</w:t>
      </w:r>
      <w:r w:rsidR="00BE21CF">
        <w:rPr>
          <w:rFonts w:ascii="Times New Roman" w:eastAsia="Calibri" w:hAnsi="Times New Roman" w:cs="Times New Roman"/>
          <w:sz w:val="24"/>
          <w:szCs w:val="24"/>
        </w:rPr>
        <w:t>by</w:t>
      </w:r>
      <w:r>
        <w:rPr>
          <w:rFonts w:ascii="Times New Roman" w:eastAsia="Calibri" w:hAnsi="Times New Roman" w:cs="Times New Roman"/>
          <w:sz w:val="24"/>
          <w:szCs w:val="24"/>
        </w:rPr>
        <w:t xml:space="preserve"> a moral judgment of the </w:t>
      </w:r>
      <w:r w:rsidR="00EC3C71">
        <w:rPr>
          <w:rFonts w:ascii="Times New Roman" w:eastAsia="Calibri" w:hAnsi="Times New Roman" w:cs="Times New Roman"/>
          <w:sz w:val="24"/>
          <w:szCs w:val="24"/>
        </w:rPr>
        <w:t>acceptableness of the</w:t>
      </w:r>
      <w:r>
        <w:rPr>
          <w:rFonts w:ascii="Times New Roman" w:eastAsia="Calibri" w:hAnsi="Times New Roman" w:cs="Times New Roman"/>
          <w:sz w:val="24"/>
          <w:szCs w:val="24"/>
        </w:rPr>
        <w:t xml:space="preserve"> defendant’s actions is made.  This moralist influence has led the courts to inconsistently approach the question of whether a victim’s voluntary action will amount to a </w:t>
      </w:r>
      <w:r>
        <w:rPr>
          <w:rFonts w:ascii="Times New Roman" w:eastAsia="Calibri" w:hAnsi="Times New Roman" w:cs="Times New Roman"/>
          <w:i/>
          <w:iCs/>
          <w:sz w:val="24"/>
          <w:szCs w:val="24"/>
        </w:rPr>
        <w:t xml:space="preserve">novus actus interveniens.  </w:t>
      </w:r>
      <w:r>
        <w:rPr>
          <w:rFonts w:ascii="Times New Roman" w:eastAsia="Calibri" w:hAnsi="Times New Roman" w:cs="Times New Roman"/>
          <w:sz w:val="24"/>
          <w:szCs w:val="24"/>
        </w:rPr>
        <w:t>Despite the precedent that free, deliberate, and informed conduct will break the chain of causation,</w:t>
      </w:r>
      <w:r>
        <w:rPr>
          <w:rStyle w:val="EndnoteReference"/>
          <w:rFonts w:ascii="Times New Roman" w:eastAsia="Calibri" w:hAnsi="Times New Roman" w:cs="Times New Roman"/>
          <w:sz w:val="24"/>
          <w:szCs w:val="24"/>
        </w:rPr>
        <w:endnoteReference w:id="87"/>
      </w:r>
      <w:r>
        <w:rPr>
          <w:rFonts w:ascii="Times New Roman" w:eastAsia="Calibri" w:hAnsi="Times New Roman" w:cs="Times New Roman"/>
          <w:sz w:val="24"/>
          <w:szCs w:val="24"/>
        </w:rPr>
        <w:t xml:space="preserve"> legal </w:t>
      </w:r>
      <w:r w:rsidR="002200C8">
        <w:rPr>
          <w:rFonts w:ascii="Times New Roman" w:eastAsia="Calibri" w:hAnsi="Times New Roman" w:cs="Times New Roman"/>
          <w:sz w:val="24"/>
          <w:szCs w:val="24"/>
        </w:rPr>
        <w:t>manoeuvring</w:t>
      </w:r>
      <w:r>
        <w:rPr>
          <w:rFonts w:ascii="Times New Roman" w:eastAsia="Calibri" w:hAnsi="Times New Roman" w:cs="Times New Roman"/>
          <w:sz w:val="24"/>
          <w:szCs w:val="24"/>
        </w:rPr>
        <w:t xml:space="preserve"> to assess the degree of volition in the victim’s actions has resulted in the</w:t>
      </w:r>
      <w:r w:rsidR="00E2751A">
        <w:rPr>
          <w:rFonts w:ascii="Times New Roman" w:eastAsia="Calibri" w:hAnsi="Times New Roman" w:cs="Times New Roman"/>
          <w:sz w:val="24"/>
          <w:szCs w:val="24"/>
        </w:rPr>
        <w:t xml:space="preserve"> biding</w:t>
      </w:r>
      <w:r>
        <w:rPr>
          <w:rFonts w:ascii="Times New Roman" w:eastAsia="Calibri" w:hAnsi="Times New Roman" w:cs="Times New Roman"/>
          <w:sz w:val="24"/>
          <w:szCs w:val="24"/>
        </w:rPr>
        <w:t xml:space="preserve"> precedent</w:t>
      </w:r>
      <w:r w:rsidR="00BE21CF">
        <w:rPr>
          <w:rFonts w:ascii="Times New Roman" w:eastAsia="Calibri" w:hAnsi="Times New Roman" w:cs="Times New Roman"/>
          <w:sz w:val="24"/>
          <w:szCs w:val="24"/>
        </w:rPr>
        <w:t xml:space="preserve"> from </w:t>
      </w:r>
      <w:r w:rsidR="00BE21CF" w:rsidRPr="00BE21CF">
        <w:rPr>
          <w:rFonts w:ascii="Times New Roman" w:eastAsia="Calibri" w:hAnsi="Times New Roman" w:cs="Times New Roman"/>
          <w:i/>
          <w:iCs/>
          <w:sz w:val="24"/>
          <w:szCs w:val="24"/>
        </w:rPr>
        <w:t>R v Kennedy</w:t>
      </w:r>
      <w:r>
        <w:rPr>
          <w:rFonts w:ascii="Times New Roman" w:eastAsia="Calibri" w:hAnsi="Times New Roman" w:cs="Times New Roman"/>
          <w:sz w:val="24"/>
          <w:szCs w:val="24"/>
        </w:rPr>
        <w:t xml:space="preserve"> being avoided.  The outcome is that one person who has voluntarily chosen euthanasia,</w:t>
      </w:r>
      <w:r>
        <w:rPr>
          <w:rStyle w:val="EndnoteReference"/>
          <w:rFonts w:ascii="Times New Roman" w:eastAsia="Calibri" w:hAnsi="Times New Roman" w:cs="Times New Roman"/>
          <w:sz w:val="24"/>
          <w:szCs w:val="24"/>
        </w:rPr>
        <w:endnoteReference w:id="88"/>
      </w:r>
      <w:r>
        <w:rPr>
          <w:rFonts w:ascii="Times New Roman" w:eastAsia="Calibri" w:hAnsi="Times New Roman" w:cs="Times New Roman"/>
          <w:sz w:val="24"/>
          <w:szCs w:val="24"/>
        </w:rPr>
        <w:t xml:space="preserve"> and another who has voluntarily poured and drunk whisky,</w:t>
      </w:r>
      <w:r>
        <w:rPr>
          <w:rStyle w:val="EndnoteReference"/>
          <w:rFonts w:ascii="Times New Roman" w:eastAsia="Calibri" w:hAnsi="Times New Roman" w:cs="Times New Roman"/>
          <w:sz w:val="24"/>
          <w:szCs w:val="24"/>
        </w:rPr>
        <w:endnoteReference w:id="89"/>
      </w:r>
      <w:r>
        <w:rPr>
          <w:rFonts w:ascii="Times New Roman" w:eastAsia="Calibri" w:hAnsi="Times New Roman" w:cs="Times New Roman"/>
          <w:sz w:val="24"/>
          <w:szCs w:val="24"/>
        </w:rPr>
        <w:t xml:space="preserve"> are deemed to have acted involuntarily and thus not broken the chain of causation.  Their actions whilst appearing from the facts to be voluntary are found to be legally involuntary.  Whilst the former case is perhaps justifiable as the defendant started the chain of causation by causing the victim life-changing injuries, the latter is unsound as all the defendant’s actions amounted to were </w:t>
      </w:r>
      <w:r w:rsidR="00E2751A">
        <w:rPr>
          <w:rFonts w:ascii="Times New Roman" w:eastAsia="Calibri" w:hAnsi="Times New Roman" w:cs="Times New Roman"/>
          <w:sz w:val="24"/>
          <w:szCs w:val="24"/>
        </w:rPr>
        <w:t xml:space="preserve">legally </w:t>
      </w:r>
      <w:r>
        <w:rPr>
          <w:rFonts w:ascii="Times New Roman" w:eastAsia="Calibri" w:hAnsi="Times New Roman" w:cs="Times New Roman"/>
          <w:sz w:val="24"/>
          <w:szCs w:val="24"/>
        </w:rPr>
        <w:t xml:space="preserve">supplying a bottle of whisky.  </w:t>
      </w:r>
    </w:p>
    <w:p w14:paraId="25FCC6EB" w14:textId="77777777" w:rsidR="0059443B" w:rsidRDefault="0059443B" w:rsidP="005A62CC">
      <w:pPr>
        <w:spacing w:line="360" w:lineRule="auto"/>
        <w:contextualSpacing/>
        <w:jc w:val="both"/>
        <w:rPr>
          <w:rFonts w:ascii="Times New Roman" w:eastAsia="Calibri" w:hAnsi="Times New Roman" w:cs="Times New Roman"/>
          <w:sz w:val="24"/>
          <w:szCs w:val="24"/>
        </w:rPr>
      </w:pPr>
    </w:p>
    <w:p w14:paraId="76EFC2B3" w14:textId="0F499ADA" w:rsidR="00D64C35" w:rsidRDefault="004047D3" w:rsidP="005A62CC">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judgment in </w:t>
      </w:r>
      <w:r>
        <w:rPr>
          <w:rFonts w:ascii="Times New Roman" w:eastAsia="Calibri" w:hAnsi="Times New Roman" w:cs="Times New Roman"/>
          <w:i/>
          <w:iCs/>
          <w:sz w:val="24"/>
          <w:szCs w:val="24"/>
        </w:rPr>
        <w:t>R v Field</w:t>
      </w:r>
      <w:r>
        <w:rPr>
          <w:rFonts w:ascii="Times New Roman" w:eastAsia="Calibri" w:hAnsi="Times New Roman" w:cs="Times New Roman"/>
          <w:sz w:val="24"/>
          <w:szCs w:val="24"/>
        </w:rPr>
        <w:t xml:space="preserve"> justifies this outcome by explaining that the defendant’s hidden intentions changed the nature of the act.</w:t>
      </w:r>
      <w:r>
        <w:rPr>
          <w:rStyle w:val="EndnoteReference"/>
          <w:rFonts w:ascii="Times New Roman" w:eastAsia="Calibri" w:hAnsi="Times New Roman" w:cs="Times New Roman"/>
          <w:sz w:val="24"/>
          <w:szCs w:val="24"/>
        </w:rPr>
        <w:endnoteReference w:id="90"/>
      </w:r>
      <w:r>
        <w:rPr>
          <w:rFonts w:ascii="Times New Roman" w:eastAsia="Calibri" w:hAnsi="Times New Roman" w:cs="Times New Roman"/>
          <w:sz w:val="24"/>
          <w:szCs w:val="24"/>
        </w:rPr>
        <w:t xml:space="preserve">  The act, however, did not change.  The whisky was still the same whisky it always was, and no secret or deception was made as to the contents of the glass that the victim voluntarily drank from.  As such, the legal reasoning in </w:t>
      </w:r>
      <w:r>
        <w:rPr>
          <w:rFonts w:ascii="Times New Roman" w:eastAsia="Calibri" w:hAnsi="Times New Roman" w:cs="Times New Roman"/>
          <w:i/>
          <w:iCs/>
          <w:sz w:val="24"/>
          <w:szCs w:val="24"/>
        </w:rPr>
        <w:t xml:space="preserve">R v </w:t>
      </w:r>
      <w:r w:rsidRPr="009D1F9E">
        <w:rPr>
          <w:rFonts w:ascii="Times New Roman" w:eastAsia="Calibri" w:hAnsi="Times New Roman" w:cs="Times New Roman"/>
          <w:i/>
          <w:iCs/>
          <w:sz w:val="24"/>
          <w:szCs w:val="24"/>
        </w:rPr>
        <w:t>Field</w:t>
      </w:r>
      <w:r>
        <w:rPr>
          <w:rFonts w:ascii="Times New Roman" w:eastAsia="Calibri" w:hAnsi="Times New Roman" w:cs="Times New Roman"/>
          <w:sz w:val="24"/>
          <w:szCs w:val="24"/>
        </w:rPr>
        <w:t xml:space="preserve"> has complicated the issue of causation; an already complex area of law.</w:t>
      </w:r>
      <w:r>
        <w:rPr>
          <w:rStyle w:val="EndnoteReference"/>
          <w:rFonts w:ascii="Times New Roman" w:eastAsia="Calibri" w:hAnsi="Times New Roman" w:cs="Times New Roman"/>
          <w:sz w:val="24"/>
          <w:szCs w:val="24"/>
        </w:rPr>
        <w:endnoteReference w:id="91"/>
      </w:r>
      <w:r>
        <w:rPr>
          <w:rFonts w:ascii="Times New Roman" w:eastAsia="Calibri" w:hAnsi="Times New Roman" w:cs="Times New Roman"/>
          <w:sz w:val="24"/>
          <w:szCs w:val="24"/>
        </w:rPr>
        <w:t xml:space="preserve"> </w:t>
      </w:r>
      <w:r w:rsidR="007B2115">
        <w:rPr>
          <w:rFonts w:ascii="Times New Roman" w:eastAsia="Calibri" w:hAnsi="Times New Roman" w:cs="Times New Roman"/>
          <w:sz w:val="24"/>
          <w:szCs w:val="24"/>
        </w:rPr>
        <w:t xml:space="preserve"> This problem will </w:t>
      </w:r>
      <w:r w:rsidR="007B2115">
        <w:rPr>
          <w:rFonts w:ascii="Times New Roman" w:eastAsia="Calibri" w:hAnsi="Times New Roman" w:cs="Times New Roman"/>
          <w:sz w:val="24"/>
          <w:szCs w:val="24"/>
        </w:rPr>
        <w:lastRenderedPageBreak/>
        <w:t xml:space="preserve">continue to exist until the </w:t>
      </w:r>
      <w:r w:rsidR="00D5566A">
        <w:rPr>
          <w:rFonts w:ascii="Times New Roman" w:eastAsia="Calibri" w:hAnsi="Times New Roman" w:cs="Times New Roman"/>
          <w:sz w:val="24"/>
          <w:szCs w:val="24"/>
        </w:rPr>
        <w:t>precedent</w:t>
      </w:r>
      <w:r w:rsidR="007B2115">
        <w:rPr>
          <w:rFonts w:ascii="Times New Roman" w:eastAsia="Calibri" w:hAnsi="Times New Roman" w:cs="Times New Roman"/>
          <w:sz w:val="24"/>
          <w:szCs w:val="24"/>
        </w:rPr>
        <w:t xml:space="preserve"> in </w:t>
      </w:r>
      <w:r w:rsidR="001A2BEF">
        <w:rPr>
          <w:rFonts w:ascii="Times New Roman" w:eastAsia="Calibri" w:hAnsi="Times New Roman" w:cs="Times New Roman"/>
          <w:i/>
          <w:iCs/>
          <w:sz w:val="24"/>
          <w:szCs w:val="24"/>
        </w:rPr>
        <w:t xml:space="preserve">R v </w:t>
      </w:r>
      <w:r w:rsidR="007B2115">
        <w:rPr>
          <w:rFonts w:ascii="Times New Roman" w:eastAsia="Calibri" w:hAnsi="Times New Roman" w:cs="Times New Roman"/>
          <w:i/>
          <w:iCs/>
          <w:sz w:val="24"/>
          <w:szCs w:val="24"/>
        </w:rPr>
        <w:t xml:space="preserve">Kennedy </w:t>
      </w:r>
      <w:r w:rsidR="007B2115">
        <w:rPr>
          <w:rFonts w:ascii="Times New Roman" w:eastAsia="Calibri" w:hAnsi="Times New Roman" w:cs="Times New Roman"/>
          <w:sz w:val="24"/>
          <w:szCs w:val="24"/>
        </w:rPr>
        <w:t>is</w:t>
      </w:r>
      <w:r w:rsidR="00D5566A">
        <w:rPr>
          <w:rFonts w:ascii="Times New Roman" w:eastAsia="Calibri" w:hAnsi="Times New Roman" w:cs="Times New Roman"/>
          <w:sz w:val="24"/>
          <w:szCs w:val="24"/>
        </w:rPr>
        <w:t xml:space="preserve"> more strictly adhered to</w:t>
      </w:r>
      <w:r w:rsidR="00E2751A">
        <w:rPr>
          <w:rFonts w:ascii="Times New Roman" w:eastAsia="Calibri" w:hAnsi="Times New Roman" w:cs="Times New Roman"/>
          <w:sz w:val="24"/>
          <w:szCs w:val="24"/>
        </w:rPr>
        <w:t>,</w:t>
      </w:r>
      <w:r w:rsidR="00D5566A">
        <w:rPr>
          <w:rFonts w:ascii="Times New Roman" w:eastAsia="Calibri" w:hAnsi="Times New Roman" w:cs="Times New Roman"/>
          <w:sz w:val="24"/>
          <w:szCs w:val="24"/>
        </w:rPr>
        <w:t xml:space="preserve"> or the rule </w:t>
      </w:r>
      <w:r w:rsidR="001A1476">
        <w:rPr>
          <w:rFonts w:ascii="Times New Roman" w:eastAsia="Calibri" w:hAnsi="Times New Roman" w:cs="Times New Roman"/>
          <w:sz w:val="24"/>
          <w:szCs w:val="24"/>
        </w:rPr>
        <w:t xml:space="preserve">is </w:t>
      </w:r>
      <w:r w:rsidR="007B2115">
        <w:rPr>
          <w:rFonts w:ascii="Times New Roman" w:eastAsia="Calibri" w:hAnsi="Times New Roman" w:cs="Times New Roman"/>
          <w:sz w:val="24"/>
          <w:szCs w:val="24"/>
        </w:rPr>
        <w:t>reformulated</w:t>
      </w:r>
      <w:r w:rsidR="00D5566A">
        <w:rPr>
          <w:rFonts w:ascii="Times New Roman" w:eastAsia="Calibri" w:hAnsi="Times New Roman" w:cs="Times New Roman"/>
          <w:sz w:val="24"/>
          <w:szCs w:val="24"/>
        </w:rPr>
        <w:t xml:space="preserve"> to allow greater flexibility without linguistic gymnastics</w:t>
      </w:r>
      <w:r w:rsidR="001B2824">
        <w:rPr>
          <w:rFonts w:ascii="Times New Roman" w:eastAsia="Calibri" w:hAnsi="Times New Roman" w:cs="Times New Roman"/>
          <w:sz w:val="24"/>
          <w:szCs w:val="24"/>
        </w:rPr>
        <w:t xml:space="preserve"> to make voluntary actions involuntary</w:t>
      </w:r>
      <w:r w:rsidR="00D5566A">
        <w:rPr>
          <w:rFonts w:ascii="Times New Roman" w:eastAsia="Calibri" w:hAnsi="Times New Roman" w:cs="Times New Roman"/>
          <w:sz w:val="24"/>
          <w:szCs w:val="24"/>
        </w:rPr>
        <w:t>.</w:t>
      </w:r>
      <w:r w:rsidR="007B2115">
        <w:rPr>
          <w:rFonts w:ascii="Times New Roman" w:eastAsia="Calibri" w:hAnsi="Times New Roman" w:cs="Times New Roman"/>
          <w:sz w:val="24"/>
          <w:szCs w:val="24"/>
        </w:rPr>
        <w:t xml:space="preserve"> </w:t>
      </w:r>
      <w:r w:rsidR="009D1F9E">
        <w:rPr>
          <w:rFonts w:ascii="Times New Roman" w:eastAsia="Calibri" w:hAnsi="Times New Roman" w:cs="Times New Roman"/>
          <w:sz w:val="24"/>
          <w:szCs w:val="24"/>
        </w:rPr>
        <w:t xml:space="preserve">  Whilst it may not be a solution for all cases, </w:t>
      </w:r>
      <w:r w:rsidR="00324378">
        <w:rPr>
          <w:rFonts w:ascii="Times New Roman" w:eastAsia="Calibri" w:hAnsi="Times New Roman" w:cs="Times New Roman"/>
          <w:sz w:val="24"/>
          <w:szCs w:val="24"/>
        </w:rPr>
        <w:t xml:space="preserve">in </w:t>
      </w:r>
      <w:r w:rsidR="00D5566A">
        <w:rPr>
          <w:rFonts w:ascii="Times New Roman" w:eastAsia="Calibri" w:hAnsi="Times New Roman" w:cs="Times New Roman"/>
          <w:i/>
          <w:iCs/>
          <w:sz w:val="24"/>
          <w:szCs w:val="24"/>
        </w:rPr>
        <w:t>R v Field</w:t>
      </w:r>
      <w:r w:rsidR="00324378">
        <w:rPr>
          <w:rFonts w:ascii="Times New Roman" w:eastAsia="Calibri" w:hAnsi="Times New Roman" w:cs="Times New Roman"/>
          <w:sz w:val="24"/>
          <w:szCs w:val="24"/>
        </w:rPr>
        <w:t>,</w:t>
      </w:r>
      <w:r w:rsidR="00D64C35">
        <w:rPr>
          <w:rFonts w:ascii="Times New Roman" w:eastAsia="Calibri" w:hAnsi="Times New Roman" w:cs="Times New Roman"/>
          <w:sz w:val="24"/>
          <w:szCs w:val="24"/>
        </w:rPr>
        <w:t xml:space="preserve"> the law could have been </w:t>
      </w:r>
      <w:r w:rsidR="003F4DA4">
        <w:rPr>
          <w:rFonts w:ascii="Times New Roman" w:eastAsia="Calibri" w:hAnsi="Times New Roman" w:cs="Times New Roman"/>
          <w:sz w:val="24"/>
          <w:szCs w:val="24"/>
        </w:rPr>
        <w:t>constructed more clearly</w:t>
      </w:r>
      <w:r w:rsidR="00D64C35">
        <w:rPr>
          <w:rFonts w:ascii="Times New Roman" w:eastAsia="Calibri" w:hAnsi="Times New Roman" w:cs="Times New Roman"/>
          <w:sz w:val="24"/>
          <w:szCs w:val="24"/>
        </w:rPr>
        <w:t xml:space="preserve"> by </w:t>
      </w:r>
      <w:r w:rsidR="00324378">
        <w:rPr>
          <w:rFonts w:ascii="Times New Roman" w:eastAsia="Calibri" w:hAnsi="Times New Roman" w:cs="Times New Roman"/>
          <w:sz w:val="24"/>
          <w:szCs w:val="24"/>
        </w:rPr>
        <w:t>considering liability for the defendant’s</w:t>
      </w:r>
      <w:r w:rsidR="00D64C35">
        <w:rPr>
          <w:rFonts w:ascii="Times New Roman" w:eastAsia="Calibri" w:hAnsi="Times New Roman" w:cs="Times New Roman"/>
          <w:sz w:val="24"/>
          <w:szCs w:val="24"/>
        </w:rPr>
        <w:t xml:space="preserve"> omission</w:t>
      </w:r>
      <w:r w:rsidR="00324378">
        <w:rPr>
          <w:rFonts w:ascii="Times New Roman" w:eastAsia="Calibri" w:hAnsi="Times New Roman" w:cs="Times New Roman"/>
          <w:sz w:val="24"/>
          <w:szCs w:val="24"/>
        </w:rPr>
        <w:t xml:space="preserve"> to help the defendant after </w:t>
      </w:r>
      <w:r w:rsidR="001E1BB9">
        <w:rPr>
          <w:rFonts w:ascii="Times New Roman" w:eastAsia="Calibri" w:hAnsi="Times New Roman" w:cs="Times New Roman"/>
          <w:sz w:val="24"/>
          <w:szCs w:val="24"/>
        </w:rPr>
        <w:t xml:space="preserve">establishing </w:t>
      </w:r>
      <w:r w:rsidR="00324378">
        <w:rPr>
          <w:rFonts w:ascii="Times New Roman" w:eastAsia="Calibri" w:hAnsi="Times New Roman" w:cs="Times New Roman"/>
          <w:sz w:val="24"/>
          <w:szCs w:val="24"/>
        </w:rPr>
        <w:t xml:space="preserve">a duty of care </w:t>
      </w:r>
      <w:r w:rsidR="001E1BB9">
        <w:rPr>
          <w:rFonts w:ascii="Times New Roman" w:eastAsia="Calibri" w:hAnsi="Times New Roman" w:cs="Times New Roman"/>
          <w:sz w:val="24"/>
          <w:szCs w:val="24"/>
        </w:rPr>
        <w:t xml:space="preserve">was owed to </w:t>
      </w:r>
      <w:r w:rsidR="00324378">
        <w:rPr>
          <w:rFonts w:ascii="Times New Roman" w:eastAsia="Calibri" w:hAnsi="Times New Roman" w:cs="Times New Roman"/>
          <w:sz w:val="24"/>
          <w:szCs w:val="24"/>
        </w:rPr>
        <w:t>him</w:t>
      </w:r>
      <w:r w:rsidR="00D64C35">
        <w:rPr>
          <w:rFonts w:ascii="Times New Roman" w:eastAsia="Calibri" w:hAnsi="Times New Roman" w:cs="Times New Roman"/>
          <w:sz w:val="24"/>
          <w:szCs w:val="24"/>
        </w:rPr>
        <w:t>.</w:t>
      </w:r>
      <w:r w:rsidR="00C21C9D">
        <w:rPr>
          <w:rFonts w:ascii="Times New Roman" w:eastAsia="Calibri" w:hAnsi="Times New Roman" w:cs="Times New Roman"/>
          <w:sz w:val="24"/>
          <w:szCs w:val="24"/>
        </w:rPr>
        <w:t xml:space="preserve">  </w:t>
      </w:r>
      <w:r w:rsidR="00E2751A">
        <w:rPr>
          <w:rFonts w:ascii="Times New Roman" w:eastAsia="Calibri" w:hAnsi="Times New Roman" w:cs="Times New Roman"/>
          <w:sz w:val="24"/>
          <w:szCs w:val="24"/>
        </w:rPr>
        <w:t>As it was this omission that led to the victim’s death, not the defendant’s actions.</w:t>
      </w:r>
    </w:p>
    <w:p w14:paraId="7D63EB41" w14:textId="77777777" w:rsidR="00780441" w:rsidRPr="00780441" w:rsidRDefault="00780441" w:rsidP="005A62CC">
      <w:pPr>
        <w:spacing w:line="360" w:lineRule="auto"/>
        <w:contextualSpacing/>
        <w:jc w:val="both"/>
        <w:rPr>
          <w:rFonts w:ascii="Times New Roman" w:eastAsia="Calibri" w:hAnsi="Times New Roman" w:cs="Times New Roman"/>
          <w:sz w:val="24"/>
          <w:szCs w:val="24"/>
        </w:rPr>
      </w:pPr>
    </w:p>
    <w:sectPr w:rsidR="00780441" w:rsidRPr="00780441" w:rsidSect="00BF0239">
      <w:footnotePr>
        <w:numRestart w:val="eachSect"/>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AFB52" w14:textId="77777777" w:rsidR="00900C4D" w:rsidRDefault="00900C4D" w:rsidP="00C632D2">
      <w:pPr>
        <w:spacing w:after="0" w:line="240" w:lineRule="auto"/>
      </w:pPr>
      <w:r>
        <w:separator/>
      </w:r>
    </w:p>
  </w:endnote>
  <w:endnote w:type="continuationSeparator" w:id="0">
    <w:p w14:paraId="711B7EE4" w14:textId="77777777" w:rsidR="00900C4D" w:rsidRDefault="00900C4D" w:rsidP="00C632D2">
      <w:pPr>
        <w:spacing w:after="0" w:line="240" w:lineRule="auto"/>
      </w:pPr>
      <w:r>
        <w:continuationSeparator/>
      </w:r>
    </w:p>
  </w:endnote>
  <w:endnote w:type="continuationNotice" w:id="1">
    <w:p w14:paraId="14D5F832" w14:textId="77777777" w:rsidR="00900C4D" w:rsidRDefault="00900C4D">
      <w:pPr>
        <w:spacing w:after="0" w:line="240" w:lineRule="auto"/>
      </w:pPr>
    </w:p>
  </w:endnote>
  <w:endnote w:id="2">
    <w:p w14:paraId="4B908284" w14:textId="4D79F8DD" w:rsidR="00B67D83" w:rsidRPr="00921D53" w:rsidRDefault="00B67D83" w:rsidP="00B67D83">
      <w:pPr>
        <w:pStyle w:val="EndnoteText"/>
      </w:pPr>
      <w:r w:rsidRPr="00DC0440">
        <w:rPr>
          <w:rStyle w:val="EndnoteReference"/>
        </w:rPr>
        <w:endnoteRef/>
      </w:r>
      <w:r w:rsidRPr="00DC0440">
        <w:t xml:space="preserve"> </w:t>
      </w:r>
      <w:r>
        <w:t>For example, s</w:t>
      </w:r>
      <w:r w:rsidRPr="00020740">
        <w:t>ee</w:t>
      </w:r>
      <w:r>
        <w:t xml:space="preserve"> </w:t>
      </w:r>
      <w:r w:rsidRPr="00020740">
        <w:t xml:space="preserve">HLA Hart, </w:t>
      </w:r>
      <w:r w:rsidRPr="00020740">
        <w:rPr>
          <w:i/>
          <w:iCs/>
        </w:rPr>
        <w:t>Punishment and Responsibility: Essays in the Philosophy of Law</w:t>
      </w:r>
      <w:r>
        <w:t xml:space="preserve"> (</w:t>
      </w:r>
      <w:r w:rsidRPr="00020740">
        <w:t>2</w:t>
      </w:r>
      <w:r w:rsidRPr="00020740">
        <w:rPr>
          <w:vertAlign w:val="superscript"/>
        </w:rPr>
        <w:t>nd</w:t>
      </w:r>
      <w:r w:rsidRPr="00020740">
        <w:t xml:space="preserve"> edn</w:t>
      </w:r>
      <w:r>
        <w:t>,</w:t>
      </w:r>
      <w:r w:rsidRPr="00020740">
        <w:t xml:space="preserve"> Oxford University Press 2008), 90</w:t>
      </w:r>
      <w:r>
        <w:t xml:space="preserve"> who states that he ‘cannot find in any legal writings any clear or credible account of what it is for conduct to be voluntary’;  and AP Simester, ‘</w:t>
      </w:r>
      <w:r w:rsidRPr="007C636E">
        <w:t>On the So-called Requirements for Voluntary Action</w:t>
      </w:r>
      <w:r>
        <w:t>’ [1998] Buffalo Criminal Law Review 403 at 405 who states that ‘the voluntary act requirement is in need of elucidation’.</w:t>
      </w:r>
    </w:p>
  </w:endnote>
  <w:endnote w:id="3">
    <w:p w14:paraId="6823789F" w14:textId="5724A73F" w:rsidR="004047D3" w:rsidRPr="00C44D22" w:rsidRDefault="004047D3">
      <w:pPr>
        <w:pStyle w:val="EndnoteText"/>
      </w:pPr>
      <w:r w:rsidRPr="00C44D22">
        <w:rPr>
          <w:rStyle w:val="EndnoteReference"/>
        </w:rPr>
        <w:endnoteRef/>
      </w:r>
      <w:r w:rsidRPr="00C44D22">
        <w:t xml:space="preserve"> </w:t>
      </w:r>
      <w:r w:rsidRPr="00C44D22">
        <w:rPr>
          <w:shd w:val="clear" w:color="auto" w:fill="FFFFFF"/>
        </w:rPr>
        <w:t>HLA</w:t>
      </w:r>
      <w:r>
        <w:rPr>
          <w:shd w:val="clear" w:color="auto" w:fill="FFFFFF"/>
        </w:rPr>
        <w:t xml:space="preserve"> H</w:t>
      </w:r>
      <w:r w:rsidRPr="00C44D22">
        <w:rPr>
          <w:shd w:val="clear" w:color="auto" w:fill="FFFFFF"/>
        </w:rPr>
        <w:t>art and A Honoré, </w:t>
      </w:r>
      <w:r w:rsidRPr="00C44D22">
        <w:rPr>
          <w:rStyle w:val="Emphasis"/>
          <w:bdr w:val="none" w:sz="0" w:space="0" w:color="auto" w:frame="1"/>
          <w:shd w:val="clear" w:color="auto" w:fill="FFFFFF"/>
        </w:rPr>
        <w:t>Causation in the Law</w:t>
      </w:r>
      <w:r>
        <w:rPr>
          <w:rStyle w:val="Emphasis"/>
          <w:i w:val="0"/>
          <w:iCs w:val="0"/>
          <w:bdr w:val="none" w:sz="0" w:space="0" w:color="auto" w:frame="1"/>
          <w:shd w:val="clear" w:color="auto" w:fill="FFFFFF"/>
        </w:rPr>
        <w:t xml:space="preserve"> </w:t>
      </w:r>
      <w:r>
        <w:rPr>
          <w:shd w:val="clear" w:color="auto" w:fill="FFFFFF"/>
        </w:rPr>
        <w:t>(</w:t>
      </w:r>
      <w:r w:rsidRPr="00C44D22">
        <w:rPr>
          <w:shd w:val="clear" w:color="auto" w:fill="FFFFFF"/>
        </w:rPr>
        <w:t>2nd edn (Oxford University Press 1985), 2.</w:t>
      </w:r>
    </w:p>
  </w:endnote>
  <w:endnote w:id="4">
    <w:p w14:paraId="2A6FADD8" w14:textId="62585C48" w:rsidR="004047D3" w:rsidRDefault="004047D3">
      <w:pPr>
        <w:pStyle w:val="EndnoteText"/>
      </w:pPr>
      <w:r w:rsidRPr="00C44D22">
        <w:rPr>
          <w:rStyle w:val="EndnoteReference"/>
        </w:rPr>
        <w:endnoteRef/>
      </w:r>
      <w:r w:rsidRPr="00C44D22">
        <w:t xml:space="preserve"> </w:t>
      </w:r>
      <w:r w:rsidRPr="00C44D22">
        <w:rPr>
          <w:i/>
          <w:iCs/>
        </w:rPr>
        <w:t xml:space="preserve">R v Field </w:t>
      </w:r>
      <w:r w:rsidRPr="00C44D22">
        <w:t>[2021] EWCA Crim 3</w:t>
      </w:r>
      <w:r w:rsidR="00D0601F">
        <w:t>80</w:t>
      </w:r>
      <w:r>
        <w:t>.</w:t>
      </w:r>
    </w:p>
  </w:endnote>
  <w:endnote w:id="5">
    <w:p w14:paraId="0ACE0A30" w14:textId="57F58363" w:rsidR="00E3439C" w:rsidRDefault="00E3439C">
      <w:pPr>
        <w:pStyle w:val="EndnoteText"/>
      </w:pPr>
      <w:r>
        <w:rPr>
          <w:rStyle w:val="EndnoteReference"/>
        </w:rPr>
        <w:endnoteRef/>
      </w:r>
      <w:r>
        <w:t xml:space="preserve"> </w:t>
      </w:r>
      <w:r>
        <w:rPr>
          <w:i/>
          <w:iCs/>
        </w:rPr>
        <w:t xml:space="preserve">R v Wallace </w:t>
      </w:r>
      <w:r>
        <w:t>[2018] EWCA Crim 690.</w:t>
      </w:r>
    </w:p>
  </w:endnote>
  <w:endnote w:id="6">
    <w:p w14:paraId="51B855E6" w14:textId="217D9181" w:rsidR="00045765" w:rsidRDefault="00045765">
      <w:pPr>
        <w:pStyle w:val="EndnoteText"/>
      </w:pPr>
      <w:r>
        <w:rPr>
          <w:rStyle w:val="EndnoteReference"/>
        </w:rPr>
        <w:endnoteRef/>
      </w:r>
      <w:r>
        <w:t xml:space="preserve"> </w:t>
      </w:r>
      <w:r w:rsidR="00586CFB">
        <w:t>See</w:t>
      </w:r>
      <w:r w:rsidR="00586CFB">
        <w:rPr>
          <w:i/>
          <w:iCs/>
        </w:rPr>
        <w:t xml:space="preserve"> Field </w:t>
      </w:r>
      <w:r w:rsidR="00586CFB">
        <w:t>[2021], above n. 3.</w:t>
      </w:r>
    </w:p>
  </w:endnote>
  <w:endnote w:id="7">
    <w:p w14:paraId="12613E5E" w14:textId="1D562240" w:rsidR="00837792" w:rsidRPr="00BA7B25" w:rsidRDefault="00837792" w:rsidP="00837792">
      <w:pPr>
        <w:pStyle w:val="EndnoteText"/>
        <w:rPr>
          <w:i/>
          <w:iCs/>
        </w:rPr>
      </w:pPr>
      <w:r w:rsidRPr="00FD74CB">
        <w:rPr>
          <w:vertAlign w:val="superscript"/>
        </w:rPr>
        <w:endnoteRef/>
      </w:r>
      <w:r>
        <w:t xml:space="preserve"> See </w:t>
      </w:r>
      <w:r w:rsidRPr="00565DB2">
        <w:t>Hart,</w:t>
      </w:r>
      <w:r>
        <w:t xml:space="preserve"> above n. </w:t>
      </w:r>
      <w:r w:rsidR="00586CFB">
        <w:t>1</w:t>
      </w:r>
      <w:r>
        <w:t xml:space="preserve"> at </w:t>
      </w:r>
      <w:r w:rsidRPr="00565DB2">
        <w:t>90</w:t>
      </w:r>
      <w:r>
        <w:t xml:space="preserve">; </w:t>
      </w:r>
      <w:r w:rsidRPr="00C44D22">
        <w:t>Jeremy</w:t>
      </w:r>
      <w:r w:rsidRPr="006D210E">
        <w:t xml:space="preserve"> Horder, </w:t>
      </w:r>
      <w:r w:rsidRPr="006D210E">
        <w:rPr>
          <w:i/>
          <w:iCs/>
        </w:rPr>
        <w:t>Ashworth’s Principles of Criminal Law</w:t>
      </w:r>
      <w:r>
        <w:t xml:space="preserve"> (</w:t>
      </w:r>
      <w:r w:rsidRPr="006D210E">
        <w:t>10</w:t>
      </w:r>
      <w:r w:rsidRPr="006D210E">
        <w:rPr>
          <w:vertAlign w:val="superscript"/>
        </w:rPr>
        <w:t>th</w:t>
      </w:r>
      <w:r w:rsidRPr="006D210E">
        <w:t xml:space="preserve"> edn</w:t>
      </w:r>
      <w:r>
        <w:t>,</w:t>
      </w:r>
      <w:r w:rsidRPr="006D210E">
        <w:t xml:space="preserve"> Oxford University Press 2022)</w:t>
      </w:r>
      <w:r>
        <w:t xml:space="preserve">, </w:t>
      </w:r>
      <w:r w:rsidRPr="006D210E">
        <w:t>76</w:t>
      </w:r>
      <w:r w:rsidRPr="00565DB2">
        <w:t>;</w:t>
      </w:r>
      <w:r>
        <w:t xml:space="preserve"> See Simester, above n. </w:t>
      </w:r>
      <w:r w:rsidR="00586CFB">
        <w:t>1</w:t>
      </w:r>
      <w:r>
        <w:t xml:space="preserve"> at 404-407; JA Stephen, History of the Criminal Law of England (Vol II Macmillan 1883), </w:t>
      </w:r>
      <w:r>
        <w:rPr>
          <w:rFonts w:cs="Arial"/>
        </w:rPr>
        <w:t xml:space="preserve">97; </w:t>
      </w:r>
      <w:r w:rsidRPr="00ED5D8D">
        <w:rPr>
          <w:rFonts w:cs="Arial"/>
        </w:rPr>
        <w:t xml:space="preserve">JW Turner, </w:t>
      </w:r>
      <w:r w:rsidRPr="00ED5D8D">
        <w:rPr>
          <w:rFonts w:cs="Arial"/>
          <w:i/>
          <w:iCs/>
        </w:rPr>
        <w:t>Kenny’s Outlines of Criminal Law</w:t>
      </w:r>
      <w:r w:rsidRPr="00ED5D8D">
        <w:rPr>
          <w:rFonts w:cs="Arial"/>
        </w:rPr>
        <w:t xml:space="preserve"> </w:t>
      </w:r>
      <w:r>
        <w:rPr>
          <w:rFonts w:cs="Arial"/>
        </w:rPr>
        <w:t>(</w:t>
      </w:r>
      <w:r w:rsidRPr="00ED5D8D">
        <w:rPr>
          <w:rFonts w:cs="Arial"/>
        </w:rPr>
        <w:t>17</w:t>
      </w:r>
      <w:r w:rsidRPr="00ED5D8D">
        <w:rPr>
          <w:rFonts w:cs="Arial"/>
          <w:vertAlign w:val="superscript"/>
        </w:rPr>
        <w:t>th</w:t>
      </w:r>
      <w:r w:rsidRPr="00ED5D8D">
        <w:rPr>
          <w:rFonts w:cs="Arial"/>
        </w:rPr>
        <w:t xml:space="preserve"> Edn, Cambridge University Press 1953), 26-27</w:t>
      </w:r>
      <w:r w:rsidRPr="00565DB2">
        <w:rPr>
          <w:rFonts w:cs="Arial"/>
        </w:rPr>
        <w:t xml:space="preserve">; </w:t>
      </w:r>
      <w:r w:rsidRPr="004B5AFB">
        <w:t>N</w:t>
      </w:r>
      <w:r w:rsidRPr="006202BA">
        <w:t xml:space="preserve"> Walker, </w:t>
      </w:r>
      <w:r w:rsidRPr="006202BA">
        <w:rPr>
          <w:i/>
        </w:rPr>
        <w:t>Why Punish?</w:t>
      </w:r>
      <w:r w:rsidRPr="006202BA">
        <w:t xml:space="preserve"> (Oxford University Press 1991)</w:t>
      </w:r>
      <w:r>
        <w:t xml:space="preserve">, </w:t>
      </w:r>
      <w:r w:rsidRPr="00BC2BDF">
        <w:t>1-3</w:t>
      </w:r>
      <w:r>
        <w:t>.</w:t>
      </w:r>
    </w:p>
  </w:endnote>
  <w:endnote w:id="8">
    <w:p w14:paraId="37A2686D" w14:textId="77777777" w:rsidR="00837792" w:rsidRPr="00155A67" w:rsidRDefault="00837792" w:rsidP="00837792">
      <w:pPr>
        <w:pStyle w:val="EndnoteText"/>
      </w:pPr>
      <w:r>
        <w:rPr>
          <w:rStyle w:val="EndnoteReference"/>
        </w:rPr>
        <w:endnoteRef/>
      </w:r>
      <w:r>
        <w:t xml:space="preserve"> Glanville </w:t>
      </w:r>
      <w:r w:rsidRPr="000F7F08">
        <w:t>Williams, ‘Finis for Novus actus?’ (1989) 48(3) CL</w:t>
      </w:r>
      <w:r>
        <w:t>0</w:t>
      </w:r>
      <w:r w:rsidRPr="000F7F08">
        <w:t>J 391</w:t>
      </w:r>
      <w:r>
        <w:t xml:space="preserve"> at 392.</w:t>
      </w:r>
    </w:p>
  </w:endnote>
  <w:endnote w:id="9">
    <w:p w14:paraId="6C8CF3FD" w14:textId="77777777" w:rsidR="00837792" w:rsidRDefault="00837792" w:rsidP="00837792">
      <w:pPr>
        <w:pStyle w:val="EndnoteText"/>
      </w:pPr>
      <w:r>
        <w:rPr>
          <w:rStyle w:val="EndnoteReference"/>
        </w:rPr>
        <w:endnoteRef/>
      </w:r>
      <w:r>
        <w:t xml:space="preserve"> </w:t>
      </w:r>
      <w:r w:rsidRPr="005A335F">
        <w:t xml:space="preserve">W Blackstone, </w:t>
      </w:r>
      <w:r w:rsidRPr="005A335F">
        <w:rPr>
          <w:i/>
        </w:rPr>
        <w:t xml:space="preserve">Commentaries on the Laws of England: A Facsimile of the First Edition of 1765 -1769, </w:t>
      </w:r>
      <w:r>
        <w:t>(Vol IV</w:t>
      </w:r>
      <w:r w:rsidRPr="005A335F">
        <w:t xml:space="preserve"> The University of Chicago Press 1979)</w:t>
      </w:r>
      <w:r>
        <w:t>,</w:t>
      </w:r>
      <w:r w:rsidRPr="005A335F">
        <w:t xml:space="preserve"> 27</w:t>
      </w:r>
      <w:r>
        <w:t>.</w:t>
      </w:r>
    </w:p>
  </w:endnote>
  <w:endnote w:id="10">
    <w:p w14:paraId="76791B4E" w14:textId="129F31CA" w:rsidR="00837792" w:rsidRDefault="00837792" w:rsidP="00837792">
      <w:pPr>
        <w:pStyle w:val="EndnoteText"/>
      </w:pPr>
      <w:r>
        <w:rPr>
          <w:rStyle w:val="EndnoteReference"/>
        </w:rPr>
        <w:endnoteRef/>
      </w:r>
      <w:r>
        <w:t xml:space="preserve"> See </w:t>
      </w:r>
      <w:r w:rsidRPr="006202BA">
        <w:t>Walker</w:t>
      </w:r>
      <w:r>
        <w:t xml:space="preserve">, above n. </w:t>
      </w:r>
      <w:r w:rsidR="00F01A7C">
        <w:t>6</w:t>
      </w:r>
      <w:r>
        <w:t xml:space="preserve"> at </w:t>
      </w:r>
      <w:r w:rsidRPr="00BC2BDF">
        <w:t>1-3</w:t>
      </w:r>
      <w:r>
        <w:t xml:space="preserve">; </w:t>
      </w:r>
      <w:r w:rsidRPr="006202BA">
        <w:t xml:space="preserve">and </w:t>
      </w:r>
      <w:r>
        <w:t>see S</w:t>
      </w:r>
      <w:r w:rsidRPr="006202BA">
        <w:rPr>
          <w:rFonts w:cs="Arial"/>
        </w:rPr>
        <w:t>tephen,</w:t>
      </w:r>
      <w:r>
        <w:rPr>
          <w:rFonts w:cs="Arial"/>
          <w:i/>
        </w:rPr>
        <w:t xml:space="preserve"> </w:t>
      </w:r>
      <w:r>
        <w:rPr>
          <w:rFonts w:cs="Arial"/>
          <w:iCs/>
        </w:rPr>
        <w:t>above n</w:t>
      </w:r>
      <w:r>
        <w:rPr>
          <w:rFonts w:cs="Arial"/>
        </w:rPr>
        <w:t xml:space="preserve">. </w:t>
      </w:r>
      <w:r w:rsidR="00F01A7C">
        <w:rPr>
          <w:rFonts w:cs="Arial"/>
        </w:rPr>
        <w:t>6</w:t>
      </w:r>
      <w:r>
        <w:rPr>
          <w:rFonts w:cs="Arial"/>
        </w:rPr>
        <w:t>.</w:t>
      </w:r>
    </w:p>
  </w:endnote>
  <w:endnote w:id="11">
    <w:p w14:paraId="6C450BE6" w14:textId="3BC03C5D" w:rsidR="00B12C6A" w:rsidRDefault="00B12C6A" w:rsidP="00010428">
      <w:pPr>
        <w:pStyle w:val="EndnoteText"/>
      </w:pPr>
      <w:r>
        <w:rPr>
          <w:rStyle w:val="EndnoteReference"/>
        </w:rPr>
        <w:endnoteRef/>
      </w:r>
      <w:r>
        <w:t xml:space="preserve"> </w:t>
      </w:r>
      <w:r w:rsidR="00E31F78">
        <w:t xml:space="preserve">George </w:t>
      </w:r>
      <w:r w:rsidR="00107D00">
        <w:t xml:space="preserve">P. </w:t>
      </w:r>
      <w:r w:rsidR="00E31F78" w:rsidRPr="00E31F78">
        <w:t>Fletcher, Basic Concepts of Criminal Law (Oxford University Press 1998)</w:t>
      </w:r>
      <w:r w:rsidR="00107D00">
        <w:t>, 62.</w:t>
      </w:r>
    </w:p>
  </w:endnote>
  <w:endnote w:id="12">
    <w:p w14:paraId="2FE6781B" w14:textId="77777777" w:rsidR="00B12C6A" w:rsidRPr="00F33BB2" w:rsidRDefault="00B12C6A" w:rsidP="00010428">
      <w:pPr>
        <w:pStyle w:val="EndnoteText"/>
      </w:pPr>
      <w:r>
        <w:rPr>
          <w:rStyle w:val="EndnoteReference"/>
        </w:rPr>
        <w:endnoteRef/>
      </w:r>
      <w:r>
        <w:t xml:space="preserve"> </w:t>
      </w:r>
      <w:r>
        <w:rPr>
          <w:i/>
          <w:iCs/>
        </w:rPr>
        <w:t xml:space="preserve">R v White </w:t>
      </w:r>
      <w:r w:rsidRPr="00F33BB2">
        <w:t>[1910] 2 KB 124</w:t>
      </w:r>
      <w:r>
        <w:t>.</w:t>
      </w:r>
    </w:p>
  </w:endnote>
  <w:endnote w:id="13">
    <w:p w14:paraId="15BDA15B" w14:textId="5E6BFF7D" w:rsidR="002200C8" w:rsidRDefault="002200C8">
      <w:pPr>
        <w:pStyle w:val="EndnoteText"/>
      </w:pPr>
      <w:r>
        <w:rPr>
          <w:rStyle w:val="EndnoteReference"/>
        </w:rPr>
        <w:endnoteRef/>
      </w:r>
      <w:r>
        <w:t xml:space="preserve"> See Grant Firkins, ‘Rethinking Causation in English Criminal Law’ [2023] J Crim L 18, 20 who, in arguing for an INUS approach to causation, states that the current principles of causation ‘are often grounded only in moral-responsibility ascription which gives rise to incoherence and uncertainty’.</w:t>
      </w:r>
    </w:p>
  </w:endnote>
  <w:endnote w:id="14">
    <w:p w14:paraId="49BC5656" w14:textId="77777777" w:rsidR="003E6C34" w:rsidRPr="003B4588" w:rsidRDefault="003E6C34" w:rsidP="003E6C34">
      <w:pPr>
        <w:pStyle w:val="EndnoteText"/>
      </w:pPr>
      <w:r>
        <w:rPr>
          <w:rStyle w:val="EndnoteReference"/>
        </w:rPr>
        <w:endnoteRef/>
      </w:r>
      <w:r>
        <w:t xml:space="preserve"> </w:t>
      </w:r>
      <w:r>
        <w:rPr>
          <w:i/>
          <w:iCs/>
        </w:rPr>
        <w:t xml:space="preserve">R v Pagett </w:t>
      </w:r>
      <w:r w:rsidRPr="003B5B75">
        <w:t>[1983] 2 WLUK 28</w:t>
      </w:r>
      <w:r>
        <w:rPr>
          <w:i/>
          <w:iCs/>
        </w:rPr>
        <w:t>.</w:t>
      </w:r>
    </w:p>
  </w:endnote>
  <w:endnote w:id="15">
    <w:p w14:paraId="553E8EFC" w14:textId="77777777" w:rsidR="00B12C6A" w:rsidRDefault="00B12C6A" w:rsidP="00BF539B">
      <w:pPr>
        <w:pStyle w:val="EndnoteText"/>
      </w:pPr>
      <w:r>
        <w:rPr>
          <w:rStyle w:val="EndnoteReference"/>
        </w:rPr>
        <w:endnoteRef/>
      </w:r>
      <w:r>
        <w:t xml:space="preserve"> </w:t>
      </w:r>
      <w:r>
        <w:rPr>
          <w:i/>
          <w:iCs/>
        </w:rPr>
        <w:t xml:space="preserve">R v Jordan </w:t>
      </w:r>
      <w:r w:rsidRPr="0015065D">
        <w:t>[1956] 1 WLUK 11</w:t>
      </w:r>
      <w:r>
        <w:t>.</w:t>
      </w:r>
    </w:p>
  </w:endnote>
  <w:endnote w:id="16">
    <w:p w14:paraId="2CDF1C14" w14:textId="77777777" w:rsidR="00B12C6A" w:rsidRPr="0015065D" w:rsidRDefault="00B12C6A" w:rsidP="00BF539B">
      <w:pPr>
        <w:pStyle w:val="EndnoteText"/>
      </w:pPr>
      <w:r>
        <w:rPr>
          <w:rStyle w:val="EndnoteReference"/>
        </w:rPr>
        <w:endnoteRef/>
      </w:r>
      <w:r>
        <w:t xml:space="preserve"> </w:t>
      </w:r>
      <w:r>
        <w:rPr>
          <w:i/>
          <w:iCs/>
        </w:rPr>
        <w:t xml:space="preserve">R v Blaue </w:t>
      </w:r>
      <w:r>
        <w:t>[1975] 1 WLR 1411.</w:t>
      </w:r>
    </w:p>
  </w:endnote>
  <w:endnote w:id="17">
    <w:p w14:paraId="40EC437E" w14:textId="3CA501B3" w:rsidR="004047D3" w:rsidRDefault="004047D3">
      <w:pPr>
        <w:pStyle w:val="EndnoteText"/>
      </w:pPr>
      <w:r>
        <w:rPr>
          <w:rStyle w:val="EndnoteReference"/>
        </w:rPr>
        <w:endnoteRef/>
      </w:r>
      <w:r>
        <w:t xml:space="preserve"> </w:t>
      </w:r>
      <w:r>
        <w:rPr>
          <w:i/>
          <w:iCs/>
        </w:rPr>
        <w:t xml:space="preserve">R v Field </w:t>
      </w:r>
      <w:r>
        <w:t xml:space="preserve">[2022] </w:t>
      </w:r>
      <w:r w:rsidRPr="00F31A64">
        <w:t>EWCA Crim 316</w:t>
      </w:r>
      <w:r w:rsidR="00F31A64">
        <w:t>.</w:t>
      </w:r>
    </w:p>
  </w:endnote>
  <w:endnote w:id="18">
    <w:p w14:paraId="5851E0D9" w14:textId="1CFFA2F9" w:rsidR="004047D3" w:rsidRPr="00C6556C" w:rsidRDefault="004047D3" w:rsidP="005407D2">
      <w:pPr>
        <w:pStyle w:val="EndnoteText"/>
      </w:pPr>
      <w:r>
        <w:rPr>
          <w:rStyle w:val="EndnoteReference"/>
        </w:rPr>
        <w:endnoteRef/>
      </w:r>
      <w:r>
        <w:t xml:space="preserve"> </w:t>
      </w:r>
      <w:r>
        <w:rPr>
          <w:i/>
          <w:iCs/>
        </w:rPr>
        <w:t xml:space="preserve">Woolmington v DPP </w:t>
      </w:r>
      <w:r w:rsidRPr="00137BD8">
        <w:t>[1935] A</w:t>
      </w:r>
      <w:r>
        <w:t>C</w:t>
      </w:r>
      <w:r w:rsidRPr="00137BD8">
        <w:t xml:space="preserve"> 462 </w:t>
      </w:r>
      <w:r>
        <w:t>at 482</w:t>
      </w:r>
      <w:r w:rsidR="00D737B7">
        <w:t>.</w:t>
      </w:r>
    </w:p>
  </w:endnote>
  <w:endnote w:id="19">
    <w:p w14:paraId="4280D64F" w14:textId="47C0DD65" w:rsidR="004047D3" w:rsidRPr="003A64EB" w:rsidRDefault="004047D3">
      <w:pPr>
        <w:pStyle w:val="EndnoteText"/>
      </w:pPr>
      <w:r>
        <w:rPr>
          <w:rStyle w:val="EndnoteReference"/>
        </w:rPr>
        <w:endnoteRef/>
      </w:r>
      <w:r>
        <w:t xml:space="preserve"> </w:t>
      </w:r>
      <w:r w:rsidR="00D737B7">
        <w:t>G</w:t>
      </w:r>
      <w:r>
        <w:t xml:space="preserve">R </w:t>
      </w:r>
      <w:r w:rsidRPr="003A64EB">
        <w:t>Sullivan and</w:t>
      </w:r>
      <w:r>
        <w:t xml:space="preserve"> AP </w:t>
      </w:r>
      <w:r w:rsidRPr="003A64EB">
        <w:t>Simester, ‘Deadly Whisky’ [2022] LQR 11</w:t>
      </w:r>
      <w:r>
        <w:t>.</w:t>
      </w:r>
    </w:p>
  </w:endnote>
  <w:endnote w:id="20">
    <w:p w14:paraId="1AA5D868" w14:textId="0CF22253" w:rsidR="004047D3" w:rsidRDefault="004047D3">
      <w:pPr>
        <w:pStyle w:val="EndnoteText"/>
      </w:pPr>
      <w:r>
        <w:rPr>
          <w:rStyle w:val="EndnoteReference"/>
        </w:rPr>
        <w:endnoteRef/>
      </w:r>
      <w:r>
        <w:t xml:space="preserve"> </w:t>
      </w:r>
      <w:r w:rsidR="00186998" w:rsidRPr="00186998">
        <w:t xml:space="preserve">See </w:t>
      </w:r>
      <w:r>
        <w:rPr>
          <w:i/>
          <w:iCs/>
        </w:rPr>
        <w:t xml:space="preserve">Field </w:t>
      </w:r>
      <w:r>
        <w:t>[2022]</w:t>
      </w:r>
      <w:r w:rsidR="00186998">
        <w:t xml:space="preserve">, above n. </w:t>
      </w:r>
      <w:r w:rsidR="00F01A7C">
        <w:t>1</w:t>
      </w:r>
      <w:r w:rsidR="005555C2">
        <w:t>6</w:t>
      </w:r>
      <w:r>
        <w:t xml:space="preserve"> at [74]</w:t>
      </w:r>
      <w:r w:rsidR="00186998">
        <w:t>.</w:t>
      </w:r>
    </w:p>
  </w:endnote>
  <w:endnote w:id="21">
    <w:p w14:paraId="31D9D1FA" w14:textId="4D0BDF16" w:rsidR="004047D3" w:rsidRDefault="004047D3">
      <w:pPr>
        <w:pStyle w:val="EndnoteText"/>
      </w:pPr>
      <w:r w:rsidRPr="00EC53B9">
        <w:rPr>
          <w:rStyle w:val="EndnoteReference"/>
        </w:rPr>
        <w:endnoteRef/>
      </w:r>
      <w:r w:rsidRPr="00EC53B9">
        <w:t xml:space="preserve"> </w:t>
      </w:r>
      <w:r w:rsidR="00186998">
        <w:t>See</w:t>
      </w:r>
      <w:r>
        <w:rPr>
          <w:i/>
          <w:iCs/>
        </w:rPr>
        <w:t xml:space="preserve"> Field </w:t>
      </w:r>
      <w:r>
        <w:t>[2021]</w:t>
      </w:r>
      <w:r w:rsidR="00186998">
        <w:t xml:space="preserve">, above n. </w:t>
      </w:r>
      <w:r w:rsidR="00F01A7C">
        <w:t>3</w:t>
      </w:r>
      <w:r>
        <w:t xml:space="preserve"> [63].</w:t>
      </w:r>
    </w:p>
  </w:endnote>
  <w:endnote w:id="22">
    <w:p w14:paraId="43C95E84" w14:textId="4A3D89D7" w:rsidR="004047D3" w:rsidRDefault="004047D3" w:rsidP="00AB0A2C">
      <w:pPr>
        <w:pStyle w:val="EndnoteText"/>
      </w:pPr>
      <w:r>
        <w:rPr>
          <w:rStyle w:val="EndnoteReference"/>
        </w:rPr>
        <w:endnoteRef/>
      </w:r>
      <w:r>
        <w:t xml:space="preserve"> </w:t>
      </w:r>
      <w:r w:rsidRPr="007A658E">
        <w:rPr>
          <w:i/>
          <w:iCs/>
        </w:rPr>
        <w:t>R v Kennedy</w:t>
      </w:r>
      <w:r w:rsidRPr="007A658E">
        <w:t xml:space="preserve"> [2007] UKHL 3</w:t>
      </w:r>
      <w:r w:rsidR="00186998">
        <w:t>8</w:t>
      </w:r>
      <w:r>
        <w:t>.</w:t>
      </w:r>
    </w:p>
  </w:endnote>
  <w:endnote w:id="23">
    <w:p w14:paraId="078854FF" w14:textId="59C5A768" w:rsidR="004047D3" w:rsidRDefault="004047D3">
      <w:pPr>
        <w:pStyle w:val="EndnoteText"/>
      </w:pPr>
      <w:r>
        <w:rPr>
          <w:rStyle w:val="EndnoteReference"/>
        </w:rPr>
        <w:endnoteRef/>
      </w:r>
      <w:r>
        <w:t xml:space="preserve"> </w:t>
      </w:r>
      <w:r w:rsidR="00186998" w:rsidRPr="00186998">
        <w:t>Ibid</w:t>
      </w:r>
      <w:r w:rsidR="001D1517">
        <w:t>.</w:t>
      </w:r>
      <w:r>
        <w:t xml:space="preserve"> at [14].</w:t>
      </w:r>
    </w:p>
  </w:endnote>
  <w:endnote w:id="24">
    <w:p w14:paraId="21C43EA5" w14:textId="079FD08F" w:rsidR="004047D3" w:rsidRDefault="004047D3">
      <w:pPr>
        <w:pStyle w:val="EndnoteText"/>
      </w:pPr>
      <w:r>
        <w:rPr>
          <w:rStyle w:val="EndnoteReference"/>
        </w:rPr>
        <w:endnoteRef/>
      </w:r>
      <w:r>
        <w:t xml:space="preserve"> </w:t>
      </w:r>
      <w:r w:rsidR="00186998" w:rsidRPr="00186998">
        <w:t>Ibid</w:t>
      </w:r>
      <w:r w:rsidR="00186998">
        <w:t>.</w:t>
      </w:r>
    </w:p>
  </w:endnote>
  <w:endnote w:id="25">
    <w:p w14:paraId="0A6143E8" w14:textId="39CCFA01" w:rsidR="004047D3" w:rsidRDefault="004047D3">
      <w:pPr>
        <w:pStyle w:val="EndnoteText"/>
      </w:pPr>
      <w:r>
        <w:rPr>
          <w:rStyle w:val="EndnoteReference"/>
        </w:rPr>
        <w:endnoteRef/>
      </w:r>
      <w:r>
        <w:t xml:space="preserve"> </w:t>
      </w:r>
      <w:r w:rsidR="00186998" w:rsidRPr="00186998">
        <w:t>Ibid</w:t>
      </w:r>
      <w:r>
        <w:t xml:space="preserve"> at [19]</w:t>
      </w:r>
      <w:r w:rsidR="00186998">
        <w:t>.</w:t>
      </w:r>
    </w:p>
  </w:endnote>
  <w:endnote w:id="26">
    <w:p w14:paraId="56BB1187" w14:textId="46919B5D" w:rsidR="004047D3" w:rsidRDefault="004047D3" w:rsidP="00F341E0">
      <w:pPr>
        <w:pStyle w:val="EndnoteText"/>
      </w:pPr>
      <w:r>
        <w:rPr>
          <w:rStyle w:val="EndnoteReference"/>
        </w:rPr>
        <w:endnoteRef/>
      </w:r>
      <w:r>
        <w:t xml:space="preserve"> Karl Laird, ‘Causation: R v Wallace (Berlinah) Court of Appeal (Criminal Division): Sharp LJ: Spencer and Carr JJ: 28 March 2018; [2018] EWCA Crim 690 [2018] Crim LR 918</w:t>
      </w:r>
      <w:r w:rsidR="00186998">
        <w:t xml:space="preserve"> at</w:t>
      </w:r>
      <w:r>
        <w:t xml:space="preserve"> 922.</w:t>
      </w:r>
    </w:p>
  </w:endnote>
  <w:endnote w:id="27">
    <w:p w14:paraId="2DB925F0" w14:textId="725AA0E2" w:rsidR="00930753" w:rsidRPr="00BA6BB6" w:rsidRDefault="00930753">
      <w:pPr>
        <w:pStyle w:val="EndnoteText"/>
        <w:rPr>
          <w:i/>
          <w:iCs/>
          <w:lang w:val="en-US"/>
        </w:rPr>
      </w:pPr>
      <w:r>
        <w:rPr>
          <w:rStyle w:val="EndnoteReference"/>
        </w:rPr>
        <w:endnoteRef/>
      </w:r>
      <w:r>
        <w:t xml:space="preserve"> </w:t>
      </w:r>
      <w:r w:rsidR="003E74B4">
        <w:rPr>
          <w:lang w:val="en-US"/>
        </w:rPr>
        <w:t xml:space="preserve">See </w:t>
      </w:r>
      <w:r w:rsidR="003E74B4">
        <w:rPr>
          <w:i/>
          <w:iCs/>
          <w:lang w:val="en-US"/>
        </w:rPr>
        <w:t>R v Rebelo</w:t>
      </w:r>
      <w:r w:rsidR="003E74B4">
        <w:rPr>
          <w:lang w:val="en-US"/>
        </w:rPr>
        <w:t xml:space="preserve"> [2021] EWCA</w:t>
      </w:r>
      <w:r w:rsidR="00852ACC">
        <w:rPr>
          <w:lang w:val="en-US"/>
        </w:rPr>
        <w:t xml:space="preserve"> Crim 306 when the jury convicted the defendant on retrial </w:t>
      </w:r>
      <w:r w:rsidR="00087F92">
        <w:rPr>
          <w:lang w:val="en-US"/>
        </w:rPr>
        <w:t xml:space="preserve">for gross negligence manslaughter after he provided weight loss drugs to </w:t>
      </w:r>
      <w:r w:rsidR="00BA6BB6">
        <w:rPr>
          <w:lang w:val="en-US"/>
        </w:rPr>
        <w:t xml:space="preserve">someone who was addicted to the drugs.  The </w:t>
      </w:r>
      <w:r w:rsidR="003C13F3">
        <w:rPr>
          <w:lang w:val="en-US"/>
        </w:rPr>
        <w:t>trial</w:t>
      </w:r>
      <w:r w:rsidR="00A520D6">
        <w:rPr>
          <w:lang w:val="en-US"/>
        </w:rPr>
        <w:t xml:space="preserve"> judge</w:t>
      </w:r>
      <w:r w:rsidR="003C13F3">
        <w:rPr>
          <w:lang w:val="en-US"/>
        </w:rPr>
        <w:t xml:space="preserve"> </w:t>
      </w:r>
      <w:r w:rsidR="00A520D6">
        <w:rPr>
          <w:lang w:val="en-US"/>
        </w:rPr>
        <w:t>at [21]</w:t>
      </w:r>
      <w:r w:rsidR="002200C8">
        <w:rPr>
          <w:lang w:val="en-US"/>
        </w:rPr>
        <w:t>-</w:t>
      </w:r>
      <w:r w:rsidR="00A520D6">
        <w:rPr>
          <w:lang w:val="en-US"/>
        </w:rPr>
        <w:t xml:space="preserve">[22] </w:t>
      </w:r>
      <w:r w:rsidR="00BA6BB6">
        <w:rPr>
          <w:lang w:val="en-US"/>
        </w:rPr>
        <w:t>directed the jur</w:t>
      </w:r>
      <w:r w:rsidR="003C13F3">
        <w:rPr>
          <w:lang w:val="en-US"/>
        </w:rPr>
        <w:t>y</w:t>
      </w:r>
      <w:r w:rsidR="00BA6BB6">
        <w:rPr>
          <w:lang w:val="en-US"/>
        </w:rPr>
        <w:t xml:space="preserve"> to consider whether </w:t>
      </w:r>
      <w:r w:rsidR="00F341D7">
        <w:rPr>
          <w:lang w:val="en-US"/>
        </w:rPr>
        <w:t>the victim’s</w:t>
      </w:r>
      <w:r w:rsidR="00BA6BB6">
        <w:rPr>
          <w:lang w:val="en-US"/>
        </w:rPr>
        <w:t xml:space="preserve"> actions were “</w:t>
      </w:r>
      <w:r w:rsidR="00C25250">
        <w:rPr>
          <w:i/>
          <w:iCs/>
          <w:lang w:val="en-US"/>
        </w:rPr>
        <w:t>f</w:t>
      </w:r>
      <w:r w:rsidR="00BA6BB6">
        <w:rPr>
          <w:i/>
          <w:iCs/>
          <w:lang w:val="en-US"/>
        </w:rPr>
        <w:t>ully</w:t>
      </w:r>
      <w:r w:rsidR="00C25250">
        <w:rPr>
          <w:i/>
          <w:iCs/>
          <w:lang w:val="en-US"/>
        </w:rPr>
        <w:t xml:space="preserve"> </w:t>
      </w:r>
      <w:r w:rsidR="00C25250" w:rsidRPr="003C13F3">
        <w:rPr>
          <w:lang w:val="en-US"/>
        </w:rPr>
        <w:t xml:space="preserve">free, voluntary </w:t>
      </w:r>
      <w:r w:rsidR="0065057D" w:rsidRPr="003C13F3">
        <w:rPr>
          <w:lang w:val="en-US"/>
        </w:rPr>
        <w:t>and informed</w:t>
      </w:r>
      <w:r w:rsidR="00A520D6">
        <w:rPr>
          <w:lang w:val="en-US"/>
        </w:rPr>
        <w:t xml:space="preserve"> (emphasis added).</w:t>
      </w:r>
      <w:r w:rsidR="003C13F3" w:rsidRPr="003C13F3">
        <w:rPr>
          <w:lang w:val="en-US"/>
        </w:rPr>
        <w:t>”</w:t>
      </w:r>
    </w:p>
  </w:endnote>
  <w:endnote w:id="28">
    <w:p w14:paraId="201EB854" w14:textId="7DC011AB" w:rsidR="00E07E18" w:rsidRPr="00E07E18" w:rsidRDefault="00E07E18">
      <w:pPr>
        <w:pStyle w:val="EndnoteText"/>
      </w:pPr>
      <w:r>
        <w:rPr>
          <w:rStyle w:val="EndnoteReference"/>
        </w:rPr>
        <w:endnoteRef/>
      </w:r>
      <w:r>
        <w:t xml:space="preserve"> Michael S Moore, </w:t>
      </w:r>
      <w:r>
        <w:rPr>
          <w:i/>
        </w:rPr>
        <w:t xml:space="preserve">Causation and </w:t>
      </w:r>
      <w:r w:rsidR="002200C8">
        <w:rPr>
          <w:i/>
        </w:rPr>
        <w:t>Responsibility</w:t>
      </w:r>
      <w:r>
        <w:rPr>
          <w:i/>
        </w:rPr>
        <w:t xml:space="preserve">: An Essay in Law, Morals, and Metaphysics </w:t>
      </w:r>
      <w:r>
        <w:t>(Oxford University Press 2009), 273.</w:t>
      </w:r>
    </w:p>
  </w:endnote>
  <w:endnote w:id="29">
    <w:p w14:paraId="35A69948" w14:textId="3938CB46" w:rsidR="008E649D" w:rsidRDefault="008E649D" w:rsidP="008E649D">
      <w:pPr>
        <w:pStyle w:val="FootnoteText"/>
      </w:pPr>
      <w:r>
        <w:rPr>
          <w:rStyle w:val="EndnoteReference"/>
        </w:rPr>
        <w:endnoteRef/>
      </w:r>
      <w:r>
        <w:t xml:space="preserve"> </w:t>
      </w:r>
      <w:r>
        <w:rPr>
          <w:iCs/>
        </w:rPr>
        <w:t xml:space="preserve">See </w:t>
      </w:r>
      <w:r>
        <w:rPr>
          <w:i/>
          <w:iCs/>
        </w:rPr>
        <w:t>Blaue</w:t>
      </w:r>
      <w:r w:rsidR="008A7220">
        <w:rPr>
          <w:iCs/>
        </w:rPr>
        <w:t>, above n. 15</w:t>
      </w:r>
      <w:r>
        <w:t xml:space="preserve"> </w:t>
      </w:r>
      <w:r>
        <w:rPr>
          <w:rFonts w:cstheme="minorHAnsi"/>
          <w:shd w:val="clear" w:color="auto" w:fill="FFFFFF"/>
        </w:rPr>
        <w:t>at 1415</w:t>
      </w:r>
      <w:r w:rsidR="008A7220">
        <w:rPr>
          <w:rFonts w:cstheme="minorHAnsi"/>
          <w:shd w:val="clear" w:color="auto" w:fill="FFFFFF"/>
        </w:rPr>
        <w:t>.</w:t>
      </w:r>
    </w:p>
  </w:endnote>
  <w:endnote w:id="30">
    <w:p w14:paraId="49164010" w14:textId="56533DE9" w:rsidR="004047D3" w:rsidRPr="00BD4536" w:rsidRDefault="004047D3">
      <w:pPr>
        <w:pStyle w:val="EndnoteText"/>
      </w:pPr>
      <w:r w:rsidRPr="00DC0440">
        <w:rPr>
          <w:rStyle w:val="EndnoteReference"/>
        </w:rPr>
        <w:endnoteRef/>
      </w:r>
      <w:r w:rsidRPr="00DC0440">
        <w:t xml:space="preserve"> Nathan Rasiah, ‘Homicide: novus actus interveniens’ (2021) 8(2) CLJ 213</w:t>
      </w:r>
      <w:r w:rsidR="00186998">
        <w:t xml:space="preserve"> at</w:t>
      </w:r>
      <w:r w:rsidRPr="00DC0440">
        <w:t xml:space="preserve"> 215.</w:t>
      </w:r>
    </w:p>
  </w:endnote>
  <w:endnote w:id="31">
    <w:p w14:paraId="1F3BB703" w14:textId="21C60F08" w:rsidR="004047D3" w:rsidRPr="007A6157" w:rsidRDefault="004047D3" w:rsidP="00AB0A2C">
      <w:pPr>
        <w:pStyle w:val="EndnoteText"/>
      </w:pPr>
      <w:r>
        <w:rPr>
          <w:rStyle w:val="EndnoteReference"/>
        </w:rPr>
        <w:endnoteRef/>
      </w:r>
      <w:r>
        <w:t xml:space="preserve"> </w:t>
      </w:r>
      <w:r w:rsidR="00F01A7C" w:rsidRPr="00C06805">
        <w:t xml:space="preserve">See </w:t>
      </w:r>
      <w:r w:rsidR="00F01A7C" w:rsidRPr="00F01A7C">
        <w:rPr>
          <w:i/>
          <w:iCs/>
        </w:rPr>
        <w:t>Wallace</w:t>
      </w:r>
      <w:r w:rsidR="00F01A7C" w:rsidRPr="00C06805">
        <w:t xml:space="preserve">, above n. </w:t>
      </w:r>
      <w:r w:rsidR="00F01A7C">
        <w:t>4</w:t>
      </w:r>
      <w:r>
        <w:t>.</w:t>
      </w:r>
    </w:p>
  </w:endnote>
  <w:endnote w:id="32">
    <w:p w14:paraId="21A5E58E" w14:textId="40664856" w:rsidR="00466C85" w:rsidRDefault="00466C85">
      <w:pPr>
        <w:pStyle w:val="EndnoteText"/>
      </w:pPr>
      <w:r>
        <w:rPr>
          <w:rStyle w:val="EndnoteReference"/>
        </w:rPr>
        <w:endnoteRef/>
      </w:r>
      <w:r>
        <w:t xml:space="preserve"> </w:t>
      </w:r>
      <w:r w:rsidRPr="00C06805">
        <w:t xml:space="preserve">See </w:t>
      </w:r>
      <w:r w:rsidRPr="00F01A7C">
        <w:rPr>
          <w:i/>
          <w:iCs/>
        </w:rPr>
        <w:t>Wallace</w:t>
      </w:r>
      <w:r w:rsidRPr="00C06805">
        <w:t xml:space="preserve">, above n. </w:t>
      </w:r>
      <w:r>
        <w:t>4 at [76].</w:t>
      </w:r>
    </w:p>
  </w:endnote>
  <w:endnote w:id="33">
    <w:p w14:paraId="57D06774" w14:textId="79591F09" w:rsidR="004047D3" w:rsidRDefault="004047D3">
      <w:pPr>
        <w:pStyle w:val="EndnoteText"/>
      </w:pPr>
      <w:r w:rsidRPr="00F01A7C">
        <w:rPr>
          <w:rStyle w:val="EndnoteReference"/>
        </w:rPr>
        <w:endnoteRef/>
      </w:r>
      <w:r w:rsidRPr="00F01A7C">
        <w:t xml:space="preserve"> </w:t>
      </w:r>
      <w:r w:rsidR="00186998" w:rsidRPr="00F01A7C">
        <w:t xml:space="preserve">See </w:t>
      </w:r>
      <w:r w:rsidRPr="00F01A7C">
        <w:t xml:space="preserve">Laird, </w:t>
      </w:r>
      <w:r w:rsidR="00186998" w:rsidRPr="00F01A7C">
        <w:t xml:space="preserve">above n. </w:t>
      </w:r>
      <w:r w:rsidR="00F01A7C" w:rsidRPr="00F01A7C">
        <w:t>2</w:t>
      </w:r>
      <w:r w:rsidR="005555C2">
        <w:t>5</w:t>
      </w:r>
      <w:r w:rsidR="00186998" w:rsidRPr="00F01A7C">
        <w:t xml:space="preserve"> at</w:t>
      </w:r>
      <w:r w:rsidRPr="00F01A7C">
        <w:t xml:space="preserve"> 922.</w:t>
      </w:r>
    </w:p>
  </w:endnote>
  <w:endnote w:id="34">
    <w:p w14:paraId="5700AEC6" w14:textId="47128B97" w:rsidR="000C6312" w:rsidRPr="000C6312" w:rsidRDefault="000C6312">
      <w:pPr>
        <w:pStyle w:val="EndnoteText"/>
      </w:pPr>
      <w:r>
        <w:rPr>
          <w:rStyle w:val="EndnoteReference"/>
        </w:rPr>
        <w:endnoteRef/>
      </w:r>
      <w:r>
        <w:t xml:space="preserve"> </w:t>
      </w:r>
      <w:r w:rsidR="00C06805" w:rsidRPr="00C06805">
        <w:t xml:space="preserve">See </w:t>
      </w:r>
      <w:r w:rsidR="00C06805" w:rsidRPr="00F01A7C">
        <w:rPr>
          <w:i/>
          <w:iCs/>
        </w:rPr>
        <w:t>Wallace</w:t>
      </w:r>
      <w:r w:rsidR="00C06805" w:rsidRPr="00C06805">
        <w:t xml:space="preserve">, above n. </w:t>
      </w:r>
      <w:r w:rsidR="00F01A7C">
        <w:t>4</w:t>
      </w:r>
      <w:r w:rsidR="00C06805" w:rsidRPr="00C06805">
        <w:t xml:space="preserve"> at [</w:t>
      </w:r>
      <w:r w:rsidR="00C06805">
        <w:t>86].</w:t>
      </w:r>
    </w:p>
  </w:endnote>
  <w:endnote w:id="35">
    <w:p w14:paraId="47F39385" w14:textId="48D7491E" w:rsidR="004047D3" w:rsidRDefault="004047D3">
      <w:pPr>
        <w:pStyle w:val="EndnoteText"/>
      </w:pPr>
      <w:r>
        <w:rPr>
          <w:rStyle w:val="EndnoteReference"/>
        </w:rPr>
        <w:endnoteRef/>
      </w:r>
      <w:r>
        <w:t xml:space="preserve"> </w:t>
      </w:r>
      <w:r w:rsidR="00F01A7C">
        <w:t>Ibid.</w:t>
      </w:r>
      <w:r>
        <w:rPr>
          <w:i/>
          <w:iCs/>
        </w:rPr>
        <w:t xml:space="preserve"> </w:t>
      </w:r>
      <w:r>
        <w:t>at [75]-[76].</w:t>
      </w:r>
    </w:p>
  </w:endnote>
  <w:endnote w:id="36">
    <w:p w14:paraId="21CE82E8" w14:textId="6C5FC8D8" w:rsidR="00466C85" w:rsidRDefault="00466C85">
      <w:pPr>
        <w:pStyle w:val="EndnoteText"/>
      </w:pPr>
      <w:r>
        <w:rPr>
          <w:rStyle w:val="EndnoteReference"/>
        </w:rPr>
        <w:endnoteRef/>
      </w:r>
      <w:r>
        <w:t xml:space="preserve"> </w:t>
      </w:r>
      <w:r w:rsidR="002200C8">
        <w:t xml:space="preserve">See </w:t>
      </w:r>
      <w:r>
        <w:t xml:space="preserve">Firkins, </w:t>
      </w:r>
      <w:r w:rsidR="002200C8">
        <w:t>above n.</w:t>
      </w:r>
      <w:r w:rsidR="008A7220">
        <w:t xml:space="preserve"> </w:t>
      </w:r>
      <w:r w:rsidR="002200C8">
        <w:t>12 at</w:t>
      </w:r>
      <w:r>
        <w:t xml:space="preserve"> 34.</w:t>
      </w:r>
    </w:p>
  </w:endnote>
  <w:endnote w:id="37">
    <w:p w14:paraId="09ADC6DB" w14:textId="31A8F12B" w:rsidR="0057045F" w:rsidRPr="008A237B" w:rsidRDefault="0057045F" w:rsidP="00D920EF">
      <w:pPr>
        <w:pStyle w:val="EndnoteText"/>
      </w:pPr>
      <w:r>
        <w:rPr>
          <w:rStyle w:val="EndnoteReference"/>
        </w:rPr>
        <w:endnoteRef/>
      </w:r>
      <w:r>
        <w:t xml:space="preserve"> </w:t>
      </w:r>
      <w:r w:rsidR="00F01A7C">
        <w:t xml:space="preserve">See </w:t>
      </w:r>
      <w:r w:rsidRPr="00957F34">
        <w:rPr>
          <w:i/>
          <w:iCs/>
        </w:rPr>
        <w:t>Blaue</w:t>
      </w:r>
      <w:r w:rsidR="00957F34">
        <w:t>, above n.</w:t>
      </w:r>
      <w:r w:rsidR="008A7220">
        <w:t xml:space="preserve"> </w:t>
      </w:r>
      <w:r w:rsidR="00957F34">
        <w:t>1</w:t>
      </w:r>
      <w:r w:rsidR="005555C2">
        <w:t>5</w:t>
      </w:r>
      <w:r w:rsidR="00957F34">
        <w:t xml:space="preserve"> </w:t>
      </w:r>
      <w:r w:rsidRPr="00957F34">
        <w:t>at</w:t>
      </w:r>
      <w:r w:rsidRPr="008A237B">
        <w:t xml:space="preserve"> </w:t>
      </w:r>
      <w:r w:rsidRPr="008A237B">
        <w:rPr>
          <w:rFonts w:cstheme="minorHAnsi"/>
          <w:shd w:val="clear" w:color="auto" w:fill="FFFFFF"/>
        </w:rPr>
        <w:t>1414</w:t>
      </w:r>
      <w:r w:rsidR="00957F34">
        <w:rPr>
          <w:rFonts w:cstheme="minorHAnsi"/>
          <w:shd w:val="clear" w:color="auto" w:fill="FFFFFF"/>
        </w:rPr>
        <w:t>.</w:t>
      </w:r>
    </w:p>
  </w:endnote>
  <w:endnote w:id="38">
    <w:p w14:paraId="0F87ACBB" w14:textId="3C17B78E" w:rsidR="00991CD4" w:rsidRPr="00991CD4" w:rsidRDefault="00991CD4">
      <w:pPr>
        <w:pStyle w:val="EndnoteText"/>
      </w:pPr>
      <w:r>
        <w:rPr>
          <w:rStyle w:val="EndnoteReference"/>
        </w:rPr>
        <w:endnoteRef/>
      </w:r>
      <w:r>
        <w:t xml:space="preserve"> </w:t>
      </w:r>
      <w:r w:rsidR="00957F34" w:rsidRPr="00C06805">
        <w:t xml:space="preserve">See </w:t>
      </w:r>
      <w:r w:rsidR="00957F34" w:rsidRPr="00F01A7C">
        <w:rPr>
          <w:i/>
          <w:iCs/>
        </w:rPr>
        <w:t>Wallace</w:t>
      </w:r>
      <w:r w:rsidR="00957F34" w:rsidRPr="00C06805">
        <w:t xml:space="preserve">, above n. </w:t>
      </w:r>
      <w:r w:rsidR="00957F34">
        <w:t xml:space="preserve">4 </w:t>
      </w:r>
      <w:r>
        <w:t xml:space="preserve">at </w:t>
      </w:r>
      <w:r w:rsidR="009525DF">
        <w:t>[68]-[70].</w:t>
      </w:r>
    </w:p>
  </w:endnote>
  <w:endnote w:id="39">
    <w:p w14:paraId="3CEB95C0" w14:textId="2B2B27FA" w:rsidR="00AE2E3C" w:rsidRPr="008A237B" w:rsidRDefault="00AE2E3C">
      <w:pPr>
        <w:pStyle w:val="EndnoteText"/>
      </w:pPr>
      <w:r w:rsidRPr="008A237B">
        <w:rPr>
          <w:rStyle w:val="EndnoteReference"/>
        </w:rPr>
        <w:endnoteRef/>
      </w:r>
      <w:r w:rsidRPr="008A237B">
        <w:t xml:space="preserve"> </w:t>
      </w:r>
      <w:r w:rsidRPr="008A237B">
        <w:rPr>
          <w:rFonts w:cstheme="minorHAnsi"/>
          <w:i/>
          <w:iCs/>
        </w:rPr>
        <w:t xml:space="preserve">R v Dear </w:t>
      </w:r>
      <w:r w:rsidRPr="008A237B">
        <w:rPr>
          <w:rFonts w:cstheme="minorHAnsi"/>
          <w:shd w:val="clear" w:color="auto" w:fill="FFFFFF"/>
        </w:rPr>
        <w:t>[</w:t>
      </w:r>
      <w:r w:rsidRPr="008A237B">
        <w:rPr>
          <w:rStyle w:val="cohidesearchterm"/>
          <w:rFonts w:cstheme="minorHAnsi"/>
          <w:bdr w:val="none" w:sz="0" w:space="0" w:color="auto" w:frame="1"/>
          <w:shd w:val="clear" w:color="auto" w:fill="FFFFFF"/>
        </w:rPr>
        <w:t>1996</w:t>
      </w:r>
      <w:r w:rsidRPr="008A237B">
        <w:rPr>
          <w:rFonts w:cstheme="minorHAnsi"/>
          <w:shd w:val="clear" w:color="auto" w:fill="FFFFFF"/>
        </w:rPr>
        <w:t>] 3 WLUK 208</w:t>
      </w:r>
      <w:r w:rsidR="008A237B" w:rsidRPr="008A237B">
        <w:rPr>
          <w:rFonts w:cstheme="minorHAnsi"/>
          <w:shd w:val="clear" w:color="auto" w:fill="FFFFFF"/>
        </w:rPr>
        <w:t>.</w:t>
      </w:r>
    </w:p>
  </w:endnote>
  <w:endnote w:id="40">
    <w:p w14:paraId="2A36B643" w14:textId="77777777" w:rsidR="00003BAE" w:rsidRDefault="00003BAE" w:rsidP="00BB5447">
      <w:pPr>
        <w:pStyle w:val="EndnoteText"/>
      </w:pPr>
      <w:r>
        <w:rPr>
          <w:rStyle w:val="EndnoteReference"/>
        </w:rPr>
        <w:endnoteRef/>
      </w:r>
      <w:r>
        <w:t xml:space="preserve"> </w:t>
      </w:r>
      <w:r w:rsidRPr="00470F6D">
        <w:t>[1991] 1 WLR</w:t>
      </w:r>
      <w:r>
        <w:t xml:space="preserve"> </w:t>
      </w:r>
      <w:r w:rsidRPr="00470F6D">
        <w:t>844</w:t>
      </w:r>
      <w:r>
        <w:t>.</w:t>
      </w:r>
    </w:p>
  </w:endnote>
  <w:endnote w:id="41">
    <w:p w14:paraId="0FFAEF86" w14:textId="3A37D1C6" w:rsidR="00003BAE" w:rsidRPr="00FC463F" w:rsidRDefault="00003BAE" w:rsidP="00BB5447">
      <w:pPr>
        <w:pStyle w:val="EndnoteText"/>
        <w:rPr>
          <w:i/>
          <w:iCs/>
        </w:rPr>
      </w:pPr>
      <w:r>
        <w:rPr>
          <w:rStyle w:val="EndnoteReference"/>
        </w:rPr>
        <w:endnoteRef/>
      </w:r>
      <w:r>
        <w:t xml:space="preserve"> </w:t>
      </w:r>
      <w:r w:rsidR="00957F34">
        <w:t>Ibid. at</w:t>
      </w:r>
      <w:r>
        <w:t xml:space="preserve"> 852.</w:t>
      </w:r>
    </w:p>
  </w:endnote>
  <w:endnote w:id="42">
    <w:p w14:paraId="6A1B33BE" w14:textId="6F8D0E7D" w:rsidR="00CC278A" w:rsidRDefault="00CC278A">
      <w:pPr>
        <w:pStyle w:val="EndnoteText"/>
      </w:pPr>
      <w:r>
        <w:rPr>
          <w:rStyle w:val="EndnoteReference"/>
        </w:rPr>
        <w:endnoteRef/>
      </w:r>
      <w:r>
        <w:t xml:space="preserve"> See </w:t>
      </w:r>
      <w:r w:rsidR="008100EA">
        <w:t>A.P. Semester, ‘Causation in (</w:t>
      </w:r>
      <w:r w:rsidR="005555C2">
        <w:t>C</w:t>
      </w:r>
      <w:r w:rsidR="008100EA">
        <w:t xml:space="preserve">riminal) </w:t>
      </w:r>
      <w:r w:rsidR="005555C2">
        <w:t>L</w:t>
      </w:r>
      <w:r w:rsidR="008100EA">
        <w:t>aw’ [2017] LQR 416 for a discussion of indirect causal responsibility.</w:t>
      </w:r>
    </w:p>
  </w:endnote>
  <w:endnote w:id="43">
    <w:p w14:paraId="32D98115" w14:textId="77777777" w:rsidR="00901C17" w:rsidRDefault="00901C17" w:rsidP="00901C17">
      <w:pPr>
        <w:pStyle w:val="EndnoteText"/>
      </w:pPr>
      <w:r>
        <w:rPr>
          <w:rStyle w:val="EndnoteReference"/>
        </w:rPr>
        <w:endnoteRef/>
      </w:r>
      <w:r>
        <w:t xml:space="preserve"> </w:t>
      </w:r>
      <w:r>
        <w:rPr>
          <w:i/>
          <w:iCs/>
        </w:rPr>
        <w:t xml:space="preserve">R v Williams </w:t>
      </w:r>
      <w:r w:rsidRPr="008B1E2C">
        <w:t>[1992] 1 WLR 380</w:t>
      </w:r>
      <w:r>
        <w:t>.</w:t>
      </w:r>
    </w:p>
  </w:endnote>
  <w:endnote w:id="44">
    <w:p w14:paraId="5D39D0A1" w14:textId="38E6D2C4" w:rsidR="00901C17" w:rsidRPr="001301B7" w:rsidRDefault="00901C17" w:rsidP="00901C17">
      <w:pPr>
        <w:pStyle w:val="EndnoteText"/>
      </w:pPr>
      <w:r>
        <w:rPr>
          <w:rStyle w:val="EndnoteReference"/>
        </w:rPr>
        <w:endnoteRef/>
      </w:r>
      <w:r>
        <w:t xml:space="preserve"> </w:t>
      </w:r>
      <w:r w:rsidR="00C01E63">
        <w:t xml:space="preserve">See </w:t>
      </w:r>
      <w:r w:rsidRPr="001301B7">
        <w:rPr>
          <w:rFonts w:cstheme="minorHAnsi"/>
          <w:i/>
          <w:iCs/>
        </w:rPr>
        <w:t>Dear</w:t>
      </w:r>
      <w:r w:rsidR="00C01E63">
        <w:rPr>
          <w:rFonts w:cstheme="minorHAnsi"/>
          <w:color w:val="3D3D3D"/>
          <w:shd w:val="clear" w:color="auto" w:fill="FFFFFF"/>
        </w:rPr>
        <w:t xml:space="preserve"> </w:t>
      </w:r>
      <w:r w:rsidR="00C01E63" w:rsidRPr="00C01E63">
        <w:rPr>
          <w:rFonts w:cstheme="minorHAnsi"/>
          <w:color w:val="3D3D3D"/>
          <w:shd w:val="clear" w:color="auto" w:fill="FFFFFF"/>
        </w:rPr>
        <w:t>above n. 3</w:t>
      </w:r>
      <w:r w:rsidR="008A7220">
        <w:rPr>
          <w:rFonts w:cstheme="minorHAnsi"/>
          <w:color w:val="3D3D3D"/>
          <w:shd w:val="clear" w:color="auto" w:fill="FFFFFF"/>
        </w:rPr>
        <w:t>8</w:t>
      </w:r>
      <w:r w:rsidRPr="00C01E63">
        <w:rPr>
          <w:rFonts w:cstheme="minorHAnsi"/>
          <w:color w:val="3D3D3D"/>
          <w:shd w:val="clear" w:color="auto" w:fill="FFFFFF"/>
        </w:rPr>
        <w:t>.</w:t>
      </w:r>
    </w:p>
  </w:endnote>
  <w:endnote w:id="45">
    <w:p w14:paraId="0E058DB4" w14:textId="77777777" w:rsidR="00901C17" w:rsidRPr="008942C2" w:rsidRDefault="00901C17" w:rsidP="00901C17">
      <w:pPr>
        <w:pStyle w:val="EndnoteText"/>
        <w:rPr>
          <w:i/>
          <w:iCs/>
        </w:rPr>
      </w:pPr>
      <w:r>
        <w:rPr>
          <w:rStyle w:val="EndnoteReference"/>
        </w:rPr>
        <w:endnoteRef/>
      </w:r>
      <w:r>
        <w:t xml:space="preserve"> </w:t>
      </w:r>
      <w:r>
        <w:rPr>
          <w:i/>
          <w:iCs/>
        </w:rPr>
        <w:t>R v Roberts</w:t>
      </w:r>
      <w:r w:rsidRPr="008E003D">
        <w:t xml:space="preserve"> [1971] 10 WLUK 60</w:t>
      </w:r>
      <w:r>
        <w:t xml:space="preserve">; </w:t>
      </w:r>
      <w:r>
        <w:rPr>
          <w:i/>
          <w:iCs/>
        </w:rPr>
        <w:t xml:space="preserve">R v Williams </w:t>
      </w:r>
      <w:r w:rsidRPr="008B1E2C">
        <w:t>[1992] 1 WLR 380</w:t>
      </w:r>
      <w:r>
        <w:t xml:space="preserve">; </w:t>
      </w:r>
      <w:r>
        <w:rPr>
          <w:i/>
          <w:iCs/>
        </w:rPr>
        <w:t xml:space="preserve">R v Marjoram </w:t>
      </w:r>
      <w:r w:rsidRPr="004B333D">
        <w:t>[1999] 11 WLUK 937</w:t>
      </w:r>
    </w:p>
  </w:endnote>
  <w:endnote w:id="46">
    <w:p w14:paraId="1EDD49C2" w14:textId="049B8475" w:rsidR="004E2AA5" w:rsidRPr="004E2AA5" w:rsidRDefault="004E2AA5">
      <w:pPr>
        <w:pStyle w:val="EndnoteText"/>
      </w:pPr>
      <w:r>
        <w:rPr>
          <w:rStyle w:val="EndnoteReference"/>
        </w:rPr>
        <w:endnoteRef/>
      </w:r>
      <w:r>
        <w:t xml:space="preserve"> </w:t>
      </w:r>
      <w:r w:rsidR="00D26940">
        <w:t xml:space="preserve">See </w:t>
      </w:r>
      <w:r w:rsidR="00D26940">
        <w:rPr>
          <w:i/>
          <w:iCs/>
        </w:rPr>
        <w:t>Wallace</w:t>
      </w:r>
      <w:r w:rsidR="00D26940">
        <w:t xml:space="preserve">, above n. </w:t>
      </w:r>
      <w:r w:rsidR="00C01E63">
        <w:t>4</w:t>
      </w:r>
      <w:r w:rsidR="00D26940">
        <w:rPr>
          <w:i/>
          <w:iCs/>
        </w:rPr>
        <w:t xml:space="preserve"> </w:t>
      </w:r>
      <w:r w:rsidR="00D26940">
        <w:t xml:space="preserve">at </w:t>
      </w:r>
      <w:r w:rsidR="005A26E4">
        <w:t>[86].</w:t>
      </w:r>
    </w:p>
  </w:endnote>
  <w:endnote w:id="47">
    <w:p w14:paraId="4CA60F4E" w14:textId="29793DC0" w:rsidR="00A863D6" w:rsidRPr="00A863D6" w:rsidRDefault="00A863D6">
      <w:pPr>
        <w:pStyle w:val="EndnoteText"/>
      </w:pPr>
      <w:r>
        <w:rPr>
          <w:rStyle w:val="EndnoteReference"/>
        </w:rPr>
        <w:endnoteRef/>
      </w:r>
      <w:r>
        <w:t xml:space="preserve"> </w:t>
      </w:r>
      <w:r w:rsidRPr="008D1E47">
        <w:t>https://www.bbc.co.uk/news/uk-england-bristol-44222057</w:t>
      </w:r>
    </w:p>
  </w:endnote>
  <w:endnote w:id="48">
    <w:p w14:paraId="35E10A47" w14:textId="58FF777D" w:rsidR="00733561" w:rsidRPr="00733561" w:rsidRDefault="00733561" w:rsidP="00733561">
      <w:pPr>
        <w:pStyle w:val="EndnoteText"/>
      </w:pPr>
      <w:r>
        <w:rPr>
          <w:rStyle w:val="EndnoteReference"/>
        </w:rPr>
        <w:endnoteRef/>
      </w:r>
      <w:r>
        <w:t xml:space="preserve"> </w:t>
      </w:r>
      <w:r w:rsidRPr="00C40340">
        <w:t xml:space="preserve">AP Simester, </w:t>
      </w:r>
      <w:r w:rsidRPr="00C40340">
        <w:rPr>
          <w:i/>
          <w:iCs/>
        </w:rPr>
        <w:t xml:space="preserve">Fundamentals of Criminal Law: Responsibility, Culpability and Wrongdoing </w:t>
      </w:r>
      <w:r w:rsidRPr="00C40340">
        <w:t>(Oxford University Press 2021)</w:t>
      </w:r>
      <w:r w:rsidR="00C40340" w:rsidRPr="00C40340">
        <w:t>, 95.</w:t>
      </w:r>
    </w:p>
  </w:endnote>
  <w:endnote w:id="49">
    <w:p w14:paraId="79073E32" w14:textId="45DF0504" w:rsidR="004047D3" w:rsidRPr="00BB1FE2" w:rsidRDefault="004047D3" w:rsidP="00BE1CB2">
      <w:pPr>
        <w:pStyle w:val="EndnoteText"/>
      </w:pPr>
      <w:r>
        <w:rPr>
          <w:rStyle w:val="EndnoteReference"/>
        </w:rPr>
        <w:endnoteRef/>
      </w:r>
      <w:r>
        <w:t xml:space="preserve"> AP </w:t>
      </w:r>
      <w:r w:rsidRPr="00027DC9">
        <w:t>Simester</w:t>
      </w:r>
      <w:r>
        <w:t xml:space="preserve"> </w:t>
      </w:r>
      <w:r w:rsidRPr="00027DC9">
        <w:t>and</w:t>
      </w:r>
      <w:r>
        <w:t xml:space="preserve"> GR</w:t>
      </w:r>
      <w:r w:rsidRPr="00027DC9">
        <w:t xml:space="preserve"> Sullivan</w:t>
      </w:r>
      <w:r>
        <w:t xml:space="preserve">, </w:t>
      </w:r>
      <w:r w:rsidRPr="00027DC9">
        <w:t>‘Causing Euthanasia’ [2019] LQR 21</w:t>
      </w:r>
      <w:r w:rsidR="00186998">
        <w:t xml:space="preserve"> at</w:t>
      </w:r>
      <w:r>
        <w:t xml:space="preserve"> 25.</w:t>
      </w:r>
    </w:p>
  </w:endnote>
  <w:endnote w:id="50">
    <w:p w14:paraId="55E3049B" w14:textId="26686F9E" w:rsidR="002200C8" w:rsidRDefault="002200C8">
      <w:pPr>
        <w:pStyle w:val="EndnoteText"/>
      </w:pPr>
      <w:r>
        <w:rPr>
          <w:rStyle w:val="EndnoteReference"/>
        </w:rPr>
        <w:endnoteRef/>
      </w:r>
      <w:r>
        <w:t xml:space="preserve"> See Firkins, above n.</w:t>
      </w:r>
      <w:r w:rsidR="006D6C47">
        <w:t xml:space="preserve"> </w:t>
      </w:r>
      <w:r>
        <w:t>12 at 23.</w:t>
      </w:r>
    </w:p>
  </w:endnote>
  <w:endnote w:id="51">
    <w:p w14:paraId="7AAC1C14" w14:textId="77777777" w:rsidR="003002C6" w:rsidRPr="00CE384C" w:rsidRDefault="003002C6" w:rsidP="003002C6">
      <w:pPr>
        <w:pStyle w:val="EndnoteText"/>
      </w:pPr>
      <w:r>
        <w:rPr>
          <w:rStyle w:val="EndnoteReference"/>
        </w:rPr>
        <w:endnoteRef/>
      </w:r>
      <w:r>
        <w:t xml:space="preserve"> William </w:t>
      </w:r>
      <w:r w:rsidRPr="00027DC9">
        <w:t>Wilson</w:t>
      </w:r>
      <w:r>
        <w:t>,</w:t>
      </w:r>
      <w:r w:rsidRPr="00027DC9">
        <w:t xml:space="preserve"> </w:t>
      </w:r>
      <w:r w:rsidRPr="00027DC9">
        <w:rPr>
          <w:i/>
          <w:iCs/>
        </w:rPr>
        <w:t xml:space="preserve">Central Issues in Criminal Theory </w:t>
      </w:r>
      <w:r w:rsidRPr="00027DC9">
        <w:t>(Hart Publishing 2002)</w:t>
      </w:r>
      <w:r>
        <w:t>, 177.</w:t>
      </w:r>
    </w:p>
  </w:endnote>
  <w:endnote w:id="52">
    <w:p w14:paraId="640149AD" w14:textId="6D72CB36" w:rsidR="00275612" w:rsidRPr="00275612" w:rsidRDefault="00275612">
      <w:pPr>
        <w:pStyle w:val="EndnoteText"/>
      </w:pPr>
      <w:r>
        <w:rPr>
          <w:rStyle w:val="EndnoteReference"/>
        </w:rPr>
        <w:endnoteRef/>
      </w:r>
      <w:r>
        <w:t xml:space="preserve"> See</w:t>
      </w:r>
      <w:r>
        <w:rPr>
          <w:i/>
          <w:iCs/>
        </w:rPr>
        <w:t xml:space="preserve"> Field </w:t>
      </w:r>
      <w:r>
        <w:t xml:space="preserve">[2021], above n. </w:t>
      </w:r>
      <w:r w:rsidR="004C4BC0">
        <w:t>3</w:t>
      </w:r>
      <w:r>
        <w:t>.</w:t>
      </w:r>
    </w:p>
  </w:endnote>
  <w:endnote w:id="53">
    <w:p w14:paraId="69CFE13C" w14:textId="36C2FDA0" w:rsidR="004047D3" w:rsidRPr="004B6941" w:rsidRDefault="004047D3">
      <w:pPr>
        <w:pStyle w:val="EndnoteText"/>
      </w:pPr>
      <w:r w:rsidRPr="004B6941">
        <w:rPr>
          <w:rStyle w:val="EndnoteReference"/>
        </w:rPr>
        <w:endnoteRef/>
      </w:r>
      <w:r w:rsidRPr="004B6941">
        <w:t xml:space="preserve"> </w:t>
      </w:r>
      <w:r w:rsidR="00186998">
        <w:t xml:space="preserve">See </w:t>
      </w:r>
      <w:r w:rsidRPr="004B6941">
        <w:rPr>
          <w:i/>
          <w:iCs/>
        </w:rPr>
        <w:t xml:space="preserve">Field </w:t>
      </w:r>
      <w:r w:rsidRPr="004B6941">
        <w:t xml:space="preserve">[2021] </w:t>
      </w:r>
      <w:r w:rsidR="00186998">
        <w:t xml:space="preserve">above n. </w:t>
      </w:r>
      <w:r w:rsidR="004C4BC0">
        <w:t>3</w:t>
      </w:r>
      <w:r w:rsidRPr="004B6941">
        <w:t xml:space="preserve"> at [60].</w:t>
      </w:r>
    </w:p>
  </w:endnote>
  <w:endnote w:id="54">
    <w:p w14:paraId="0600F7E6" w14:textId="6B3E8D75" w:rsidR="004047D3" w:rsidRDefault="004047D3">
      <w:pPr>
        <w:pStyle w:val="EndnoteText"/>
      </w:pPr>
      <w:r w:rsidRPr="004B6941">
        <w:rPr>
          <w:rStyle w:val="EndnoteReference"/>
        </w:rPr>
        <w:endnoteRef/>
      </w:r>
      <w:r w:rsidRPr="004B6941">
        <w:t xml:space="preserve"> </w:t>
      </w:r>
      <w:r w:rsidR="00186998" w:rsidRPr="00186998">
        <w:t>Ibid</w:t>
      </w:r>
      <w:r w:rsidR="001D1517">
        <w:t>.</w:t>
      </w:r>
      <w:r>
        <w:t xml:space="preserve"> at [61].</w:t>
      </w:r>
    </w:p>
  </w:endnote>
  <w:endnote w:id="55">
    <w:p w14:paraId="17581DC0" w14:textId="02007018" w:rsidR="004047D3" w:rsidRPr="00BD4536" w:rsidRDefault="004047D3">
      <w:pPr>
        <w:pStyle w:val="EndnoteText"/>
      </w:pPr>
      <w:r w:rsidRPr="00E00B7E">
        <w:rPr>
          <w:rStyle w:val="EndnoteReference"/>
        </w:rPr>
        <w:endnoteRef/>
      </w:r>
      <w:r w:rsidRPr="00E00B7E">
        <w:t xml:space="preserve"> </w:t>
      </w:r>
      <w:r w:rsidR="00186998" w:rsidRPr="00E00B7E">
        <w:t>See</w:t>
      </w:r>
      <w:r w:rsidRPr="00E00B7E">
        <w:t xml:space="preserve"> Simester and Sullivan, </w:t>
      </w:r>
      <w:r w:rsidR="00186998" w:rsidRPr="00E00B7E">
        <w:t>above n</w:t>
      </w:r>
      <w:r w:rsidR="002200C8">
        <w:t>.</w:t>
      </w:r>
      <w:r w:rsidR="00186998" w:rsidRPr="00E00B7E">
        <w:t xml:space="preserve"> </w:t>
      </w:r>
      <w:r w:rsidR="00E00B7E" w:rsidRPr="00E00B7E">
        <w:t>4</w:t>
      </w:r>
      <w:r w:rsidR="008A7220">
        <w:t>8</w:t>
      </w:r>
      <w:r w:rsidR="00186998" w:rsidRPr="00E00B7E">
        <w:t xml:space="preserve"> at</w:t>
      </w:r>
      <w:r w:rsidRPr="00E00B7E">
        <w:t xml:space="preserve"> 26.</w:t>
      </w:r>
    </w:p>
  </w:endnote>
  <w:endnote w:id="56">
    <w:p w14:paraId="1016F53E" w14:textId="12DA26F5" w:rsidR="00AE18D6" w:rsidRPr="009171E0" w:rsidRDefault="00AE18D6" w:rsidP="00AE18D6">
      <w:pPr>
        <w:pStyle w:val="EndnoteText"/>
      </w:pPr>
      <w:r>
        <w:rPr>
          <w:rStyle w:val="EndnoteReference"/>
        </w:rPr>
        <w:endnoteRef/>
      </w:r>
      <w:r>
        <w:t xml:space="preserve"> </w:t>
      </w:r>
      <w:r w:rsidR="004465AB">
        <w:t xml:space="preserve">See </w:t>
      </w:r>
      <w:r w:rsidRPr="007A658E">
        <w:rPr>
          <w:i/>
          <w:iCs/>
        </w:rPr>
        <w:t>Kennedy</w:t>
      </w:r>
      <w:r w:rsidR="000F5F9B">
        <w:rPr>
          <w:i/>
          <w:iCs/>
        </w:rPr>
        <w:t xml:space="preserve">, </w:t>
      </w:r>
      <w:r w:rsidR="000F5F9B" w:rsidRPr="000F5F9B">
        <w:t>above n.</w:t>
      </w:r>
      <w:r w:rsidR="00775F05">
        <w:t xml:space="preserve"> </w:t>
      </w:r>
      <w:r w:rsidR="000F5F9B" w:rsidRPr="000F5F9B">
        <w:t>2</w:t>
      </w:r>
      <w:r w:rsidR="005555C2">
        <w:t>1</w:t>
      </w:r>
      <w:r>
        <w:t xml:space="preserve"> at [19].</w:t>
      </w:r>
    </w:p>
  </w:endnote>
  <w:endnote w:id="57">
    <w:p w14:paraId="75837BAF" w14:textId="0725A3AF" w:rsidR="004047D3" w:rsidRPr="00D50EC2" w:rsidRDefault="004047D3" w:rsidP="005F4E76">
      <w:pPr>
        <w:pStyle w:val="EndnoteText"/>
      </w:pPr>
      <w:r w:rsidRPr="0048675D">
        <w:rPr>
          <w:rStyle w:val="EndnoteReference"/>
        </w:rPr>
        <w:endnoteRef/>
      </w:r>
      <w:r w:rsidRPr="0048675D">
        <w:t xml:space="preserve"> </w:t>
      </w:r>
      <w:r w:rsidR="00186998">
        <w:t xml:space="preserve">See </w:t>
      </w:r>
      <w:r w:rsidRPr="00027DC9">
        <w:t>Wilson</w:t>
      </w:r>
      <w:r>
        <w:t>,</w:t>
      </w:r>
      <w:r w:rsidRPr="00027DC9">
        <w:t xml:space="preserve"> </w:t>
      </w:r>
      <w:r w:rsidR="00186998">
        <w:t>above n</w:t>
      </w:r>
      <w:r w:rsidR="00775F05">
        <w:t>.</w:t>
      </w:r>
      <w:r w:rsidR="00186998">
        <w:t xml:space="preserve"> </w:t>
      </w:r>
      <w:r w:rsidR="00E2751A">
        <w:t>50</w:t>
      </w:r>
      <w:r w:rsidR="001D1517">
        <w:t xml:space="preserve"> at</w:t>
      </w:r>
      <w:r w:rsidR="00186998">
        <w:t xml:space="preserve"> </w:t>
      </w:r>
      <w:r>
        <w:t>177.</w:t>
      </w:r>
    </w:p>
  </w:endnote>
  <w:endnote w:id="58">
    <w:p w14:paraId="7292BAA5" w14:textId="25C0CC03" w:rsidR="00A47E40" w:rsidRDefault="00A47E40" w:rsidP="00A47E40">
      <w:pPr>
        <w:pStyle w:val="EndnoteText"/>
      </w:pPr>
      <w:r>
        <w:rPr>
          <w:rStyle w:val="EndnoteReference"/>
        </w:rPr>
        <w:endnoteRef/>
      </w:r>
      <w:r>
        <w:t xml:space="preserve"> See</w:t>
      </w:r>
      <w:r>
        <w:rPr>
          <w:i/>
          <w:iCs/>
        </w:rPr>
        <w:t xml:space="preserve"> Field </w:t>
      </w:r>
      <w:r>
        <w:t xml:space="preserve">[2021], above n. </w:t>
      </w:r>
      <w:r w:rsidR="000F5F9B">
        <w:t>3</w:t>
      </w:r>
      <w:r>
        <w:t xml:space="preserve"> [57].</w:t>
      </w:r>
    </w:p>
  </w:endnote>
  <w:endnote w:id="59">
    <w:p w14:paraId="20A85A4D" w14:textId="4D25E961" w:rsidR="004047D3" w:rsidRDefault="004047D3">
      <w:pPr>
        <w:pStyle w:val="EndnoteText"/>
      </w:pPr>
      <w:r>
        <w:rPr>
          <w:rStyle w:val="EndnoteReference"/>
        </w:rPr>
        <w:endnoteRef/>
      </w:r>
      <w:r>
        <w:t xml:space="preserve"> </w:t>
      </w:r>
      <w:r w:rsidR="000F5F9B">
        <w:t>Ibid, at</w:t>
      </w:r>
      <w:r>
        <w:t xml:space="preserve"> [49].</w:t>
      </w:r>
    </w:p>
  </w:endnote>
  <w:endnote w:id="60">
    <w:p w14:paraId="15DFC724" w14:textId="0EB41BD3" w:rsidR="004047D3" w:rsidRPr="007A7CEC" w:rsidRDefault="004047D3">
      <w:pPr>
        <w:pStyle w:val="EndnoteText"/>
      </w:pPr>
      <w:r>
        <w:rPr>
          <w:rStyle w:val="EndnoteReference"/>
        </w:rPr>
        <w:endnoteRef/>
      </w:r>
      <w:r>
        <w:t xml:space="preserve"> </w:t>
      </w:r>
      <w:r w:rsidR="00186998">
        <w:t>Ibid</w:t>
      </w:r>
      <w:r w:rsidR="001D1517">
        <w:t>.</w:t>
      </w:r>
      <w:r>
        <w:t xml:space="preserve"> at [59].</w:t>
      </w:r>
    </w:p>
  </w:endnote>
  <w:endnote w:id="61">
    <w:p w14:paraId="33BBCF89" w14:textId="2E9C155E" w:rsidR="004047D3" w:rsidRPr="00D638F3" w:rsidRDefault="004047D3">
      <w:pPr>
        <w:pStyle w:val="EndnoteText"/>
      </w:pPr>
      <w:r w:rsidRPr="00D638F3">
        <w:rPr>
          <w:rStyle w:val="EndnoteReference"/>
        </w:rPr>
        <w:endnoteRef/>
      </w:r>
      <w:r w:rsidRPr="00D638F3">
        <w:t xml:space="preserve"> </w:t>
      </w:r>
      <w:r w:rsidR="00186998">
        <w:t>Ibid</w:t>
      </w:r>
      <w:r w:rsidR="001D1517">
        <w:t>.</w:t>
      </w:r>
      <w:r w:rsidRPr="00D638F3">
        <w:t xml:space="preserve"> at [62].</w:t>
      </w:r>
    </w:p>
  </w:endnote>
  <w:endnote w:id="62">
    <w:p w14:paraId="1B23C6AB" w14:textId="34EC74F7" w:rsidR="004047D3" w:rsidRDefault="004047D3">
      <w:pPr>
        <w:pStyle w:val="EndnoteText"/>
      </w:pPr>
      <w:r w:rsidRPr="00D638F3">
        <w:rPr>
          <w:rStyle w:val="EndnoteReference"/>
        </w:rPr>
        <w:endnoteRef/>
      </w:r>
      <w:r>
        <w:t xml:space="preserve"> </w:t>
      </w:r>
      <w:r w:rsidR="00186998">
        <w:t>Ibid</w:t>
      </w:r>
      <w:r w:rsidR="001D1517">
        <w:t>.</w:t>
      </w:r>
      <w:r w:rsidR="00186998">
        <w:t xml:space="preserve"> </w:t>
      </w:r>
      <w:r w:rsidRPr="00D638F3">
        <w:t>at [</w:t>
      </w:r>
      <w:r>
        <w:t>63</w:t>
      </w:r>
      <w:r w:rsidRPr="00D638F3">
        <w:t>].</w:t>
      </w:r>
    </w:p>
  </w:endnote>
  <w:endnote w:id="63">
    <w:p w14:paraId="14FFAA11" w14:textId="23C646E8" w:rsidR="004047D3" w:rsidRPr="00BA4880" w:rsidRDefault="004047D3">
      <w:pPr>
        <w:pStyle w:val="EndnoteText"/>
      </w:pPr>
      <w:r>
        <w:rPr>
          <w:rStyle w:val="EndnoteReference"/>
        </w:rPr>
        <w:endnoteRef/>
      </w:r>
      <w:r>
        <w:t xml:space="preserve"> For an alternative evaluation of the case, see Umar Azmeh, ’Murder: R v Field (Benjamin Luke) Court of Appeal (Criminal Division): Fulford LJ VPCACD, Whipple and Fordham JJ: 18 March 2021; [2021] EWCA Crim 380’ Crim LR [2021] 980</w:t>
      </w:r>
      <w:r w:rsidR="00186998">
        <w:t xml:space="preserve"> at </w:t>
      </w:r>
      <w:r>
        <w:t xml:space="preserve">984 argues that the reasoning of the case is correct as </w:t>
      </w:r>
      <w:r w:rsidR="000354C6">
        <w:t>‘</w:t>
      </w:r>
      <w:r>
        <w:t>it is important that the law is workable when grounded in practicalities, rather than being an abstruse and rigid set of legal niceties</w:t>
      </w:r>
      <w:r w:rsidR="00186998">
        <w:t>.</w:t>
      </w:r>
      <w:r w:rsidR="000354C6">
        <w:t>’</w:t>
      </w:r>
    </w:p>
  </w:endnote>
  <w:endnote w:id="64">
    <w:p w14:paraId="187F21AE" w14:textId="3008F284" w:rsidR="0066209D" w:rsidRDefault="0066209D">
      <w:pPr>
        <w:pStyle w:val="EndnoteText"/>
      </w:pPr>
      <w:r>
        <w:rPr>
          <w:rStyle w:val="EndnoteReference"/>
        </w:rPr>
        <w:endnoteRef/>
      </w:r>
      <w:r>
        <w:t xml:space="preserve"> See </w:t>
      </w:r>
      <w:r w:rsidRPr="003A64EB">
        <w:t>Sullivan and</w:t>
      </w:r>
      <w:r>
        <w:t xml:space="preserve"> Se</w:t>
      </w:r>
      <w:r w:rsidRPr="003A64EB">
        <w:t xml:space="preserve">mester, </w:t>
      </w:r>
      <w:r>
        <w:t>above n</w:t>
      </w:r>
      <w:r w:rsidR="00CB1B58">
        <w:t>.</w:t>
      </w:r>
      <w:r>
        <w:t xml:space="preserve"> 4</w:t>
      </w:r>
      <w:r w:rsidR="008A7220">
        <w:t>8</w:t>
      </w:r>
      <w:r w:rsidR="001D1517">
        <w:t xml:space="preserve"> at</w:t>
      </w:r>
      <w:r>
        <w:t xml:space="preserve"> 14-15.</w:t>
      </w:r>
    </w:p>
  </w:endnote>
  <w:endnote w:id="65">
    <w:p w14:paraId="60128EBD" w14:textId="534CE331" w:rsidR="004047D3" w:rsidRPr="0019206A" w:rsidRDefault="004047D3">
      <w:pPr>
        <w:pStyle w:val="EndnoteText"/>
      </w:pPr>
      <w:r w:rsidRPr="0019206A">
        <w:rPr>
          <w:rStyle w:val="EndnoteReference"/>
        </w:rPr>
        <w:endnoteRef/>
      </w:r>
      <w:r w:rsidRPr="0019206A">
        <w:t xml:space="preserve"> </w:t>
      </w:r>
      <w:r w:rsidR="00186998">
        <w:t xml:space="preserve">See </w:t>
      </w:r>
      <w:r w:rsidR="00186998" w:rsidRPr="00027DC9">
        <w:t>Wilson</w:t>
      </w:r>
      <w:r w:rsidR="00186998">
        <w:t>,</w:t>
      </w:r>
      <w:r w:rsidR="00186998" w:rsidRPr="00027DC9">
        <w:t xml:space="preserve"> </w:t>
      </w:r>
      <w:r w:rsidR="00186998">
        <w:t>above n</w:t>
      </w:r>
      <w:r w:rsidR="00CB1B58">
        <w:t>.</w:t>
      </w:r>
      <w:r w:rsidR="00186998">
        <w:t xml:space="preserve"> </w:t>
      </w:r>
      <w:r w:rsidR="00E2751A">
        <w:t>50</w:t>
      </w:r>
      <w:r w:rsidR="001D1517">
        <w:t xml:space="preserve"> at</w:t>
      </w:r>
      <w:r w:rsidR="00186998">
        <w:t xml:space="preserve"> </w:t>
      </w:r>
      <w:r w:rsidRPr="0019206A">
        <w:t>78</w:t>
      </w:r>
      <w:r w:rsidR="007B25D8">
        <w:t xml:space="preserve"> and </w:t>
      </w:r>
      <w:r>
        <w:t>Simester,</w:t>
      </w:r>
      <w:r w:rsidR="007B25D8">
        <w:t xml:space="preserve"> above n. </w:t>
      </w:r>
      <w:r w:rsidR="004E4B0E">
        <w:t>1</w:t>
      </w:r>
      <w:r w:rsidR="007B25D8">
        <w:t xml:space="preserve"> at</w:t>
      </w:r>
      <w:r>
        <w:t xml:space="preserve"> 427.</w:t>
      </w:r>
    </w:p>
  </w:endnote>
  <w:endnote w:id="66">
    <w:p w14:paraId="02A18289" w14:textId="55CBB96A" w:rsidR="004047D3" w:rsidRPr="0048675D" w:rsidRDefault="004047D3">
      <w:pPr>
        <w:pStyle w:val="EndnoteText"/>
        <w:rPr>
          <w:highlight w:val="yellow"/>
        </w:rPr>
      </w:pPr>
      <w:r w:rsidRPr="0019206A">
        <w:rPr>
          <w:rStyle w:val="EndnoteReference"/>
        </w:rPr>
        <w:endnoteRef/>
      </w:r>
      <w:r w:rsidRPr="0019206A">
        <w:t xml:space="preserve"> </w:t>
      </w:r>
      <w:r w:rsidR="001D1517" w:rsidRPr="0019206A">
        <w:rPr>
          <w:i/>
          <w:iCs/>
        </w:rPr>
        <w:t xml:space="preserve">R v Gibbins </w:t>
      </w:r>
      <w:r w:rsidR="001D1517" w:rsidRPr="0019206A">
        <w:t>[1918] 4</w:t>
      </w:r>
      <w:r w:rsidR="001D1517">
        <w:t xml:space="preserve"> WLUK 25; </w:t>
      </w:r>
      <w:r w:rsidRPr="0019206A">
        <w:rPr>
          <w:i/>
          <w:iCs/>
        </w:rPr>
        <w:t xml:space="preserve">R v Matthews </w:t>
      </w:r>
      <w:r w:rsidRPr="0019206A">
        <w:t>[2003] EQCA Crim 192</w:t>
      </w:r>
      <w:r w:rsidR="007B25D8">
        <w:t>.</w:t>
      </w:r>
    </w:p>
  </w:endnote>
  <w:endnote w:id="67">
    <w:p w14:paraId="67E7C162" w14:textId="2F4CF567" w:rsidR="004047D3" w:rsidRPr="003D7CC9" w:rsidRDefault="004047D3">
      <w:pPr>
        <w:pStyle w:val="EndnoteText"/>
      </w:pPr>
      <w:r>
        <w:rPr>
          <w:rStyle w:val="EndnoteReference"/>
        </w:rPr>
        <w:endnoteRef/>
      </w:r>
      <w:r>
        <w:t xml:space="preserve"> </w:t>
      </w:r>
      <w:r w:rsidR="007B25D8">
        <w:t>For further discussion of whether a duty equates to legal causation s</w:t>
      </w:r>
      <w:r>
        <w:t>ee Helen Beynon, ‘Causation, omissions and complicity’ [1987] Crim LR 539.</w:t>
      </w:r>
    </w:p>
  </w:endnote>
  <w:endnote w:id="68">
    <w:p w14:paraId="7D88F461" w14:textId="7E11BC03" w:rsidR="004047D3" w:rsidRPr="00952865" w:rsidRDefault="004047D3" w:rsidP="00952865">
      <w:pPr>
        <w:pStyle w:val="EndnoteText"/>
        <w:rPr>
          <w:highlight w:val="yellow"/>
        </w:rPr>
      </w:pPr>
      <w:r w:rsidRPr="00952865">
        <w:rPr>
          <w:rStyle w:val="EndnoteReference"/>
        </w:rPr>
        <w:endnoteRef/>
      </w:r>
      <w:r w:rsidRPr="00952865">
        <w:t xml:space="preserve"> </w:t>
      </w:r>
      <w:r w:rsidRPr="00F3423D">
        <w:t xml:space="preserve">Michael Moore, </w:t>
      </w:r>
      <w:r w:rsidRPr="00E07E18">
        <w:rPr>
          <w:i/>
          <w:iCs/>
        </w:rPr>
        <w:t>Act and Crime: The Philosophy of Action and its Implications in Criminal Law</w:t>
      </w:r>
      <w:r w:rsidRPr="00F3423D">
        <w:rPr>
          <w:i/>
          <w:iCs/>
        </w:rPr>
        <w:t xml:space="preserve"> </w:t>
      </w:r>
      <w:r w:rsidRPr="00F3423D">
        <w:t>(London: Clarendon Press 1993)</w:t>
      </w:r>
      <w:r w:rsidR="001D1517">
        <w:t>,</w:t>
      </w:r>
      <w:r w:rsidRPr="00F3423D">
        <w:t xml:space="preserve"> 350.</w:t>
      </w:r>
    </w:p>
  </w:endnote>
  <w:endnote w:id="69">
    <w:p w14:paraId="471F931C" w14:textId="67909F15" w:rsidR="004047D3" w:rsidRDefault="004047D3">
      <w:pPr>
        <w:pStyle w:val="EndnoteText"/>
      </w:pPr>
      <w:r w:rsidRPr="00EE199E">
        <w:rPr>
          <w:rStyle w:val="EndnoteReference"/>
        </w:rPr>
        <w:endnoteRef/>
      </w:r>
      <w:r w:rsidRPr="00EE199E">
        <w:t xml:space="preserve"> </w:t>
      </w:r>
      <w:r>
        <w:t xml:space="preserve">For example, see </w:t>
      </w:r>
      <w:r w:rsidRPr="00EE199E">
        <w:t>Glanville Williams, ‘Criminal Omissions – The Conventional View’ [1991] LQR 86</w:t>
      </w:r>
      <w:r>
        <w:t xml:space="preserve"> who argues for the conventional view based on clearly defined duty situations, compared to Andrew </w:t>
      </w:r>
      <w:r w:rsidRPr="00F3423D">
        <w:t>Ashworth, ‘The Scope of Criminal Liability for Omissions’ [1989] LQR 424</w:t>
      </w:r>
      <w:r>
        <w:t xml:space="preserve"> who promotes a social responsibility view which places citizens under a general duty to render assistance.</w:t>
      </w:r>
    </w:p>
  </w:endnote>
  <w:endnote w:id="70">
    <w:p w14:paraId="19B4B908" w14:textId="2EDCD4A5" w:rsidR="004047D3" w:rsidRPr="00EE199E" w:rsidRDefault="004047D3">
      <w:pPr>
        <w:pStyle w:val="EndnoteText"/>
      </w:pPr>
      <w:r w:rsidRPr="00EE199E">
        <w:rPr>
          <w:rStyle w:val="EndnoteReference"/>
        </w:rPr>
        <w:endnoteRef/>
      </w:r>
      <w:r w:rsidRPr="00EE199E">
        <w:t xml:space="preserve"> </w:t>
      </w:r>
      <w:r w:rsidRPr="00107D00">
        <w:t>George P. F</w:t>
      </w:r>
      <w:r w:rsidR="00CE027A" w:rsidRPr="00107D00">
        <w:t>l</w:t>
      </w:r>
      <w:r w:rsidRPr="00107D00">
        <w:t xml:space="preserve">etcher, </w:t>
      </w:r>
      <w:r w:rsidRPr="00107D00">
        <w:rPr>
          <w:i/>
          <w:iCs/>
        </w:rPr>
        <w:t xml:space="preserve">Rethinking Criminal Law </w:t>
      </w:r>
      <w:r w:rsidRPr="00107D00">
        <w:t>(Oxford: Oxford University Press 2000)</w:t>
      </w:r>
      <w:r w:rsidR="001D1517" w:rsidRPr="00107D00">
        <w:t>,</w:t>
      </w:r>
      <w:r w:rsidRPr="00107D00">
        <w:t xml:space="preserve"> 628-629.</w:t>
      </w:r>
      <w:r>
        <w:t xml:space="preserve">  See also, </w:t>
      </w:r>
      <w:r w:rsidRPr="00716846">
        <w:rPr>
          <w:color w:val="000000"/>
        </w:rPr>
        <w:t>Jonathan Herring and Elaine Palser</w:t>
      </w:r>
      <w:r>
        <w:rPr>
          <w:color w:val="000000"/>
        </w:rPr>
        <w:t>, ‘T</w:t>
      </w:r>
      <w:r w:rsidRPr="00716846">
        <w:rPr>
          <w:color w:val="000000"/>
        </w:rPr>
        <w:t>he Duty of Care in Gross Negligence Manslaughter</w:t>
      </w:r>
      <w:r>
        <w:rPr>
          <w:color w:val="000000"/>
        </w:rPr>
        <w:t>’</w:t>
      </w:r>
      <w:r w:rsidRPr="00716846">
        <w:rPr>
          <w:color w:val="000000"/>
        </w:rPr>
        <w:t xml:space="preserve"> [2007] Crim LR 24</w:t>
      </w:r>
      <w:r>
        <w:rPr>
          <w:color w:val="000000"/>
        </w:rPr>
        <w:t>.</w:t>
      </w:r>
    </w:p>
  </w:endnote>
  <w:endnote w:id="71">
    <w:p w14:paraId="0BE14EB2" w14:textId="2DB9BF0D" w:rsidR="004047D3" w:rsidRPr="00C0475D" w:rsidRDefault="004047D3">
      <w:pPr>
        <w:pStyle w:val="EndnoteText"/>
        <w:rPr>
          <w:highlight w:val="yellow"/>
        </w:rPr>
      </w:pPr>
      <w:r w:rsidRPr="00C0475D">
        <w:rPr>
          <w:rStyle w:val="EndnoteReference"/>
        </w:rPr>
        <w:endnoteRef/>
      </w:r>
      <w:r w:rsidRPr="00C0475D">
        <w:t xml:space="preserve"> </w:t>
      </w:r>
      <w:r w:rsidRPr="00C0475D">
        <w:rPr>
          <w:i/>
          <w:iCs/>
        </w:rPr>
        <w:t xml:space="preserve">R v Stone </w:t>
      </w:r>
      <w:r w:rsidRPr="00C0475D">
        <w:t>[1977] QB 354.</w:t>
      </w:r>
    </w:p>
  </w:endnote>
  <w:endnote w:id="72">
    <w:p w14:paraId="036C4F3F" w14:textId="63CD1AA6" w:rsidR="004047D3" w:rsidRPr="00C0475D" w:rsidRDefault="004047D3">
      <w:pPr>
        <w:pStyle w:val="EndnoteText"/>
      </w:pPr>
      <w:r w:rsidRPr="00C0475D">
        <w:rPr>
          <w:rStyle w:val="EndnoteReference"/>
        </w:rPr>
        <w:endnoteRef/>
      </w:r>
      <w:r w:rsidRPr="00C0475D">
        <w:t xml:space="preserve"> </w:t>
      </w:r>
      <w:r w:rsidRPr="00C0475D">
        <w:rPr>
          <w:i/>
          <w:iCs/>
        </w:rPr>
        <w:t>R v Hood</w:t>
      </w:r>
      <w:r w:rsidRPr="00C0475D">
        <w:t xml:space="preserve"> [2003] EWCA Crim 2772.</w:t>
      </w:r>
    </w:p>
  </w:endnote>
  <w:endnote w:id="73">
    <w:p w14:paraId="5105FBFD" w14:textId="6D65E551" w:rsidR="004047D3" w:rsidRPr="00A66F80" w:rsidRDefault="004047D3">
      <w:pPr>
        <w:pStyle w:val="EndnoteText"/>
        <w:rPr>
          <w:highlight w:val="yellow"/>
        </w:rPr>
      </w:pPr>
      <w:r w:rsidRPr="00A66F80">
        <w:rPr>
          <w:rStyle w:val="EndnoteReference"/>
        </w:rPr>
        <w:endnoteRef/>
      </w:r>
      <w:r w:rsidRPr="00A66F80">
        <w:t xml:space="preserve"> </w:t>
      </w:r>
      <w:r w:rsidRPr="00A66F80">
        <w:rPr>
          <w:i/>
          <w:iCs/>
        </w:rPr>
        <w:t xml:space="preserve">R v Miller </w:t>
      </w:r>
      <w:r w:rsidRPr="00A66F80">
        <w:t>[1983] 2 AC 161</w:t>
      </w:r>
      <w:r w:rsidR="00634FD4">
        <w:t>;</w:t>
      </w:r>
      <w:r w:rsidRPr="00A66F80">
        <w:rPr>
          <w:i/>
          <w:iCs/>
        </w:rPr>
        <w:t xml:space="preserve"> </w:t>
      </w:r>
      <w:r>
        <w:rPr>
          <w:i/>
          <w:iCs/>
        </w:rPr>
        <w:t xml:space="preserve">R v Ruffell </w:t>
      </w:r>
      <w:r>
        <w:t>[2003] EWCA Crim 122.</w:t>
      </w:r>
    </w:p>
  </w:endnote>
  <w:endnote w:id="74">
    <w:p w14:paraId="29165BDA" w14:textId="039503DC" w:rsidR="004047D3" w:rsidRPr="00716846" w:rsidRDefault="004047D3" w:rsidP="00716846">
      <w:pPr>
        <w:pStyle w:val="EndnoteText"/>
        <w:rPr>
          <w:i/>
          <w:iCs/>
        </w:rPr>
      </w:pPr>
      <w:r>
        <w:rPr>
          <w:rStyle w:val="EndnoteReference"/>
        </w:rPr>
        <w:endnoteRef/>
      </w:r>
      <w:r>
        <w:t xml:space="preserve"> </w:t>
      </w:r>
      <w:r w:rsidRPr="00A66F80">
        <w:rPr>
          <w:i/>
          <w:iCs/>
        </w:rPr>
        <w:t xml:space="preserve">R v Evans </w:t>
      </w:r>
      <w:r w:rsidRPr="00A66F80">
        <w:t>[2009] 1 WLR 1999</w:t>
      </w:r>
      <w:r>
        <w:t xml:space="preserve"> </w:t>
      </w:r>
      <w:r w:rsidRPr="00716846">
        <w:t xml:space="preserve">at </w:t>
      </w:r>
      <w:r>
        <w:t>[</w:t>
      </w:r>
      <w:r w:rsidRPr="00716846">
        <w:t>36</w:t>
      </w:r>
      <w:r>
        <w:t>]</w:t>
      </w:r>
      <w:r w:rsidR="001D1517">
        <w:t>.</w:t>
      </w:r>
    </w:p>
  </w:endnote>
  <w:endnote w:id="75">
    <w:p w14:paraId="64BE0A76" w14:textId="504BEBBF" w:rsidR="004047D3" w:rsidRPr="0048675D" w:rsidRDefault="004047D3">
      <w:pPr>
        <w:pStyle w:val="EndnoteText"/>
        <w:rPr>
          <w:highlight w:val="yellow"/>
        </w:rPr>
      </w:pPr>
      <w:r w:rsidRPr="00886D53">
        <w:rPr>
          <w:rStyle w:val="EndnoteReference"/>
        </w:rPr>
        <w:endnoteRef/>
      </w:r>
      <w:r w:rsidRPr="00886D53">
        <w:t xml:space="preserve"> Case Comment, ‘Murder – causation – novus actus interveniens’ (2021) 4 Arch Rev 1.</w:t>
      </w:r>
    </w:p>
  </w:endnote>
  <w:endnote w:id="76">
    <w:p w14:paraId="3894BFE8" w14:textId="4C2C5733" w:rsidR="004047D3" w:rsidRDefault="004047D3">
      <w:pPr>
        <w:pStyle w:val="EndnoteText"/>
      </w:pPr>
      <w:r w:rsidRPr="00A66F80">
        <w:rPr>
          <w:rStyle w:val="EndnoteReference"/>
        </w:rPr>
        <w:endnoteRef/>
      </w:r>
      <w:r w:rsidRPr="00A66F80">
        <w:t xml:space="preserve"> </w:t>
      </w:r>
      <w:r w:rsidRPr="00564F11">
        <w:rPr>
          <w:i/>
          <w:iCs/>
        </w:rPr>
        <w:t>Airedale NHS Trust v Bland</w:t>
      </w:r>
      <w:r w:rsidRPr="00564F11">
        <w:t xml:space="preserve"> [1993] AC 789</w:t>
      </w:r>
      <w:r>
        <w:t xml:space="preserve"> at</w:t>
      </w:r>
      <w:r w:rsidRPr="00564F11">
        <w:t xml:space="preserve"> 893</w:t>
      </w:r>
      <w:r w:rsidR="001D1517">
        <w:t>.</w:t>
      </w:r>
    </w:p>
  </w:endnote>
  <w:endnote w:id="77">
    <w:p w14:paraId="6FB985C9" w14:textId="77777777" w:rsidR="003A37BB" w:rsidRPr="00D262BC" w:rsidRDefault="003A37BB" w:rsidP="003A37BB">
      <w:pPr>
        <w:pStyle w:val="EndnoteText"/>
        <w:rPr>
          <w:i/>
          <w:iCs/>
        </w:rPr>
      </w:pPr>
      <w:r>
        <w:rPr>
          <w:rStyle w:val="EndnoteReference"/>
        </w:rPr>
        <w:endnoteRef/>
      </w:r>
      <w:r>
        <w:t xml:space="preserve"> </w:t>
      </w:r>
      <w:r>
        <w:rPr>
          <w:i/>
          <w:iCs/>
        </w:rPr>
        <w:t xml:space="preserve">R v Broughton </w:t>
      </w:r>
      <w:r w:rsidRPr="00D262BC">
        <w:t>[2020] EWCA Crim 1093.</w:t>
      </w:r>
    </w:p>
  </w:endnote>
  <w:endnote w:id="78">
    <w:p w14:paraId="7E6E7CCC" w14:textId="1A864C19" w:rsidR="00B12774" w:rsidRPr="00A37EA7" w:rsidRDefault="00B12774" w:rsidP="00B12774">
      <w:pPr>
        <w:pStyle w:val="EndnoteText"/>
      </w:pPr>
      <w:r>
        <w:rPr>
          <w:rStyle w:val="EndnoteReference"/>
        </w:rPr>
        <w:endnoteRef/>
      </w:r>
      <w:r>
        <w:t xml:space="preserve"> See Fletcher, above n. </w:t>
      </w:r>
      <w:r w:rsidR="00107D00">
        <w:t>6</w:t>
      </w:r>
      <w:r w:rsidR="008A7220">
        <w:t>9</w:t>
      </w:r>
      <w:r w:rsidR="001D1517">
        <w:t xml:space="preserve"> at</w:t>
      </w:r>
      <w:r>
        <w:t xml:space="preserve"> 613.</w:t>
      </w:r>
    </w:p>
  </w:endnote>
  <w:endnote w:id="79">
    <w:p w14:paraId="1A5CA259" w14:textId="027297ED" w:rsidR="00B12774" w:rsidRDefault="00B12774">
      <w:pPr>
        <w:pStyle w:val="EndnoteText"/>
      </w:pPr>
      <w:r>
        <w:rPr>
          <w:rStyle w:val="EndnoteReference"/>
        </w:rPr>
        <w:endnoteRef/>
      </w:r>
      <w:r>
        <w:t xml:space="preserve"> See </w:t>
      </w:r>
      <w:r>
        <w:rPr>
          <w:i/>
          <w:iCs/>
        </w:rPr>
        <w:t xml:space="preserve">Field </w:t>
      </w:r>
      <w:r>
        <w:t>[2021]</w:t>
      </w:r>
      <w:r w:rsidR="00433AE7">
        <w:t>,</w:t>
      </w:r>
      <w:r>
        <w:t xml:space="preserve"> above n. </w:t>
      </w:r>
      <w:r w:rsidR="004E4B0E">
        <w:t>3</w:t>
      </w:r>
      <w:r>
        <w:t xml:space="preserve"> at [63].</w:t>
      </w:r>
    </w:p>
  </w:endnote>
  <w:endnote w:id="80">
    <w:p w14:paraId="01C3F3EF" w14:textId="217578CA" w:rsidR="004047D3" w:rsidRDefault="004047D3">
      <w:pPr>
        <w:pStyle w:val="EndnoteText"/>
      </w:pPr>
      <w:r w:rsidRPr="00C0475D">
        <w:rPr>
          <w:rStyle w:val="EndnoteReference"/>
        </w:rPr>
        <w:endnoteRef/>
      </w:r>
      <w:r w:rsidRPr="00C0475D">
        <w:t xml:space="preserve"> </w:t>
      </w:r>
      <w:r w:rsidRPr="00C0475D">
        <w:rPr>
          <w:i/>
          <w:iCs/>
        </w:rPr>
        <w:t>R v Hood</w:t>
      </w:r>
      <w:r w:rsidRPr="00C0475D">
        <w:t xml:space="preserve"> [2003] EWCA Crim 2772.</w:t>
      </w:r>
    </w:p>
  </w:endnote>
  <w:endnote w:id="81">
    <w:p w14:paraId="154C11A5" w14:textId="4D29C5EF" w:rsidR="003A37BB" w:rsidRDefault="003A37BB">
      <w:pPr>
        <w:pStyle w:val="EndnoteText"/>
      </w:pPr>
      <w:r>
        <w:rPr>
          <w:rStyle w:val="EndnoteReference"/>
        </w:rPr>
        <w:endnoteRef/>
      </w:r>
      <w:r>
        <w:t xml:space="preserve"> </w:t>
      </w:r>
      <w:r>
        <w:rPr>
          <w:i/>
          <w:iCs/>
        </w:rPr>
        <w:t xml:space="preserve">R v Broadhurst </w:t>
      </w:r>
      <w:r>
        <w:t>[2019] EWCA Crim 2026 at [10].</w:t>
      </w:r>
    </w:p>
  </w:endnote>
  <w:endnote w:id="82">
    <w:p w14:paraId="530DEB80" w14:textId="0FF405D9" w:rsidR="004047D3" w:rsidRPr="00EA090B" w:rsidRDefault="004047D3" w:rsidP="00034A4A">
      <w:pPr>
        <w:pStyle w:val="EndnoteText"/>
      </w:pPr>
      <w:r>
        <w:rPr>
          <w:rStyle w:val="EndnoteReference"/>
        </w:rPr>
        <w:endnoteRef/>
      </w:r>
      <w:r>
        <w:t xml:space="preserve"> </w:t>
      </w:r>
      <w:r w:rsidR="004E4B0E">
        <w:t xml:space="preserve">See </w:t>
      </w:r>
      <w:r w:rsidR="004E4B0E" w:rsidRPr="00775F05">
        <w:rPr>
          <w:i/>
          <w:iCs/>
        </w:rPr>
        <w:t>Miller</w:t>
      </w:r>
      <w:r w:rsidR="00397E96">
        <w:t>, above n.</w:t>
      </w:r>
      <w:r w:rsidR="00083285">
        <w:t xml:space="preserve"> </w:t>
      </w:r>
      <w:r w:rsidR="005555C2">
        <w:t>7</w:t>
      </w:r>
      <w:r w:rsidR="008A7220">
        <w:t>2</w:t>
      </w:r>
      <w:r w:rsidR="00083285">
        <w:t xml:space="preserve"> </w:t>
      </w:r>
      <w:r w:rsidRPr="00397E96">
        <w:t>at</w:t>
      </w:r>
      <w:r>
        <w:t xml:space="preserve"> 176</w:t>
      </w:r>
      <w:r w:rsidR="001D1517">
        <w:t>.</w:t>
      </w:r>
    </w:p>
  </w:endnote>
  <w:endnote w:id="83">
    <w:p w14:paraId="37E68976" w14:textId="19727522" w:rsidR="004047D3" w:rsidRPr="00C5003B" w:rsidRDefault="004047D3">
      <w:pPr>
        <w:pStyle w:val="EndnoteText"/>
      </w:pPr>
      <w:r>
        <w:rPr>
          <w:rStyle w:val="EndnoteReference"/>
        </w:rPr>
        <w:endnoteRef/>
      </w:r>
      <w:r>
        <w:t xml:space="preserve"> For example, in </w:t>
      </w:r>
      <w:r>
        <w:rPr>
          <w:i/>
          <w:iCs/>
        </w:rPr>
        <w:t xml:space="preserve">R v </w:t>
      </w:r>
      <w:r w:rsidRPr="00C5003B">
        <w:t>Ruffell</w:t>
      </w:r>
      <w:r w:rsidR="00C5003B">
        <w:t xml:space="preserve">, above n. </w:t>
      </w:r>
      <w:r w:rsidR="005555C2">
        <w:t>7</w:t>
      </w:r>
      <w:r w:rsidR="008A7220">
        <w:t>2</w:t>
      </w:r>
      <w:r w:rsidR="00C5003B">
        <w:t xml:space="preserve"> </w:t>
      </w:r>
      <w:r w:rsidRPr="00C5003B">
        <w:t>the</w:t>
      </w:r>
      <w:r>
        <w:t xml:space="preserve"> defendant created a dangerous situation by leaving the victim outside in the cold, which is not criminal per se.  The actions only amounted to gross negligence manslaughter due to the defendant’s failure to adequately care for the victim once a duty had been undertaken.</w:t>
      </w:r>
    </w:p>
  </w:endnote>
  <w:endnote w:id="84">
    <w:p w14:paraId="297851E3" w14:textId="2DE12087" w:rsidR="004047D3" w:rsidRPr="00034A4A" w:rsidRDefault="004047D3">
      <w:pPr>
        <w:pStyle w:val="EndnoteText"/>
      </w:pPr>
      <w:r>
        <w:rPr>
          <w:rStyle w:val="EndnoteReference"/>
        </w:rPr>
        <w:endnoteRef/>
      </w:r>
      <w:r>
        <w:t xml:space="preserve"> A similar reasoning was used by the curt in </w:t>
      </w:r>
      <w:r>
        <w:rPr>
          <w:i/>
          <w:iCs/>
        </w:rPr>
        <w:t xml:space="preserve">R v Dalby </w:t>
      </w:r>
      <w:r>
        <w:t>[1982] 1 WLR 425 at 429 when i</w:t>
      </w:r>
      <w:r w:rsidR="00083285">
        <w:t>t</w:t>
      </w:r>
      <w:r>
        <w:t xml:space="preserve"> was concluded that ‘the supply of drugs would have caused no harm unless the deceased had subsequently used the drugs in a form and quantity which was dangerous’</w:t>
      </w:r>
      <w:r w:rsidR="001D1517">
        <w:t>.</w:t>
      </w:r>
      <w:r>
        <w:t xml:space="preserve"> </w:t>
      </w:r>
    </w:p>
  </w:endnote>
  <w:endnote w:id="85">
    <w:p w14:paraId="5C5CCD07" w14:textId="5D8255FA" w:rsidR="004047D3" w:rsidRPr="00E37963" w:rsidRDefault="004047D3">
      <w:pPr>
        <w:pStyle w:val="EndnoteText"/>
      </w:pPr>
      <w:r>
        <w:rPr>
          <w:rStyle w:val="EndnoteReference"/>
        </w:rPr>
        <w:endnoteRef/>
      </w:r>
      <w:r>
        <w:t xml:space="preserve"> </w:t>
      </w:r>
      <w:r w:rsidR="007B25D8">
        <w:t xml:space="preserve">See </w:t>
      </w:r>
      <w:r>
        <w:t>Moore</w:t>
      </w:r>
      <w:r w:rsidR="007B25D8">
        <w:t xml:space="preserve">, above n. </w:t>
      </w:r>
      <w:r w:rsidR="00BA5209">
        <w:t>6</w:t>
      </w:r>
      <w:r w:rsidR="008A7220">
        <w:t>7</w:t>
      </w:r>
      <w:r w:rsidR="001D1517">
        <w:t xml:space="preserve"> at</w:t>
      </w:r>
      <w:r w:rsidR="007B25D8">
        <w:t xml:space="preserve"> </w:t>
      </w:r>
      <w:r>
        <w:t>47.</w:t>
      </w:r>
    </w:p>
  </w:endnote>
  <w:endnote w:id="86">
    <w:p w14:paraId="6D22A9AF" w14:textId="0431E8C2" w:rsidR="009A18F5" w:rsidRDefault="009A18F5">
      <w:pPr>
        <w:pStyle w:val="EndnoteText"/>
      </w:pPr>
      <w:r>
        <w:rPr>
          <w:rStyle w:val="EndnoteReference"/>
        </w:rPr>
        <w:endnoteRef/>
      </w:r>
      <w:r>
        <w:t xml:space="preserve"> See Semester, above, n. </w:t>
      </w:r>
      <w:r w:rsidR="005555C2">
        <w:t>4</w:t>
      </w:r>
      <w:r w:rsidR="008A7220">
        <w:t>1</w:t>
      </w:r>
      <w:r>
        <w:t xml:space="preserve"> at 438.</w:t>
      </w:r>
    </w:p>
  </w:endnote>
  <w:endnote w:id="87">
    <w:p w14:paraId="6407C510" w14:textId="30CF1787" w:rsidR="004047D3" w:rsidRDefault="004047D3">
      <w:pPr>
        <w:pStyle w:val="EndnoteText"/>
      </w:pPr>
      <w:r>
        <w:rPr>
          <w:rStyle w:val="EndnoteReference"/>
        </w:rPr>
        <w:endnoteRef/>
      </w:r>
      <w:r>
        <w:t xml:space="preserve"> </w:t>
      </w:r>
      <w:r w:rsidR="007B25D8">
        <w:t xml:space="preserve">See </w:t>
      </w:r>
      <w:r w:rsidRPr="007A658E">
        <w:rPr>
          <w:i/>
          <w:iCs/>
        </w:rPr>
        <w:t>Kennedy</w:t>
      </w:r>
      <w:r w:rsidR="007B25D8">
        <w:t xml:space="preserve">, above n. </w:t>
      </w:r>
      <w:r w:rsidR="001D1517">
        <w:t>2</w:t>
      </w:r>
      <w:r w:rsidR="005555C2">
        <w:t>1</w:t>
      </w:r>
      <w:r w:rsidR="007B25D8">
        <w:t xml:space="preserve"> </w:t>
      </w:r>
      <w:r>
        <w:t>at [14</w:t>
      </w:r>
      <w:r w:rsidR="007B25D8">
        <w:t>].</w:t>
      </w:r>
    </w:p>
  </w:endnote>
  <w:endnote w:id="88">
    <w:p w14:paraId="0DD2D7E3" w14:textId="7835F371" w:rsidR="004047D3" w:rsidRDefault="004047D3">
      <w:pPr>
        <w:pStyle w:val="EndnoteText"/>
      </w:pPr>
      <w:r>
        <w:rPr>
          <w:rStyle w:val="EndnoteReference"/>
        </w:rPr>
        <w:endnoteRef/>
      </w:r>
      <w:r>
        <w:t xml:space="preserve"> </w:t>
      </w:r>
      <w:r w:rsidR="007B25D8">
        <w:t>See</w:t>
      </w:r>
      <w:r>
        <w:t xml:space="preserve"> </w:t>
      </w:r>
      <w:r>
        <w:rPr>
          <w:i/>
          <w:iCs/>
        </w:rPr>
        <w:t>Wallace</w:t>
      </w:r>
      <w:r w:rsidR="007B25D8">
        <w:t xml:space="preserve">, above n. </w:t>
      </w:r>
      <w:r w:rsidR="00775F05">
        <w:t>4</w:t>
      </w:r>
      <w:r w:rsidR="007B25D8">
        <w:t>.</w:t>
      </w:r>
    </w:p>
  </w:endnote>
  <w:endnote w:id="89">
    <w:p w14:paraId="44BFFB13" w14:textId="02DB7B1B" w:rsidR="004047D3" w:rsidRPr="0060683E" w:rsidRDefault="004047D3">
      <w:pPr>
        <w:pStyle w:val="EndnoteText"/>
        <w:rPr>
          <w:i/>
          <w:iCs/>
        </w:rPr>
      </w:pPr>
      <w:r>
        <w:rPr>
          <w:rStyle w:val="EndnoteReference"/>
        </w:rPr>
        <w:endnoteRef/>
      </w:r>
      <w:r>
        <w:t xml:space="preserve"> </w:t>
      </w:r>
      <w:r w:rsidR="007B25D8">
        <w:t>See</w:t>
      </w:r>
      <w:r w:rsidRPr="00C44D22">
        <w:rPr>
          <w:i/>
          <w:iCs/>
        </w:rPr>
        <w:t xml:space="preserve"> Field </w:t>
      </w:r>
      <w:r w:rsidRPr="00C44D22">
        <w:t>[2021]</w:t>
      </w:r>
      <w:r w:rsidR="007B25D8">
        <w:t xml:space="preserve">, above n. </w:t>
      </w:r>
      <w:r w:rsidR="00775F05">
        <w:t>3</w:t>
      </w:r>
      <w:r>
        <w:t>.</w:t>
      </w:r>
    </w:p>
  </w:endnote>
  <w:endnote w:id="90">
    <w:p w14:paraId="24F62A27" w14:textId="3CF380D4" w:rsidR="004047D3" w:rsidRDefault="004047D3">
      <w:pPr>
        <w:pStyle w:val="EndnoteText"/>
      </w:pPr>
      <w:r>
        <w:rPr>
          <w:rStyle w:val="EndnoteReference"/>
        </w:rPr>
        <w:endnoteRef/>
      </w:r>
      <w:r>
        <w:t xml:space="preserve"> </w:t>
      </w:r>
      <w:r w:rsidR="007B25D8" w:rsidRPr="007B25D8">
        <w:t>Ibid</w:t>
      </w:r>
      <w:r w:rsidR="001D1517">
        <w:t>.</w:t>
      </w:r>
      <w:r w:rsidRPr="00D638F3">
        <w:t xml:space="preserve"> at [</w:t>
      </w:r>
      <w:r>
        <w:t>63</w:t>
      </w:r>
      <w:r w:rsidRPr="00D638F3">
        <w:t>].</w:t>
      </w:r>
    </w:p>
  </w:endnote>
  <w:endnote w:id="91">
    <w:p w14:paraId="01C363E3" w14:textId="78FA6014" w:rsidR="004047D3" w:rsidRPr="009D1F9E" w:rsidRDefault="004047D3">
      <w:pPr>
        <w:pStyle w:val="EndnoteText"/>
      </w:pPr>
      <w:r>
        <w:rPr>
          <w:rStyle w:val="EndnoteReference"/>
        </w:rPr>
        <w:endnoteRef/>
      </w:r>
      <w:r>
        <w:t xml:space="preserve"> This complexity is illustrated, for example, by </w:t>
      </w:r>
      <w:r w:rsidR="007B25D8">
        <w:t>H</w:t>
      </w:r>
      <w:r w:rsidRPr="00FB2851">
        <w:rPr>
          <w:shd w:val="clear" w:color="auto" w:fill="FFFFFF"/>
        </w:rPr>
        <w:t>art and Honoré, </w:t>
      </w:r>
      <w:r w:rsidR="007B25D8">
        <w:rPr>
          <w:shd w:val="clear" w:color="auto" w:fill="FFFFFF"/>
        </w:rPr>
        <w:t xml:space="preserve">above n. </w:t>
      </w:r>
      <w:r w:rsidR="00775F05">
        <w:rPr>
          <w:shd w:val="clear" w:color="auto" w:fill="FFFFFF"/>
        </w:rPr>
        <w:t>2</w:t>
      </w:r>
      <w:r w:rsidR="007B25D8">
        <w:rPr>
          <w:shd w:val="clear" w:color="auto" w:fill="FFFFFF"/>
        </w:rPr>
        <w:t>,</w:t>
      </w:r>
      <w:r>
        <w:rPr>
          <w:shd w:val="clear" w:color="auto" w:fill="FFFFFF"/>
        </w:rPr>
        <w:t xml:space="preserve"> who wrote over 500 pages explaining the theory and application of causation.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744481"/>
      <w:docPartObj>
        <w:docPartGallery w:val="Page Numbers (Bottom of Page)"/>
        <w:docPartUnique/>
      </w:docPartObj>
    </w:sdtPr>
    <w:sdtEndPr>
      <w:rPr>
        <w:noProof/>
      </w:rPr>
    </w:sdtEndPr>
    <w:sdtContent>
      <w:p w14:paraId="707F9FDE" w14:textId="05D65184" w:rsidR="005555C2" w:rsidRDefault="005555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1F44B" w14:textId="77777777" w:rsidR="005555C2" w:rsidRDefault="00555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76E3A" w14:textId="77777777" w:rsidR="00900C4D" w:rsidRDefault="00900C4D" w:rsidP="00C632D2">
      <w:pPr>
        <w:spacing w:after="0" w:line="240" w:lineRule="auto"/>
      </w:pPr>
      <w:r>
        <w:separator/>
      </w:r>
    </w:p>
  </w:footnote>
  <w:footnote w:type="continuationSeparator" w:id="0">
    <w:p w14:paraId="44CAB472" w14:textId="77777777" w:rsidR="00900C4D" w:rsidRDefault="00900C4D" w:rsidP="00C632D2">
      <w:pPr>
        <w:spacing w:after="0" w:line="240" w:lineRule="auto"/>
      </w:pPr>
      <w:r>
        <w:continuationSeparator/>
      </w:r>
    </w:p>
  </w:footnote>
  <w:footnote w:type="continuationNotice" w:id="1">
    <w:p w14:paraId="5A3CD026" w14:textId="77777777" w:rsidR="00900C4D" w:rsidRDefault="00900C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76"/>
    <w:multiLevelType w:val="hybridMultilevel"/>
    <w:tmpl w:val="197E4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C097B"/>
    <w:multiLevelType w:val="hybridMultilevel"/>
    <w:tmpl w:val="B9CAEB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175AC"/>
    <w:multiLevelType w:val="hybridMultilevel"/>
    <w:tmpl w:val="4F4A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B7A96"/>
    <w:multiLevelType w:val="hybridMultilevel"/>
    <w:tmpl w:val="8ECE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D2"/>
    <w:rsid w:val="00001DD1"/>
    <w:rsid w:val="00003BAE"/>
    <w:rsid w:val="00004815"/>
    <w:rsid w:val="00010428"/>
    <w:rsid w:val="00012B7C"/>
    <w:rsid w:val="00012CC6"/>
    <w:rsid w:val="00013F81"/>
    <w:rsid w:val="00015005"/>
    <w:rsid w:val="00017639"/>
    <w:rsid w:val="00020740"/>
    <w:rsid w:val="000249FF"/>
    <w:rsid w:val="00027DC9"/>
    <w:rsid w:val="00030F09"/>
    <w:rsid w:val="00031FE1"/>
    <w:rsid w:val="0003313A"/>
    <w:rsid w:val="00034A4A"/>
    <w:rsid w:val="000354C6"/>
    <w:rsid w:val="00043537"/>
    <w:rsid w:val="000436AB"/>
    <w:rsid w:val="00045765"/>
    <w:rsid w:val="000461E0"/>
    <w:rsid w:val="000514EF"/>
    <w:rsid w:val="0005734C"/>
    <w:rsid w:val="00057CAF"/>
    <w:rsid w:val="0006116A"/>
    <w:rsid w:val="00061E5D"/>
    <w:rsid w:val="00062E6B"/>
    <w:rsid w:val="00065294"/>
    <w:rsid w:val="00067AAE"/>
    <w:rsid w:val="00071758"/>
    <w:rsid w:val="00072494"/>
    <w:rsid w:val="00075631"/>
    <w:rsid w:val="00075D69"/>
    <w:rsid w:val="00075F22"/>
    <w:rsid w:val="000764F7"/>
    <w:rsid w:val="000766DD"/>
    <w:rsid w:val="00080D0A"/>
    <w:rsid w:val="000816D1"/>
    <w:rsid w:val="00082EAC"/>
    <w:rsid w:val="00083285"/>
    <w:rsid w:val="00085DCF"/>
    <w:rsid w:val="00087150"/>
    <w:rsid w:val="00087F92"/>
    <w:rsid w:val="00090017"/>
    <w:rsid w:val="00091EFE"/>
    <w:rsid w:val="00092A58"/>
    <w:rsid w:val="000A08E7"/>
    <w:rsid w:val="000A0C77"/>
    <w:rsid w:val="000A2A04"/>
    <w:rsid w:val="000A3533"/>
    <w:rsid w:val="000A4950"/>
    <w:rsid w:val="000A6745"/>
    <w:rsid w:val="000A7099"/>
    <w:rsid w:val="000A7BDC"/>
    <w:rsid w:val="000B3E80"/>
    <w:rsid w:val="000B4DA9"/>
    <w:rsid w:val="000C165D"/>
    <w:rsid w:val="000C529E"/>
    <w:rsid w:val="000C6312"/>
    <w:rsid w:val="000C79C9"/>
    <w:rsid w:val="000C7E01"/>
    <w:rsid w:val="000D4FBE"/>
    <w:rsid w:val="000D5785"/>
    <w:rsid w:val="000D76D8"/>
    <w:rsid w:val="000D799A"/>
    <w:rsid w:val="000E1138"/>
    <w:rsid w:val="000E1156"/>
    <w:rsid w:val="000E1759"/>
    <w:rsid w:val="000E1939"/>
    <w:rsid w:val="000E234B"/>
    <w:rsid w:val="000E32C0"/>
    <w:rsid w:val="000E59F2"/>
    <w:rsid w:val="000E5DAD"/>
    <w:rsid w:val="000F38AF"/>
    <w:rsid w:val="000F5F9B"/>
    <w:rsid w:val="000F7B06"/>
    <w:rsid w:val="000F7F08"/>
    <w:rsid w:val="00100B76"/>
    <w:rsid w:val="00101401"/>
    <w:rsid w:val="0010140F"/>
    <w:rsid w:val="0010153D"/>
    <w:rsid w:val="00102B45"/>
    <w:rsid w:val="0010415C"/>
    <w:rsid w:val="0010457D"/>
    <w:rsid w:val="00104591"/>
    <w:rsid w:val="00105854"/>
    <w:rsid w:val="00105966"/>
    <w:rsid w:val="00106A56"/>
    <w:rsid w:val="00107D00"/>
    <w:rsid w:val="00114303"/>
    <w:rsid w:val="00120BEB"/>
    <w:rsid w:val="001273A0"/>
    <w:rsid w:val="00132082"/>
    <w:rsid w:val="00133D5C"/>
    <w:rsid w:val="00134389"/>
    <w:rsid w:val="00135AED"/>
    <w:rsid w:val="00137BD8"/>
    <w:rsid w:val="00144437"/>
    <w:rsid w:val="0014765D"/>
    <w:rsid w:val="0014769C"/>
    <w:rsid w:val="0014793D"/>
    <w:rsid w:val="0015441D"/>
    <w:rsid w:val="001549E9"/>
    <w:rsid w:val="00155A67"/>
    <w:rsid w:val="00156028"/>
    <w:rsid w:val="00156FDB"/>
    <w:rsid w:val="0016059C"/>
    <w:rsid w:val="00161DE8"/>
    <w:rsid w:val="001656F4"/>
    <w:rsid w:val="00165BD3"/>
    <w:rsid w:val="00166521"/>
    <w:rsid w:val="0016757B"/>
    <w:rsid w:val="00170BE8"/>
    <w:rsid w:val="001722ED"/>
    <w:rsid w:val="001747FB"/>
    <w:rsid w:val="00175CA9"/>
    <w:rsid w:val="001774A3"/>
    <w:rsid w:val="001824A1"/>
    <w:rsid w:val="001832CE"/>
    <w:rsid w:val="00184EEF"/>
    <w:rsid w:val="001853B3"/>
    <w:rsid w:val="00185A84"/>
    <w:rsid w:val="00185ADA"/>
    <w:rsid w:val="00186998"/>
    <w:rsid w:val="0019206A"/>
    <w:rsid w:val="00195464"/>
    <w:rsid w:val="001A1476"/>
    <w:rsid w:val="001A25FE"/>
    <w:rsid w:val="001A2BEF"/>
    <w:rsid w:val="001A3ACC"/>
    <w:rsid w:val="001A5180"/>
    <w:rsid w:val="001A5F96"/>
    <w:rsid w:val="001A7642"/>
    <w:rsid w:val="001B0B79"/>
    <w:rsid w:val="001B1A22"/>
    <w:rsid w:val="001B2540"/>
    <w:rsid w:val="001B2824"/>
    <w:rsid w:val="001B6C13"/>
    <w:rsid w:val="001B736E"/>
    <w:rsid w:val="001B7ADB"/>
    <w:rsid w:val="001C05D8"/>
    <w:rsid w:val="001C2756"/>
    <w:rsid w:val="001C4D51"/>
    <w:rsid w:val="001C68C3"/>
    <w:rsid w:val="001C71C2"/>
    <w:rsid w:val="001C737B"/>
    <w:rsid w:val="001D08A8"/>
    <w:rsid w:val="001D1517"/>
    <w:rsid w:val="001D30B4"/>
    <w:rsid w:val="001D39FA"/>
    <w:rsid w:val="001D42AC"/>
    <w:rsid w:val="001D5BDB"/>
    <w:rsid w:val="001D7173"/>
    <w:rsid w:val="001E0CA7"/>
    <w:rsid w:val="001E19EE"/>
    <w:rsid w:val="001E1BB9"/>
    <w:rsid w:val="001E266E"/>
    <w:rsid w:val="001E36A0"/>
    <w:rsid w:val="001E53A8"/>
    <w:rsid w:val="001E5474"/>
    <w:rsid w:val="001F084D"/>
    <w:rsid w:val="001F0ED3"/>
    <w:rsid w:val="001F1015"/>
    <w:rsid w:val="001F32A1"/>
    <w:rsid w:val="001F48D7"/>
    <w:rsid w:val="001F5FA0"/>
    <w:rsid w:val="001F7C99"/>
    <w:rsid w:val="002001D3"/>
    <w:rsid w:val="0020180B"/>
    <w:rsid w:val="0020299D"/>
    <w:rsid w:val="00206524"/>
    <w:rsid w:val="0021248F"/>
    <w:rsid w:val="0021558B"/>
    <w:rsid w:val="00216158"/>
    <w:rsid w:val="002200C8"/>
    <w:rsid w:val="002207D0"/>
    <w:rsid w:val="00221252"/>
    <w:rsid w:val="00222722"/>
    <w:rsid w:val="00222788"/>
    <w:rsid w:val="00223E30"/>
    <w:rsid w:val="00226415"/>
    <w:rsid w:val="00227ECB"/>
    <w:rsid w:val="00232E15"/>
    <w:rsid w:val="0023326A"/>
    <w:rsid w:val="00235053"/>
    <w:rsid w:val="00235D87"/>
    <w:rsid w:val="0024024F"/>
    <w:rsid w:val="00243347"/>
    <w:rsid w:val="00247746"/>
    <w:rsid w:val="0025030B"/>
    <w:rsid w:val="002621AE"/>
    <w:rsid w:val="002643CD"/>
    <w:rsid w:val="00264FCA"/>
    <w:rsid w:val="00266902"/>
    <w:rsid w:val="0027069F"/>
    <w:rsid w:val="00272585"/>
    <w:rsid w:val="00272BC1"/>
    <w:rsid w:val="00273FCA"/>
    <w:rsid w:val="00275496"/>
    <w:rsid w:val="00275612"/>
    <w:rsid w:val="00277C2B"/>
    <w:rsid w:val="00280FE0"/>
    <w:rsid w:val="002864D4"/>
    <w:rsid w:val="00287057"/>
    <w:rsid w:val="00290D80"/>
    <w:rsid w:val="00292E98"/>
    <w:rsid w:val="0029675C"/>
    <w:rsid w:val="002A22F7"/>
    <w:rsid w:val="002A4FA5"/>
    <w:rsid w:val="002A5C0F"/>
    <w:rsid w:val="002A6A05"/>
    <w:rsid w:val="002A7F72"/>
    <w:rsid w:val="002B1D55"/>
    <w:rsid w:val="002B4AD3"/>
    <w:rsid w:val="002B6304"/>
    <w:rsid w:val="002B721D"/>
    <w:rsid w:val="002C101C"/>
    <w:rsid w:val="002C2467"/>
    <w:rsid w:val="002C5138"/>
    <w:rsid w:val="002C627B"/>
    <w:rsid w:val="002C6301"/>
    <w:rsid w:val="002C67AC"/>
    <w:rsid w:val="002C7B9F"/>
    <w:rsid w:val="002D0A1F"/>
    <w:rsid w:val="002D1D53"/>
    <w:rsid w:val="002D21DB"/>
    <w:rsid w:val="002D3151"/>
    <w:rsid w:val="002D6733"/>
    <w:rsid w:val="002D6D02"/>
    <w:rsid w:val="002E08D6"/>
    <w:rsid w:val="002E1843"/>
    <w:rsid w:val="002E4A1C"/>
    <w:rsid w:val="002F06AE"/>
    <w:rsid w:val="002F1C2B"/>
    <w:rsid w:val="002F3006"/>
    <w:rsid w:val="002F6CCC"/>
    <w:rsid w:val="003002C6"/>
    <w:rsid w:val="00304088"/>
    <w:rsid w:val="003040B5"/>
    <w:rsid w:val="00304E62"/>
    <w:rsid w:val="00305131"/>
    <w:rsid w:val="00305980"/>
    <w:rsid w:val="003067B8"/>
    <w:rsid w:val="0031083B"/>
    <w:rsid w:val="00311B1B"/>
    <w:rsid w:val="00311CD1"/>
    <w:rsid w:val="003172E8"/>
    <w:rsid w:val="003202A0"/>
    <w:rsid w:val="00320ED9"/>
    <w:rsid w:val="0032169F"/>
    <w:rsid w:val="00322777"/>
    <w:rsid w:val="00324378"/>
    <w:rsid w:val="00324BD4"/>
    <w:rsid w:val="00325828"/>
    <w:rsid w:val="00326BDA"/>
    <w:rsid w:val="003309CA"/>
    <w:rsid w:val="003321AD"/>
    <w:rsid w:val="00332B4C"/>
    <w:rsid w:val="00332DBA"/>
    <w:rsid w:val="00334341"/>
    <w:rsid w:val="00337BC7"/>
    <w:rsid w:val="003411A3"/>
    <w:rsid w:val="003449D3"/>
    <w:rsid w:val="00344FB5"/>
    <w:rsid w:val="00353302"/>
    <w:rsid w:val="00353680"/>
    <w:rsid w:val="003555A6"/>
    <w:rsid w:val="00355B6C"/>
    <w:rsid w:val="00355ECF"/>
    <w:rsid w:val="00361179"/>
    <w:rsid w:val="00361B3F"/>
    <w:rsid w:val="003647A7"/>
    <w:rsid w:val="00365959"/>
    <w:rsid w:val="00365F59"/>
    <w:rsid w:val="00371119"/>
    <w:rsid w:val="00372A2F"/>
    <w:rsid w:val="0037602B"/>
    <w:rsid w:val="00376BAC"/>
    <w:rsid w:val="00382BB6"/>
    <w:rsid w:val="0038338D"/>
    <w:rsid w:val="00385BFA"/>
    <w:rsid w:val="003867D3"/>
    <w:rsid w:val="003906F9"/>
    <w:rsid w:val="00392F98"/>
    <w:rsid w:val="0039308D"/>
    <w:rsid w:val="00393E7A"/>
    <w:rsid w:val="00397E96"/>
    <w:rsid w:val="00397F9B"/>
    <w:rsid w:val="003A04AB"/>
    <w:rsid w:val="003A37BB"/>
    <w:rsid w:val="003A4764"/>
    <w:rsid w:val="003A6236"/>
    <w:rsid w:val="003A64EB"/>
    <w:rsid w:val="003A6827"/>
    <w:rsid w:val="003B1068"/>
    <w:rsid w:val="003B163B"/>
    <w:rsid w:val="003B1947"/>
    <w:rsid w:val="003B2117"/>
    <w:rsid w:val="003B25D5"/>
    <w:rsid w:val="003C037F"/>
    <w:rsid w:val="003C0BAA"/>
    <w:rsid w:val="003C13F3"/>
    <w:rsid w:val="003C16C3"/>
    <w:rsid w:val="003C47CD"/>
    <w:rsid w:val="003D22E6"/>
    <w:rsid w:val="003D2B87"/>
    <w:rsid w:val="003D3DDE"/>
    <w:rsid w:val="003D7CC9"/>
    <w:rsid w:val="003E0ED3"/>
    <w:rsid w:val="003E535F"/>
    <w:rsid w:val="003E6C34"/>
    <w:rsid w:val="003E70DA"/>
    <w:rsid w:val="003E74B4"/>
    <w:rsid w:val="003F4737"/>
    <w:rsid w:val="003F4C39"/>
    <w:rsid w:val="003F4DA4"/>
    <w:rsid w:val="003F5635"/>
    <w:rsid w:val="003F5F60"/>
    <w:rsid w:val="00400774"/>
    <w:rsid w:val="00400F4D"/>
    <w:rsid w:val="00401953"/>
    <w:rsid w:val="004047D3"/>
    <w:rsid w:val="0040551A"/>
    <w:rsid w:val="00407E55"/>
    <w:rsid w:val="00410F47"/>
    <w:rsid w:val="00412195"/>
    <w:rsid w:val="00412EB5"/>
    <w:rsid w:val="004133B8"/>
    <w:rsid w:val="00414171"/>
    <w:rsid w:val="004162C5"/>
    <w:rsid w:val="004165E5"/>
    <w:rsid w:val="00417A8D"/>
    <w:rsid w:val="00420B1A"/>
    <w:rsid w:val="00421046"/>
    <w:rsid w:val="004244C6"/>
    <w:rsid w:val="00424B7C"/>
    <w:rsid w:val="00426C40"/>
    <w:rsid w:val="0042759F"/>
    <w:rsid w:val="004307A3"/>
    <w:rsid w:val="004311FE"/>
    <w:rsid w:val="00431675"/>
    <w:rsid w:val="00432432"/>
    <w:rsid w:val="00433AE7"/>
    <w:rsid w:val="00435430"/>
    <w:rsid w:val="0043600E"/>
    <w:rsid w:val="004365D1"/>
    <w:rsid w:val="004419F9"/>
    <w:rsid w:val="00442107"/>
    <w:rsid w:val="004455F8"/>
    <w:rsid w:val="004465AB"/>
    <w:rsid w:val="004501AE"/>
    <w:rsid w:val="00450431"/>
    <w:rsid w:val="00451593"/>
    <w:rsid w:val="00455E97"/>
    <w:rsid w:val="00456205"/>
    <w:rsid w:val="00457C2F"/>
    <w:rsid w:val="0046025D"/>
    <w:rsid w:val="00461C8F"/>
    <w:rsid w:val="004628E9"/>
    <w:rsid w:val="00466C85"/>
    <w:rsid w:val="0046756D"/>
    <w:rsid w:val="00467F4E"/>
    <w:rsid w:val="004706CB"/>
    <w:rsid w:val="00472639"/>
    <w:rsid w:val="00474FA2"/>
    <w:rsid w:val="00475206"/>
    <w:rsid w:val="0047613C"/>
    <w:rsid w:val="00476AC9"/>
    <w:rsid w:val="00476FAD"/>
    <w:rsid w:val="00477E88"/>
    <w:rsid w:val="00480598"/>
    <w:rsid w:val="0048128B"/>
    <w:rsid w:val="004812EB"/>
    <w:rsid w:val="00482A7D"/>
    <w:rsid w:val="00482F04"/>
    <w:rsid w:val="0048313C"/>
    <w:rsid w:val="0048498F"/>
    <w:rsid w:val="00485962"/>
    <w:rsid w:val="0048675D"/>
    <w:rsid w:val="00487EA4"/>
    <w:rsid w:val="004908CA"/>
    <w:rsid w:val="0049101F"/>
    <w:rsid w:val="0049298D"/>
    <w:rsid w:val="00494786"/>
    <w:rsid w:val="00495266"/>
    <w:rsid w:val="00495846"/>
    <w:rsid w:val="004975CF"/>
    <w:rsid w:val="00497636"/>
    <w:rsid w:val="004A0848"/>
    <w:rsid w:val="004A2755"/>
    <w:rsid w:val="004A4467"/>
    <w:rsid w:val="004A5BF7"/>
    <w:rsid w:val="004B1858"/>
    <w:rsid w:val="004B222F"/>
    <w:rsid w:val="004B515D"/>
    <w:rsid w:val="004B5174"/>
    <w:rsid w:val="004B5AFB"/>
    <w:rsid w:val="004B6941"/>
    <w:rsid w:val="004C2533"/>
    <w:rsid w:val="004C4BC0"/>
    <w:rsid w:val="004C698E"/>
    <w:rsid w:val="004C704C"/>
    <w:rsid w:val="004C74D5"/>
    <w:rsid w:val="004D22B1"/>
    <w:rsid w:val="004D3146"/>
    <w:rsid w:val="004D46B1"/>
    <w:rsid w:val="004D74CD"/>
    <w:rsid w:val="004E07A2"/>
    <w:rsid w:val="004E1F26"/>
    <w:rsid w:val="004E29D6"/>
    <w:rsid w:val="004E2AA5"/>
    <w:rsid w:val="004E4B0E"/>
    <w:rsid w:val="004E5F75"/>
    <w:rsid w:val="004E7C62"/>
    <w:rsid w:val="004F424A"/>
    <w:rsid w:val="004F5DE7"/>
    <w:rsid w:val="004F6EA3"/>
    <w:rsid w:val="00501705"/>
    <w:rsid w:val="005066E2"/>
    <w:rsid w:val="00506726"/>
    <w:rsid w:val="005102D7"/>
    <w:rsid w:val="005118FF"/>
    <w:rsid w:val="00513640"/>
    <w:rsid w:val="00514813"/>
    <w:rsid w:val="005152D7"/>
    <w:rsid w:val="005179F9"/>
    <w:rsid w:val="00526DF9"/>
    <w:rsid w:val="00530650"/>
    <w:rsid w:val="00530AB9"/>
    <w:rsid w:val="005361CF"/>
    <w:rsid w:val="005370A2"/>
    <w:rsid w:val="005377E5"/>
    <w:rsid w:val="00537BB9"/>
    <w:rsid w:val="005407D2"/>
    <w:rsid w:val="00540BFA"/>
    <w:rsid w:val="00542E4D"/>
    <w:rsid w:val="00544429"/>
    <w:rsid w:val="00547CD5"/>
    <w:rsid w:val="005500AA"/>
    <w:rsid w:val="005508BC"/>
    <w:rsid w:val="00552E61"/>
    <w:rsid w:val="005555C2"/>
    <w:rsid w:val="005556BC"/>
    <w:rsid w:val="0056042D"/>
    <w:rsid w:val="0056214C"/>
    <w:rsid w:val="0056284F"/>
    <w:rsid w:val="00563E99"/>
    <w:rsid w:val="00564F11"/>
    <w:rsid w:val="00565DB2"/>
    <w:rsid w:val="0057045F"/>
    <w:rsid w:val="00572EF8"/>
    <w:rsid w:val="00574CD1"/>
    <w:rsid w:val="0058117E"/>
    <w:rsid w:val="00582EE5"/>
    <w:rsid w:val="00584596"/>
    <w:rsid w:val="00586CFB"/>
    <w:rsid w:val="00590582"/>
    <w:rsid w:val="0059443B"/>
    <w:rsid w:val="00594F62"/>
    <w:rsid w:val="00595823"/>
    <w:rsid w:val="0059594E"/>
    <w:rsid w:val="005965DF"/>
    <w:rsid w:val="005A26E4"/>
    <w:rsid w:val="005A4D2F"/>
    <w:rsid w:val="005A5CAE"/>
    <w:rsid w:val="005A62CC"/>
    <w:rsid w:val="005A6BF3"/>
    <w:rsid w:val="005B23E0"/>
    <w:rsid w:val="005B47B7"/>
    <w:rsid w:val="005B534E"/>
    <w:rsid w:val="005C3268"/>
    <w:rsid w:val="005C4B83"/>
    <w:rsid w:val="005C55C7"/>
    <w:rsid w:val="005C5F54"/>
    <w:rsid w:val="005C67C6"/>
    <w:rsid w:val="005C6F33"/>
    <w:rsid w:val="005C75D2"/>
    <w:rsid w:val="005D1FD4"/>
    <w:rsid w:val="005D4FEA"/>
    <w:rsid w:val="005D7C3A"/>
    <w:rsid w:val="005E002B"/>
    <w:rsid w:val="005E0F46"/>
    <w:rsid w:val="005E2883"/>
    <w:rsid w:val="005E3CA9"/>
    <w:rsid w:val="005E600E"/>
    <w:rsid w:val="005F2634"/>
    <w:rsid w:val="005F33B8"/>
    <w:rsid w:val="005F44E1"/>
    <w:rsid w:val="005F4E76"/>
    <w:rsid w:val="005F5D4D"/>
    <w:rsid w:val="005F6C47"/>
    <w:rsid w:val="005F75A4"/>
    <w:rsid w:val="005F7E05"/>
    <w:rsid w:val="0060062A"/>
    <w:rsid w:val="006013FB"/>
    <w:rsid w:val="00601ECF"/>
    <w:rsid w:val="00602813"/>
    <w:rsid w:val="00602D2C"/>
    <w:rsid w:val="0060683E"/>
    <w:rsid w:val="00612E99"/>
    <w:rsid w:val="00615A92"/>
    <w:rsid w:val="006175DD"/>
    <w:rsid w:val="006179BA"/>
    <w:rsid w:val="00623C9C"/>
    <w:rsid w:val="00624AC1"/>
    <w:rsid w:val="006277A0"/>
    <w:rsid w:val="00632D4B"/>
    <w:rsid w:val="00633CC6"/>
    <w:rsid w:val="00634904"/>
    <w:rsid w:val="00634FD4"/>
    <w:rsid w:val="00635E52"/>
    <w:rsid w:val="00641A3C"/>
    <w:rsid w:val="006466AB"/>
    <w:rsid w:val="0065057D"/>
    <w:rsid w:val="00654324"/>
    <w:rsid w:val="00654333"/>
    <w:rsid w:val="00654D64"/>
    <w:rsid w:val="00656239"/>
    <w:rsid w:val="0065763B"/>
    <w:rsid w:val="006579B1"/>
    <w:rsid w:val="00657DD6"/>
    <w:rsid w:val="0066209D"/>
    <w:rsid w:val="00664010"/>
    <w:rsid w:val="00664C8A"/>
    <w:rsid w:val="006662DB"/>
    <w:rsid w:val="00666673"/>
    <w:rsid w:val="00666EBE"/>
    <w:rsid w:val="006752B4"/>
    <w:rsid w:val="00675699"/>
    <w:rsid w:val="00676356"/>
    <w:rsid w:val="00677C4A"/>
    <w:rsid w:val="0068134C"/>
    <w:rsid w:val="006813AC"/>
    <w:rsid w:val="00682572"/>
    <w:rsid w:val="006837CA"/>
    <w:rsid w:val="00683A48"/>
    <w:rsid w:val="0068409E"/>
    <w:rsid w:val="00686403"/>
    <w:rsid w:val="00687541"/>
    <w:rsid w:val="0069301A"/>
    <w:rsid w:val="00694467"/>
    <w:rsid w:val="0069491C"/>
    <w:rsid w:val="00695BBF"/>
    <w:rsid w:val="00696F1D"/>
    <w:rsid w:val="006A03B9"/>
    <w:rsid w:val="006A1E91"/>
    <w:rsid w:val="006A262A"/>
    <w:rsid w:val="006A371A"/>
    <w:rsid w:val="006A64F7"/>
    <w:rsid w:val="006A65A1"/>
    <w:rsid w:val="006A7526"/>
    <w:rsid w:val="006B1A6D"/>
    <w:rsid w:val="006B4351"/>
    <w:rsid w:val="006B47B6"/>
    <w:rsid w:val="006B4D20"/>
    <w:rsid w:val="006B7D9F"/>
    <w:rsid w:val="006C1A9C"/>
    <w:rsid w:val="006C3F0B"/>
    <w:rsid w:val="006C5627"/>
    <w:rsid w:val="006C5B6A"/>
    <w:rsid w:val="006C647D"/>
    <w:rsid w:val="006C659A"/>
    <w:rsid w:val="006D1476"/>
    <w:rsid w:val="006D1741"/>
    <w:rsid w:val="006D210E"/>
    <w:rsid w:val="006D2CE3"/>
    <w:rsid w:val="006D2D0B"/>
    <w:rsid w:val="006D39A5"/>
    <w:rsid w:val="006D3D46"/>
    <w:rsid w:val="006D6C47"/>
    <w:rsid w:val="006E020E"/>
    <w:rsid w:val="006E78EC"/>
    <w:rsid w:val="006E7D24"/>
    <w:rsid w:val="006F0C06"/>
    <w:rsid w:val="006F16FB"/>
    <w:rsid w:val="006F4300"/>
    <w:rsid w:val="007008BE"/>
    <w:rsid w:val="00704C58"/>
    <w:rsid w:val="007065E3"/>
    <w:rsid w:val="00707BC9"/>
    <w:rsid w:val="00707E65"/>
    <w:rsid w:val="007135FD"/>
    <w:rsid w:val="00715C6C"/>
    <w:rsid w:val="00716342"/>
    <w:rsid w:val="00716846"/>
    <w:rsid w:val="00717F8C"/>
    <w:rsid w:val="0072618E"/>
    <w:rsid w:val="007321F5"/>
    <w:rsid w:val="00732D72"/>
    <w:rsid w:val="00732D7A"/>
    <w:rsid w:val="00733561"/>
    <w:rsid w:val="00734BDB"/>
    <w:rsid w:val="0073771F"/>
    <w:rsid w:val="007415A6"/>
    <w:rsid w:val="0074168E"/>
    <w:rsid w:val="00741740"/>
    <w:rsid w:val="00745827"/>
    <w:rsid w:val="007465B2"/>
    <w:rsid w:val="00750431"/>
    <w:rsid w:val="00754293"/>
    <w:rsid w:val="00755688"/>
    <w:rsid w:val="00760536"/>
    <w:rsid w:val="00760680"/>
    <w:rsid w:val="00760C7A"/>
    <w:rsid w:val="0076121B"/>
    <w:rsid w:val="00766430"/>
    <w:rsid w:val="00766765"/>
    <w:rsid w:val="00770272"/>
    <w:rsid w:val="0077410A"/>
    <w:rsid w:val="007747CE"/>
    <w:rsid w:val="00775F05"/>
    <w:rsid w:val="007765AA"/>
    <w:rsid w:val="00776890"/>
    <w:rsid w:val="007769D0"/>
    <w:rsid w:val="00776E1D"/>
    <w:rsid w:val="00777E8D"/>
    <w:rsid w:val="00780441"/>
    <w:rsid w:val="00783B3A"/>
    <w:rsid w:val="00787051"/>
    <w:rsid w:val="00790201"/>
    <w:rsid w:val="007907AA"/>
    <w:rsid w:val="007919B3"/>
    <w:rsid w:val="007946EE"/>
    <w:rsid w:val="007948AB"/>
    <w:rsid w:val="00794E23"/>
    <w:rsid w:val="007955E9"/>
    <w:rsid w:val="00795D29"/>
    <w:rsid w:val="00797461"/>
    <w:rsid w:val="007A0E6C"/>
    <w:rsid w:val="007A1723"/>
    <w:rsid w:val="007A21E7"/>
    <w:rsid w:val="007A4E6F"/>
    <w:rsid w:val="007A5859"/>
    <w:rsid w:val="007A6157"/>
    <w:rsid w:val="007A658E"/>
    <w:rsid w:val="007A7CEC"/>
    <w:rsid w:val="007B0F80"/>
    <w:rsid w:val="007B130D"/>
    <w:rsid w:val="007B1824"/>
    <w:rsid w:val="007B2115"/>
    <w:rsid w:val="007B25D8"/>
    <w:rsid w:val="007B2EE9"/>
    <w:rsid w:val="007B3A23"/>
    <w:rsid w:val="007B51B6"/>
    <w:rsid w:val="007B5595"/>
    <w:rsid w:val="007B5C9A"/>
    <w:rsid w:val="007B5E01"/>
    <w:rsid w:val="007B61A7"/>
    <w:rsid w:val="007B65D8"/>
    <w:rsid w:val="007C37A5"/>
    <w:rsid w:val="007C636E"/>
    <w:rsid w:val="007D4021"/>
    <w:rsid w:val="007D5773"/>
    <w:rsid w:val="007D7AC5"/>
    <w:rsid w:val="007E016D"/>
    <w:rsid w:val="007E1857"/>
    <w:rsid w:val="007F013C"/>
    <w:rsid w:val="007F03F2"/>
    <w:rsid w:val="007F1104"/>
    <w:rsid w:val="007F29BD"/>
    <w:rsid w:val="007F2CCF"/>
    <w:rsid w:val="007F2DC5"/>
    <w:rsid w:val="007F2F87"/>
    <w:rsid w:val="007F6701"/>
    <w:rsid w:val="007F729D"/>
    <w:rsid w:val="00803074"/>
    <w:rsid w:val="00804CBC"/>
    <w:rsid w:val="00807E97"/>
    <w:rsid w:val="008100EA"/>
    <w:rsid w:val="00810407"/>
    <w:rsid w:val="00813832"/>
    <w:rsid w:val="00814112"/>
    <w:rsid w:val="00814F41"/>
    <w:rsid w:val="00815D86"/>
    <w:rsid w:val="00816AA5"/>
    <w:rsid w:val="00817271"/>
    <w:rsid w:val="00821D42"/>
    <w:rsid w:val="00824856"/>
    <w:rsid w:val="00825691"/>
    <w:rsid w:val="00832331"/>
    <w:rsid w:val="00833D83"/>
    <w:rsid w:val="00833E53"/>
    <w:rsid w:val="008342C7"/>
    <w:rsid w:val="0083478D"/>
    <w:rsid w:val="008362BC"/>
    <w:rsid w:val="00837245"/>
    <w:rsid w:val="00837792"/>
    <w:rsid w:val="00841184"/>
    <w:rsid w:val="00846D8B"/>
    <w:rsid w:val="008472D1"/>
    <w:rsid w:val="00847C45"/>
    <w:rsid w:val="00847E0D"/>
    <w:rsid w:val="00851723"/>
    <w:rsid w:val="00852ACC"/>
    <w:rsid w:val="0085586A"/>
    <w:rsid w:val="0086115D"/>
    <w:rsid w:val="00861932"/>
    <w:rsid w:val="00862031"/>
    <w:rsid w:val="00863D30"/>
    <w:rsid w:val="008666C0"/>
    <w:rsid w:val="008667F4"/>
    <w:rsid w:val="00872310"/>
    <w:rsid w:val="00873B38"/>
    <w:rsid w:val="00874141"/>
    <w:rsid w:val="00874676"/>
    <w:rsid w:val="00875092"/>
    <w:rsid w:val="00877CEA"/>
    <w:rsid w:val="00877F85"/>
    <w:rsid w:val="00881CE6"/>
    <w:rsid w:val="008830ED"/>
    <w:rsid w:val="00886D53"/>
    <w:rsid w:val="008905D6"/>
    <w:rsid w:val="008921E4"/>
    <w:rsid w:val="00892C88"/>
    <w:rsid w:val="008934EC"/>
    <w:rsid w:val="008A1285"/>
    <w:rsid w:val="008A237B"/>
    <w:rsid w:val="008A3369"/>
    <w:rsid w:val="008A4B00"/>
    <w:rsid w:val="008A4E74"/>
    <w:rsid w:val="008A71B2"/>
    <w:rsid w:val="008A7220"/>
    <w:rsid w:val="008A79A3"/>
    <w:rsid w:val="008B0E03"/>
    <w:rsid w:val="008B6DFE"/>
    <w:rsid w:val="008B7A95"/>
    <w:rsid w:val="008C34A0"/>
    <w:rsid w:val="008D1996"/>
    <w:rsid w:val="008D1E47"/>
    <w:rsid w:val="008D3E0A"/>
    <w:rsid w:val="008D4125"/>
    <w:rsid w:val="008D580F"/>
    <w:rsid w:val="008D5CC9"/>
    <w:rsid w:val="008D64A8"/>
    <w:rsid w:val="008D6BB0"/>
    <w:rsid w:val="008D6C05"/>
    <w:rsid w:val="008E17B3"/>
    <w:rsid w:val="008E2D72"/>
    <w:rsid w:val="008E2F9C"/>
    <w:rsid w:val="008E4AB3"/>
    <w:rsid w:val="008E4FA4"/>
    <w:rsid w:val="008E5C01"/>
    <w:rsid w:val="008E5C2E"/>
    <w:rsid w:val="008E649D"/>
    <w:rsid w:val="008E7C48"/>
    <w:rsid w:val="008F248F"/>
    <w:rsid w:val="008F3041"/>
    <w:rsid w:val="008F71EE"/>
    <w:rsid w:val="0090010D"/>
    <w:rsid w:val="00900C4D"/>
    <w:rsid w:val="00901720"/>
    <w:rsid w:val="00901C17"/>
    <w:rsid w:val="00903ADD"/>
    <w:rsid w:val="0090489A"/>
    <w:rsid w:val="00915292"/>
    <w:rsid w:val="00915812"/>
    <w:rsid w:val="00916B1D"/>
    <w:rsid w:val="009171E0"/>
    <w:rsid w:val="009172DE"/>
    <w:rsid w:val="00917576"/>
    <w:rsid w:val="009178A6"/>
    <w:rsid w:val="009207B1"/>
    <w:rsid w:val="00921D53"/>
    <w:rsid w:val="0092406B"/>
    <w:rsid w:val="00927333"/>
    <w:rsid w:val="00930753"/>
    <w:rsid w:val="00930CA8"/>
    <w:rsid w:val="00931151"/>
    <w:rsid w:val="00933A0B"/>
    <w:rsid w:val="009404D3"/>
    <w:rsid w:val="00944A57"/>
    <w:rsid w:val="00950248"/>
    <w:rsid w:val="00950B1B"/>
    <w:rsid w:val="0095163D"/>
    <w:rsid w:val="00952170"/>
    <w:rsid w:val="009525DF"/>
    <w:rsid w:val="00952865"/>
    <w:rsid w:val="00956EF9"/>
    <w:rsid w:val="00957388"/>
    <w:rsid w:val="00957505"/>
    <w:rsid w:val="00957F34"/>
    <w:rsid w:val="0096036C"/>
    <w:rsid w:val="00963BD4"/>
    <w:rsid w:val="009646B3"/>
    <w:rsid w:val="009660CF"/>
    <w:rsid w:val="009708C4"/>
    <w:rsid w:val="009716D5"/>
    <w:rsid w:val="00973583"/>
    <w:rsid w:val="00974371"/>
    <w:rsid w:val="00981E98"/>
    <w:rsid w:val="00982F64"/>
    <w:rsid w:val="00983727"/>
    <w:rsid w:val="00987832"/>
    <w:rsid w:val="00991CD4"/>
    <w:rsid w:val="00992E5B"/>
    <w:rsid w:val="00993D33"/>
    <w:rsid w:val="00993E5B"/>
    <w:rsid w:val="00994E7F"/>
    <w:rsid w:val="009A18F5"/>
    <w:rsid w:val="009A4D8F"/>
    <w:rsid w:val="009A5A0B"/>
    <w:rsid w:val="009B324A"/>
    <w:rsid w:val="009B348F"/>
    <w:rsid w:val="009B6DB4"/>
    <w:rsid w:val="009B6F54"/>
    <w:rsid w:val="009C1298"/>
    <w:rsid w:val="009C42FA"/>
    <w:rsid w:val="009C4549"/>
    <w:rsid w:val="009C5CC8"/>
    <w:rsid w:val="009C5F07"/>
    <w:rsid w:val="009D060E"/>
    <w:rsid w:val="009D197F"/>
    <w:rsid w:val="009D1F9E"/>
    <w:rsid w:val="009D289E"/>
    <w:rsid w:val="009D3984"/>
    <w:rsid w:val="009D499D"/>
    <w:rsid w:val="009D4F4A"/>
    <w:rsid w:val="009E103E"/>
    <w:rsid w:val="009E34BC"/>
    <w:rsid w:val="009E34EA"/>
    <w:rsid w:val="009E7976"/>
    <w:rsid w:val="009F3B37"/>
    <w:rsid w:val="009F477C"/>
    <w:rsid w:val="009F672D"/>
    <w:rsid w:val="009F6EC2"/>
    <w:rsid w:val="00A00AA4"/>
    <w:rsid w:val="00A00B42"/>
    <w:rsid w:val="00A02F32"/>
    <w:rsid w:val="00A03B24"/>
    <w:rsid w:val="00A04131"/>
    <w:rsid w:val="00A05614"/>
    <w:rsid w:val="00A05CE9"/>
    <w:rsid w:val="00A11FAD"/>
    <w:rsid w:val="00A156E7"/>
    <w:rsid w:val="00A16B57"/>
    <w:rsid w:val="00A240FC"/>
    <w:rsid w:val="00A24226"/>
    <w:rsid w:val="00A32FA4"/>
    <w:rsid w:val="00A37D8F"/>
    <w:rsid w:val="00A42A83"/>
    <w:rsid w:val="00A4415C"/>
    <w:rsid w:val="00A45AD4"/>
    <w:rsid w:val="00A47DF3"/>
    <w:rsid w:val="00A47E40"/>
    <w:rsid w:val="00A520D6"/>
    <w:rsid w:val="00A55250"/>
    <w:rsid w:val="00A57D0F"/>
    <w:rsid w:val="00A608C4"/>
    <w:rsid w:val="00A61A30"/>
    <w:rsid w:val="00A633B6"/>
    <w:rsid w:val="00A655E5"/>
    <w:rsid w:val="00A66F80"/>
    <w:rsid w:val="00A67BFA"/>
    <w:rsid w:val="00A70367"/>
    <w:rsid w:val="00A71305"/>
    <w:rsid w:val="00A7196A"/>
    <w:rsid w:val="00A7319C"/>
    <w:rsid w:val="00A73DE6"/>
    <w:rsid w:val="00A74098"/>
    <w:rsid w:val="00A75FB4"/>
    <w:rsid w:val="00A81E3B"/>
    <w:rsid w:val="00A82C5B"/>
    <w:rsid w:val="00A83D74"/>
    <w:rsid w:val="00A84086"/>
    <w:rsid w:val="00A863D6"/>
    <w:rsid w:val="00A86966"/>
    <w:rsid w:val="00A9419A"/>
    <w:rsid w:val="00A953E8"/>
    <w:rsid w:val="00A957E5"/>
    <w:rsid w:val="00A962B2"/>
    <w:rsid w:val="00AA2013"/>
    <w:rsid w:val="00AA756F"/>
    <w:rsid w:val="00AB0682"/>
    <w:rsid w:val="00AB0A2C"/>
    <w:rsid w:val="00AB5A05"/>
    <w:rsid w:val="00AB6A51"/>
    <w:rsid w:val="00AC26D5"/>
    <w:rsid w:val="00AC7455"/>
    <w:rsid w:val="00AD0C74"/>
    <w:rsid w:val="00AD18ED"/>
    <w:rsid w:val="00AD6724"/>
    <w:rsid w:val="00AE0C81"/>
    <w:rsid w:val="00AE18D6"/>
    <w:rsid w:val="00AE1AF7"/>
    <w:rsid w:val="00AE2E3C"/>
    <w:rsid w:val="00AE42EE"/>
    <w:rsid w:val="00AE7D37"/>
    <w:rsid w:val="00AF1D69"/>
    <w:rsid w:val="00AF262F"/>
    <w:rsid w:val="00AF2F20"/>
    <w:rsid w:val="00AF3E81"/>
    <w:rsid w:val="00B0062A"/>
    <w:rsid w:val="00B00916"/>
    <w:rsid w:val="00B00D43"/>
    <w:rsid w:val="00B02833"/>
    <w:rsid w:val="00B03671"/>
    <w:rsid w:val="00B052A5"/>
    <w:rsid w:val="00B07D6B"/>
    <w:rsid w:val="00B107FE"/>
    <w:rsid w:val="00B10941"/>
    <w:rsid w:val="00B11032"/>
    <w:rsid w:val="00B12774"/>
    <w:rsid w:val="00B12C6A"/>
    <w:rsid w:val="00B13DE8"/>
    <w:rsid w:val="00B20259"/>
    <w:rsid w:val="00B2045A"/>
    <w:rsid w:val="00B212A8"/>
    <w:rsid w:val="00B22C54"/>
    <w:rsid w:val="00B25337"/>
    <w:rsid w:val="00B276A8"/>
    <w:rsid w:val="00B27AD7"/>
    <w:rsid w:val="00B30A8B"/>
    <w:rsid w:val="00B315B0"/>
    <w:rsid w:val="00B31881"/>
    <w:rsid w:val="00B334E3"/>
    <w:rsid w:val="00B40978"/>
    <w:rsid w:val="00B40ED5"/>
    <w:rsid w:val="00B418F7"/>
    <w:rsid w:val="00B422D9"/>
    <w:rsid w:val="00B4466A"/>
    <w:rsid w:val="00B4650F"/>
    <w:rsid w:val="00B522D3"/>
    <w:rsid w:val="00B53C5D"/>
    <w:rsid w:val="00B55C0D"/>
    <w:rsid w:val="00B57D15"/>
    <w:rsid w:val="00B61091"/>
    <w:rsid w:val="00B63C80"/>
    <w:rsid w:val="00B67BF7"/>
    <w:rsid w:val="00B67D83"/>
    <w:rsid w:val="00B71577"/>
    <w:rsid w:val="00B73198"/>
    <w:rsid w:val="00B743B9"/>
    <w:rsid w:val="00B76D38"/>
    <w:rsid w:val="00B80D9E"/>
    <w:rsid w:val="00B815B1"/>
    <w:rsid w:val="00B81C3E"/>
    <w:rsid w:val="00B92A16"/>
    <w:rsid w:val="00B94252"/>
    <w:rsid w:val="00B959C2"/>
    <w:rsid w:val="00B96C6B"/>
    <w:rsid w:val="00B96F50"/>
    <w:rsid w:val="00B97BA5"/>
    <w:rsid w:val="00BA143F"/>
    <w:rsid w:val="00BA462C"/>
    <w:rsid w:val="00BA4880"/>
    <w:rsid w:val="00BA5209"/>
    <w:rsid w:val="00BA6677"/>
    <w:rsid w:val="00BA6BB6"/>
    <w:rsid w:val="00BA6D5C"/>
    <w:rsid w:val="00BA7B25"/>
    <w:rsid w:val="00BB19C2"/>
    <w:rsid w:val="00BB1FE2"/>
    <w:rsid w:val="00BB47D1"/>
    <w:rsid w:val="00BB53FC"/>
    <w:rsid w:val="00BB5447"/>
    <w:rsid w:val="00BB6535"/>
    <w:rsid w:val="00BB6D56"/>
    <w:rsid w:val="00BC77B3"/>
    <w:rsid w:val="00BD03D6"/>
    <w:rsid w:val="00BD1F39"/>
    <w:rsid w:val="00BD24AC"/>
    <w:rsid w:val="00BD4536"/>
    <w:rsid w:val="00BD64D5"/>
    <w:rsid w:val="00BD72DB"/>
    <w:rsid w:val="00BD7A54"/>
    <w:rsid w:val="00BE1CB2"/>
    <w:rsid w:val="00BE21CF"/>
    <w:rsid w:val="00BE5845"/>
    <w:rsid w:val="00BF0239"/>
    <w:rsid w:val="00BF2883"/>
    <w:rsid w:val="00BF2AD7"/>
    <w:rsid w:val="00BF3901"/>
    <w:rsid w:val="00BF539B"/>
    <w:rsid w:val="00BF5836"/>
    <w:rsid w:val="00BF67CA"/>
    <w:rsid w:val="00BF774C"/>
    <w:rsid w:val="00C01E63"/>
    <w:rsid w:val="00C045A9"/>
    <w:rsid w:val="00C0475D"/>
    <w:rsid w:val="00C06805"/>
    <w:rsid w:val="00C0712F"/>
    <w:rsid w:val="00C07F39"/>
    <w:rsid w:val="00C10610"/>
    <w:rsid w:val="00C133E9"/>
    <w:rsid w:val="00C16784"/>
    <w:rsid w:val="00C21C9D"/>
    <w:rsid w:val="00C21EC7"/>
    <w:rsid w:val="00C22371"/>
    <w:rsid w:val="00C228E0"/>
    <w:rsid w:val="00C2408C"/>
    <w:rsid w:val="00C25250"/>
    <w:rsid w:val="00C363B3"/>
    <w:rsid w:val="00C37A14"/>
    <w:rsid w:val="00C40340"/>
    <w:rsid w:val="00C421DE"/>
    <w:rsid w:val="00C44D22"/>
    <w:rsid w:val="00C45A9E"/>
    <w:rsid w:val="00C46192"/>
    <w:rsid w:val="00C46DFD"/>
    <w:rsid w:val="00C4783D"/>
    <w:rsid w:val="00C5003B"/>
    <w:rsid w:val="00C57269"/>
    <w:rsid w:val="00C6160F"/>
    <w:rsid w:val="00C632D2"/>
    <w:rsid w:val="00C64396"/>
    <w:rsid w:val="00C6556C"/>
    <w:rsid w:val="00C65D35"/>
    <w:rsid w:val="00C66012"/>
    <w:rsid w:val="00C66F83"/>
    <w:rsid w:val="00C71498"/>
    <w:rsid w:val="00C71B69"/>
    <w:rsid w:val="00C72872"/>
    <w:rsid w:val="00C731BF"/>
    <w:rsid w:val="00C757B4"/>
    <w:rsid w:val="00C827A7"/>
    <w:rsid w:val="00C86DBE"/>
    <w:rsid w:val="00C8770F"/>
    <w:rsid w:val="00C9036F"/>
    <w:rsid w:val="00C9544D"/>
    <w:rsid w:val="00CA0E96"/>
    <w:rsid w:val="00CA1474"/>
    <w:rsid w:val="00CA17C7"/>
    <w:rsid w:val="00CA1BDC"/>
    <w:rsid w:val="00CA5201"/>
    <w:rsid w:val="00CA6E2C"/>
    <w:rsid w:val="00CB1B58"/>
    <w:rsid w:val="00CB2484"/>
    <w:rsid w:val="00CB31AD"/>
    <w:rsid w:val="00CB3E1E"/>
    <w:rsid w:val="00CB4FA1"/>
    <w:rsid w:val="00CB5697"/>
    <w:rsid w:val="00CB64D4"/>
    <w:rsid w:val="00CC11D6"/>
    <w:rsid w:val="00CC2604"/>
    <w:rsid w:val="00CC278A"/>
    <w:rsid w:val="00CC3007"/>
    <w:rsid w:val="00CC3054"/>
    <w:rsid w:val="00CC4175"/>
    <w:rsid w:val="00CC4B47"/>
    <w:rsid w:val="00CC4E9D"/>
    <w:rsid w:val="00CD0D0E"/>
    <w:rsid w:val="00CD14B0"/>
    <w:rsid w:val="00CD26F9"/>
    <w:rsid w:val="00CD371E"/>
    <w:rsid w:val="00CD5200"/>
    <w:rsid w:val="00CD74C5"/>
    <w:rsid w:val="00CE027A"/>
    <w:rsid w:val="00CE1F07"/>
    <w:rsid w:val="00CE1F7C"/>
    <w:rsid w:val="00CE384C"/>
    <w:rsid w:val="00CE4870"/>
    <w:rsid w:val="00CE78DC"/>
    <w:rsid w:val="00CF13E1"/>
    <w:rsid w:val="00CF2348"/>
    <w:rsid w:val="00CF4D15"/>
    <w:rsid w:val="00CF6024"/>
    <w:rsid w:val="00CF6604"/>
    <w:rsid w:val="00D0601F"/>
    <w:rsid w:val="00D16827"/>
    <w:rsid w:val="00D2016E"/>
    <w:rsid w:val="00D23290"/>
    <w:rsid w:val="00D25ADC"/>
    <w:rsid w:val="00D26940"/>
    <w:rsid w:val="00D3013B"/>
    <w:rsid w:val="00D310D9"/>
    <w:rsid w:val="00D34AEE"/>
    <w:rsid w:val="00D358B8"/>
    <w:rsid w:val="00D3667B"/>
    <w:rsid w:val="00D3758C"/>
    <w:rsid w:val="00D50EC2"/>
    <w:rsid w:val="00D510C9"/>
    <w:rsid w:val="00D51AB0"/>
    <w:rsid w:val="00D5566A"/>
    <w:rsid w:val="00D57F7F"/>
    <w:rsid w:val="00D60A7C"/>
    <w:rsid w:val="00D6106F"/>
    <w:rsid w:val="00D627C1"/>
    <w:rsid w:val="00D62C9F"/>
    <w:rsid w:val="00D638F3"/>
    <w:rsid w:val="00D63E1E"/>
    <w:rsid w:val="00D64C35"/>
    <w:rsid w:val="00D67888"/>
    <w:rsid w:val="00D700F1"/>
    <w:rsid w:val="00D71263"/>
    <w:rsid w:val="00D716ED"/>
    <w:rsid w:val="00D737B7"/>
    <w:rsid w:val="00D75864"/>
    <w:rsid w:val="00D760CC"/>
    <w:rsid w:val="00D76BA6"/>
    <w:rsid w:val="00D8330B"/>
    <w:rsid w:val="00D84E6E"/>
    <w:rsid w:val="00D8522F"/>
    <w:rsid w:val="00D869DF"/>
    <w:rsid w:val="00D86C39"/>
    <w:rsid w:val="00D910B6"/>
    <w:rsid w:val="00D91738"/>
    <w:rsid w:val="00D920EF"/>
    <w:rsid w:val="00D943DF"/>
    <w:rsid w:val="00D9662F"/>
    <w:rsid w:val="00DA1721"/>
    <w:rsid w:val="00DA42B6"/>
    <w:rsid w:val="00DA6BAC"/>
    <w:rsid w:val="00DA7424"/>
    <w:rsid w:val="00DA74AE"/>
    <w:rsid w:val="00DB422C"/>
    <w:rsid w:val="00DB782A"/>
    <w:rsid w:val="00DB7D65"/>
    <w:rsid w:val="00DC0440"/>
    <w:rsid w:val="00DC2E83"/>
    <w:rsid w:val="00DC5F25"/>
    <w:rsid w:val="00DC7791"/>
    <w:rsid w:val="00DD13FE"/>
    <w:rsid w:val="00DD27EE"/>
    <w:rsid w:val="00DD28EF"/>
    <w:rsid w:val="00DD4401"/>
    <w:rsid w:val="00DE0B1D"/>
    <w:rsid w:val="00DE49F2"/>
    <w:rsid w:val="00DF0C1B"/>
    <w:rsid w:val="00DF2A4A"/>
    <w:rsid w:val="00DF3960"/>
    <w:rsid w:val="00DF5AE9"/>
    <w:rsid w:val="00DF72B3"/>
    <w:rsid w:val="00E00B7E"/>
    <w:rsid w:val="00E01FA2"/>
    <w:rsid w:val="00E03B1A"/>
    <w:rsid w:val="00E05489"/>
    <w:rsid w:val="00E07E18"/>
    <w:rsid w:val="00E10412"/>
    <w:rsid w:val="00E10441"/>
    <w:rsid w:val="00E1090D"/>
    <w:rsid w:val="00E109FC"/>
    <w:rsid w:val="00E16481"/>
    <w:rsid w:val="00E208A9"/>
    <w:rsid w:val="00E23BE0"/>
    <w:rsid w:val="00E24E92"/>
    <w:rsid w:val="00E24EF6"/>
    <w:rsid w:val="00E269A4"/>
    <w:rsid w:val="00E2751A"/>
    <w:rsid w:val="00E277CF"/>
    <w:rsid w:val="00E31E2A"/>
    <w:rsid w:val="00E31F78"/>
    <w:rsid w:val="00E32FBF"/>
    <w:rsid w:val="00E33B5E"/>
    <w:rsid w:val="00E3439C"/>
    <w:rsid w:val="00E344C5"/>
    <w:rsid w:val="00E35678"/>
    <w:rsid w:val="00E3647D"/>
    <w:rsid w:val="00E37963"/>
    <w:rsid w:val="00E4177A"/>
    <w:rsid w:val="00E41AE5"/>
    <w:rsid w:val="00E42019"/>
    <w:rsid w:val="00E47A6C"/>
    <w:rsid w:val="00E5299D"/>
    <w:rsid w:val="00E534B7"/>
    <w:rsid w:val="00E549EC"/>
    <w:rsid w:val="00E5733B"/>
    <w:rsid w:val="00E61940"/>
    <w:rsid w:val="00E6677D"/>
    <w:rsid w:val="00E707AE"/>
    <w:rsid w:val="00E73D85"/>
    <w:rsid w:val="00E754D0"/>
    <w:rsid w:val="00E769CD"/>
    <w:rsid w:val="00E76E05"/>
    <w:rsid w:val="00E805F4"/>
    <w:rsid w:val="00E85CBB"/>
    <w:rsid w:val="00E87E0B"/>
    <w:rsid w:val="00E87E6D"/>
    <w:rsid w:val="00E9064F"/>
    <w:rsid w:val="00E9461C"/>
    <w:rsid w:val="00E962D2"/>
    <w:rsid w:val="00EA0370"/>
    <w:rsid w:val="00EA090B"/>
    <w:rsid w:val="00EA2B68"/>
    <w:rsid w:val="00EA2FAD"/>
    <w:rsid w:val="00EA3CEB"/>
    <w:rsid w:val="00EA44D0"/>
    <w:rsid w:val="00EB14CF"/>
    <w:rsid w:val="00EB3FA6"/>
    <w:rsid w:val="00EB569E"/>
    <w:rsid w:val="00EB5E41"/>
    <w:rsid w:val="00EB7143"/>
    <w:rsid w:val="00EB79E4"/>
    <w:rsid w:val="00EC167E"/>
    <w:rsid w:val="00EC2B0E"/>
    <w:rsid w:val="00EC33C3"/>
    <w:rsid w:val="00EC3C71"/>
    <w:rsid w:val="00EC3D17"/>
    <w:rsid w:val="00EC3D96"/>
    <w:rsid w:val="00EC4B62"/>
    <w:rsid w:val="00EC53B9"/>
    <w:rsid w:val="00ED1690"/>
    <w:rsid w:val="00ED46F9"/>
    <w:rsid w:val="00ED5447"/>
    <w:rsid w:val="00ED5D8D"/>
    <w:rsid w:val="00ED7EB1"/>
    <w:rsid w:val="00EE199E"/>
    <w:rsid w:val="00EE785C"/>
    <w:rsid w:val="00EF756A"/>
    <w:rsid w:val="00F01A7C"/>
    <w:rsid w:val="00F022ED"/>
    <w:rsid w:val="00F063C0"/>
    <w:rsid w:val="00F10641"/>
    <w:rsid w:val="00F1109C"/>
    <w:rsid w:val="00F15302"/>
    <w:rsid w:val="00F1559D"/>
    <w:rsid w:val="00F200C4"/>
    <w:rsid w:val="00F21A03"/>
    <w:rsid w:val="00F279EE"/>
    <w:rsid w:val="00F301DA"/>
    <w:rsid w:val="00F3020B"/>
    <w:rsid w:val="00F313E0"/>
    <w:rsid w:val="00F31A64"/>
    <w:rsid w:val="00F3398F"/>
    <w:rsid w:val="00F34179"/>
    <w:rsid w:val="00F341D7"/>
    <w:rsid w:val="00F341E0"/>
    <w:rsid w:val="00F3423D"/>
    <w:rsid w:val="00F35283"/>
    <w:rsid w:val="00F4171C"/>
    <w:rsid w:val="00F41A4C"/>
    <w:rsid w:val="00F41E50"/>
    <w:rsid w:val="00F41FE0"/>
    <w:rsid w:val="00F42413"/>
    <w:rsid w:val="00F42547"/>
    <w:rsid w:val="00F427E0"/>
    <w:rsid w:val="00F432D5"/>
    <w:rsid w:val="00F549DB"/>
    <w:rsid w:val="00F600AB"/>
    <w:rsid w:val="00F62DE1"/>
    <w:rsid w:val="00F6455A"/>
    <w:rsid w:val="00F64FB5"/>
    <w:rsid w:val="00F71EB4"/>
    <w:rsid w:val="00F74E7C"/>
    <w:rsid w:val="00F756DF"/>
    <w:rsid w:val="00F80185"/>
    <w:rsid w:val="00F82F09"/>
    <w:rsid w:val="00F838D5"/>
    <w:rsid w:val="00F84244"/>
    <w:rsid w:val="00F84EDA"/>
    <w:rsid w:val="00F876C7"/>
    <w:rsid w:val="00F87971"/>
    <w:rsid w:val="00F95370"/>
    <w:rsid w:val="00F96CB6"/>
    <w:rsid w:val="00F97F9B"/>
    <w:rsid w:val="00FA21D0"/>
    <w:rsid w:val="00FA44C2"/>
    <w:rsid w:val="00FA47D2"/>
    <w:rsid w:val="00FA54B2"/>
    <w:rsid w:val="00FB0275"/>
    <w:rsid w:val="00FB1923"/>
    <w:rsid w:val="00FB2851"/>
    <w:rsid w:val="00FB28D4"/>
    <w:rsid w:val="00FC20AC"/>
    <w:rsid w:val="00FC3465"/>
    <w:rsid w:val="00FC3797"/>
    <w:rsid w:val="00FC7F47"/>
    <w:rsid w:val="00FD4310"/>
    <w:rsid w:val="00FD5ECB"/>
    <w:rsid w:val="00FE0737"/>
    <w:rsid w:val="00FE21C3"/>
    <w:rsid w:val="00FE4780"/>
    <w:rsid w:val="00FE4C17"/>
    <w:rsid w:val="00FE6FE9"/>
    <w:rsid w:val="00FF5305"/>
    <w:rsid w:val="00FF54CA"/>
    <w:rsid w:val="00FF59E0"/>
    <w:rsid w:val="00FF67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82C77"/>
  <w15:chartTrackingRefBased/>
  <w15:docId w15:val="{55C2A965-BF17-47AF-960C-2ACFFA9D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F24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32D2"/>
    <w:pPr>
      <w:spacing w:after="0" w:line="240" w:lineRule="auto"/>
    </w:pPr>
    <w:rPr>
      <w:sz w:val="20"/>
      <w:szCs w:val="20"/>
    </w:rPr>
  </w:style>
  <w:style w:type="character" w:customStyle="1" w:styleId="FootnoteTextChar">
    <w:name w:val="Footnote Text Char"/>
    <w:basedOn w:val="DefaultParagraphFont"/>
    <w:link w:val="FootnoteText"/>
    <w:uiPriority w:val="99"/>
    <w:rsid w:val="00C632D2"/>
    <w:rPr>
      <w:sz w:val="20"/>
      <w:szCs w:val="20"/>
      <w:lang w:val="en-US"/>
    </w:rPr>
  </w:style>
  <w:style w:type="character" w:styleId="FootnoteReference">
    <w:name w:val="footnote reference"/>
    <w:basedOn w:val="DefaultParagraphFont"/>
    <w:uiPriority w:val="99"/>
    <w:unhideWhenUsed/>
    <w:rsid w:val="00C632D2"/>
    <w:rPr>
      <w:vertAlign w:val="superscript"/>
    </w:rPr>
  </w:style>
  <w:style w:type="character" w:customStyle="1" w:styleId="Heading1Char">
    <w:name w:val="Heading 1 Char"/>
    <w:basedOn w:val="DefaultParagraphFont"/>
    <w:link w:val="Heading1"/>
    <w:uiPriority w:val="9"/>
    <w:rsid w:val="008F248F"/>
    <w:rPr>
      <w:rFonts w:ascii="Times New Roman" w:eastAsia="Times New Roman" w:hAnsi="Times New Roman" w:cs="Times New Roman"/>
      <w:b/>
      <w:bCs/>
      <w:kern w:val="36"/>
      <w:sz w:val="48"/>
      <w:szCs w:val="48"/>
      <w:lang w:eastAsia="en-GB"/>
    </w:rPr>
  </w:style>
  <w:style w:type="paragraph" w:styleId="EndnoteText">
    <w:name w:val="endnote text"/>
    <w:basedOn w:val="Normal"/>
    <w:link w:val="EndnoteTextChar"/>
    <w:rsid w:val="004812EB"/>
    <w:pPr>
      <w:suppressAutoHyphens/>
      <w:autoSpaceDN w:val="0"/>
      <w:spacing w:after="0" w:line="240" w:lineRule="auto"/>
      <w:textAlignment w:val="baseline"/>
    </w:pPr>
    <w:rPr>
      <w:rFonts w:ascii="Calibri" w:eastAsia="Calibri" w:hAnsi="Calibri" w:cs="Times New Roman"/>
      <w:sz w:val="20"/>
      <w:szCs w:val="20"/>
    </w:rPr>
  </w:style>
  <w:style w:type="character" w:customStyle="1" w:styleId="EndnoteTextChar">
    <w:name w:val="Endnote Text Char"/>
    <w:basedOn w:val="DefaultParagraphFont"/>
    <w:link w:val="EndnoteText"/>
    <w:rsid w:val="004812EB"/>
    <w:rPr>
      <w:rFonts w:ascii="Calibri" w:eastAsia="Calibri" w:hAnsi="Calibri" w:cs="Times New Roman"/>
      <w:sz w:val="20"/>
      <w:szCs w:val="20"/>
      <w:lang w:val="en-US"/>
    </w:rPr>
  </w:style>
  <w:style w:type="character" w:styleId="EndnoteReference">
    <w:name w:val="endnote reference"/>
    <w:basedOn w:val="DefaultParagraphFont"/>
    <w:rsid w:val="004812EB"/>
    <w:rPr>
      <w:position w:val="0"/>
      <w:vertAlign w:val="superscript"/>
    </w:rPr>
  </w:style>
  <w:style w:type="character" w:styleId="CommentReference">
    <w:name w:val="annotation reference"/>
    <w:basedOn w:val="DefaultParagraphFont"/>
    <w:uiPriority w:val="99"/>
    <w:semiHidden/>
    <w:unhideWhenUsed/>
    <w:rsid w:val="00A953E8"/>
    <w:rPr>
      <w:sz w:val="16"/>
      <w:szCs w:val="16"/>
    </w:rPr>
  </w:style>
  <w:style w:type="paragraph" w:styleId="CommentText">
    <w:name w:val="annotation text"/>
    <w:basedOn w:val="Normal"/>
    <w:link w:val="CommentTextChar"/>
    <w:uiPriority w:val="99"/>
    <w:unhideWhenUsed/>
    <w:rsid w:val="00A953E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953E8"/>
    <w:rPr>
      <w:rFonts w:ascii="Calibri" w:hAnsi="Calibri" w:cs="Calibri"/>
      <w:sz w:val="20"/>
      <w:szCs w:val="20"/>
    </w:rPr>
  </w:style>
  <w:style w:type="paragraph" w:styleId="Header">
    <w:name w:val="header"/>
    <w:basedOn w:val="Normal"/>
    <w:link w:val="HeaderChar"/>
    <w:uiPriority w:val="99"/>
    <w:unhideWhenUsed/>
    <w:rsid w:val="00BD1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F39"/>
    <w:rPr>
      <w:lang w:val="en-US"/>
    </w:rPr>
  </w:style>
  <w:style w:type="paragraph" w:styleId="Footer">
    <w:name w:val="footer"/>
    <w:basedOn w:val="Normal"/>
    <w:link w:val="FooterChar"/>
    <w:uiPriority w:val="99"/>
    <w:unhideWhenUsed/>
    <w:rsid w:val="00BD1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F39"/>
    <w:rPr>
      <w:lang w:val="en-US"/>
    </w:rPr>
  </w:style>
  <w:style w:type="paragraph" w:styleId="CommentSubject">
    <w:name w:val="annotation subject"/>
    <w:basedOn w:val="CommentText"/>
    <w:next w:val="CommentText"/>
    <w:link w:val="CommentSubjectChar"/>
    <w:uiPriority w:val="99"/>
    <w:semiHidden/>
    <w:unhideWhenUsed/>
    <w:rsid w:val="00BD1F39"/>
    <w:pPr>
      <w:spacing w:after="160"/>
    </w:pPr>
    <w:rPr>
      <w:rFonts w:ascii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D1F39"/>
    <w:rPr>
      <w:rFonts w:ascii="Calibri" w:hAnsi="Calibri" w:cs="Calibri"/>
      <w:b/>
      <w:bCs/>
      <w:sz w:val="20"/>
      <w:szCs w:val="20"/>
      <w:lang w:val="en-US"/>
    </w:rPr>
  </w:style>
  <w:style w:type="paragraph" w:styleId="NormalWeb">
    <w:name w:val="Normal (Web)"/>
    <w:basedOn w:val="Normal"/>
    <w:uiPriority w:val="99"/>
    <w:semiHidden/>
    <w:unhideWhenUsed/>
    <w:rsid w:val="000F7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6EC2"/>
    <w:rPr>
      <w:i/>
      <w:iCs/>
    </w:rPr>
  </w:style>
  <w:style w:type="paragraph" w:styleId="BalloonText">
    <w:name w:val="Balloon Text"/>
    <w:basedOn w:val="Normal"/>
    <w:link w:val="BalloonTextChar"/>
    <w:uiPriority w:val="99"/>
    <w:semiHidden/>
    <w:unhideWhenUsed/>
    <w:rsid w:val="005E6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0E"/>
    <w:rPr>
      <w:rFonts w:ascii="Segoe UI" w:hAnsi="Segoe UI" w:cs="Segoe UI"/>
      <w:sz w:val="18"/>
      <w:szCs w:val="18"/>
      <w:lang w:val="en-US"/>
    </w:rPr>
  </w:style>
  <w:style w:type="paragraph" w:styleId="ListParagraph">
    <w:name w:val="List Paragraph"/>
    <w:basedOn w:val="Normal"/>
    <w:uiPriority w:val="34"/>
    <w:qFormat/>
    <w:rsid w:val="0073771F"/>
    <w:pPr>
      <w:ind w:left="720"/>
      <w:contextualSpacing/>
    </w:pPr>
  </w:style>
  <w:style w:type="paragraph" w:styleId="Title">
    <w:name w:val="Title"/>
    <w:basedOn w:val="Normal"/>
    <w:next w:val="Normal"/>
    <w:link w:val="TitleChar"/>
    <w:uiPriority w:val="10"/>
    <w:qFormat/>
    <w:rsid w:val="00D0601F"/>
    <w:pPr>
      <w:suppressAutoHyphens/>
      <w:autoSpaceDE w:val="0"/>
      <w:autoSpaceDN w:val="0"/>
      <w:spacing w:after="0" w:line="240" w:lineRule="auto"/>
      <w:jc w:val="center"/>
      <w:textAlignment w:val="baseline"/>
    </w:pPr>
    <w:rPr>
      <w:rFonts w:ascii="Times New Roman" w:eastAsia="Times New Roman" w:hAnsi="Times New Roman" w:cs="Times New Roman"/>
      <w:kern w:val="3"/>
      <w:sz w:val="48"/>
      <w:szCs w:val="48"/>
    </w:rPr>
  </w:style>
  <w:style w:type="character" w:customStyle="1" w:styleId="TitleChar">
    <w:name w:val="Title Char"/>
    <w:basedOn w:val="DefaultParagraphFont"/>
    <w:link w:val="Title"/>
    <w:uiPriority w:val="10"/>
    <w:rsid w:val="00D0601F"/>
    <w:rPr>
      <w:rFonts w:ascii="Times New Roman" w:eastAsia="Times New Roman" w:hAnsi="Times New Roman" w:cs="Times New Roman"/>
      <w:kern w:val="3"/>
      <w:sz w:val="48"/>
      <w:szCs w:val="48"/>
      <w:lang w:val="en-US"/>
    </w:rPr>
  </w:style>
  <w:style w:type="character" w:customStyle="1" w:styleId="cohidesearchterm">
    <w:name w:val="co_hidesearchterm"/>
    <w:basedOn w:val="DefaultParagraphFont"/>
    <w:rsid w:val="00AE2E3C"/>
  </w:style>
  <w:style w:type="character" w:styleId="Hyperlink">
    <w:name w:val="Hyperlink"/>
    <w:basedOn w:val="DefaultParagraphFont"/>
    <w:uiPriority w:val="99"/>
    <w:unhideWhenUsed/>
    <w:rsid w:val="00A863D6"/>
    <w:rPr>
      <w:color w:val="0563C1" w:themeColor="hyperlink"/>
      <w:u w:val="single"/>
    </w:rPr>
  </w:style>
  <w:style w:type="character" w:styleId="UnresolvedMention">
    <w:name w:val="Unresolved Mention"/>
    <w:basedOn w:val="DefaultParagraphFont"/>
    <w:uiPriority w:val="99"/>
    <w:semiHidden/>
    <w:unhideWhenUsed/>
    <w:rsid w:val="00A86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582">
      <w:bodyDiv w:val="1"/>
      <w:marLeft w:val="0"/>
      <w:marRight w:val="0"/>
      <w:marTop w:val="0"/>
      <w:marBottom w:val="0"/>
      <w:divBdr>
        <w:top w:val="none" w:sz="0" w:space="0" w:color="auto"/>
        <w:left w:val="none" w:sz="0" w:space="0" w:color="auto"/>
        <w:bottom w:val="none" w:sz="0" w:space="0" w:color="auto"/>
        <w:right w:val="none" w:sz="0" w:space="0" w:color="auto"/>
      </w:divBdr>
    </w:div>
    <w:div w:id="474103776">
      <w:bodyDiv w:val="1"/>
      <w:marLeft w:val="0"/>
      <w:marRight w:val="0"/>
      <w:marTop w:val="0"/>
      <w:marBottom w:val="0"/>
      <w:divBdr>
        <w:top w:val="none" w:sz="0" w:space="0" w:color="auto"/>
        <w:left w:val="none" w:sz="0" w:space="0" w:color="auto"/>
        <w:bottom w:val="none" w:sz="0" w:space="0" w:color="auto"/>
        <w:right w:val="none" w:sz="0" w:space="0" w:color="auto"/>
      </w:divBdr>
    </w:div>
    <w:div w:id="991257186">
      <w:bodyDiv w:val="1"/>
      <w:marLeft w:val="0"/>
      <w:marRight w:val="0"/>
      <w:marTop w:val="0"/>
      <w:marBottom w:val="0"/>
      <w:divBdr>
        <w:top w:val="none" w:sz="0" w:space="0" w:color="auto"/>
        <w:left w:val="none" w:sz="0" w:space="0" w:color="auto"/>
        <w:bottom w:val="none" w:sz="0" w:space="0" w:color="auto"/>
        <w:right w:val="none" w:sz="0" w:space="0" w:color="auto"/>
      </w:divBdr>
    </w:div>
    <w:div w:id="1062482795">
      <w:bodyDiv w:val="1"/>
      <w:marLeft w:val="0"/>
      <w:marRight w:val="0"/>
      <w:marTop w:val="0"/>
      <w:marBottom w:val="0"/>
      <w:divBdr>
        <w:top w:val="none" w:sz="0" w:space="0" w:color="auto"/>
        <w:left w:val="none" w:sz="0" w:space="0" w:color="auto"/>
        <w:bottom w:val="none" w:sz="0" w:space="0" w:color="auto"/>
        <w:right w:val="none" w:sz="0" w:space="0" w:color="auto"/>
      </w:divBdr>
    </w:div>
    <w:div w:id="1065034424">
      <w:bodyDiv w:val="1"/>
      <w:marLeft w:val="0"/>
      <w:marRight w:val="0"/>
      <w:marTop w:val="0"/>
      <w:marBottom w:val="0"/>
      <w:divBdr>
        <w:top w:val="none" w:sz="0" w:space="0" w:color="auto"/>
        <w:left w:val="none" w:sz="0" w:space="0" w:color="auto"/>
        <w:bottom w:val="none" w:sz="0" w:space="0" w:color="auto"/>
        <w:right w:val="none" w:sz="0" w:space="0" w:color="auto"/>
      </w:divBdr>
    </w:div>
    <w:div w:id="1090733477">
      <w:bodyDiv w:val="1"/>
      <w:marLeft w:val="0"/>
      <w:marRight w:val="0"/>
      <w:marTop w:val="0"/>
      <w:marBottom w:val="0"/>
      <w:divBdr>
        <w:top w:val="none" w:sz="0" w:space="0" w:color="auto"/>
        <w:left w:val="none" w:sz="0" w:space="0" w:color="auto"/>
        <w:bottom w:val="none" w:sz="0" w:space="0" w:color="auto"/>
        <w:right w:val="none" w:sz="0" w:space="0" w:color="auto"/>
      </w:divBdr>
    </w:div>
    <w:div w:id="1209680541">
      <w:bodyDiv w:val="1"/>
      <w:marLeft w:val="0"/>
      <w:marRight w:val="0"/>
      <w:marTop w:val="0"/>
      <w:marBottom w:val="0"/>
      <w:divBdr>
        <w:top w:val="none" w:sz="0" w:space="0" w:color="auto"/>
        <w:left w:val="none" w:sz="0" w:space="0" w:color="auto"/>
        <w:bottom w:val="none" w:sz="0" w:space="0" w:color="auto"/>
        <w:right w:val="none" w:sz="0" w:space="0" w:color="auto"/>
      </w:divBdr>
    </w:div>
    <w:div w:id="1433744091">
      <w:bodyDiv w:val="1"/>
      <w:marLeft w:val="0"/>
      <w:marRight w:val="0"/>
      <w:marTop w:val="0"/>
      <w:marBottom w:val="0"/>
      <w:divBdr>
        <w:top w:val="none" w:sz="0" w:space="0" w:color="auto"/>
        <w:left w:val="none" w:sz="0" w:space="0" w:color="auto"/>
        <w:bottom w:val="none" w:sz="0" w:space="0" w:color="auto"/>
        <w:right w:val="none" w:sz="0" w:space="0" w:color="auto"/>
      </w:divBdr>
    </w:div>
    <w:div w:id="1680153367">
      <w:bodyDiv w:val="1"/>
      <w:marLeft w:val="0"/>
      <w:marRight w:val="0"/>
      <w:marTop w:val="0"/>
      <w:marBottom w:val="0"/>
      <w:divBdr>
        <w:top w:val="none" w:sz="0" w:space="0" w:color="auto"/>
        <w:left w:val="none" w:sz="0" w:space="0" w:color="auto"/>
        <w:bottom w:val="none" w:sz="0" w:space="0" w:color="auto"/>
        <w:right w:val="none" w:sz="0" w:space="0" w:color="auto"/>
      </w:divBdr>
    </w:div>
    <w:div w:id="1749963451">
      <w:bodyDiv w:val="1"/>
      <w:marLeft w:val="0"/>
      <w:marRight w:val="0"/>
      <w:marTop w:val="0"/>
      <w:marBottom w:val="0"/>
      <w:divBdr>
        <w:top w:val="none" w:sz="0" w:space="0" w:color="auto"/>
        <w:left w:val="none" w:sz="0" w:space="0" w:color="auto"/>
        <w:bottom w:val="none" w:sz="0" w:space="0" w:color="auto"/>
        <w:right w:val="none" w:sz="0" w:space="0" w:color="auto"/>
      </w:divBdr>
    </w:div>
    <w:div w:id="2004621064">
      <w:bodyDiv w:val="1"/>
      <w:marLeft w:val="0"/>
      <w:marRight w:val="0"/>
      <w:marTop w:val="0"/>
      <w:marBottom w:val="0"/>
      <w:divBdr>
        <w:top w:val="none" w:sz="0" w:space="0" w:color="auto"/>
        <w:left w:val="none" w:sz="0" w:space="0" w:color="auto"/>
        <w:bottom w:val="none" w:sz="0" w:space="0" w:color="auto"/>
        <w:right w:val="none" w:sz="0" w:space="0" w:color="auto"/>
      </w:divBdr>
    </w:div>
    <w:div w:id="2126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039439-5dfd-4761-8eed-af6957e0ee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59139BAA0C6D4794379EB8CC2046F0" ma:contentTypeVersion="6" ma:contentTypeDescription="Create a new document." ma:contentTypeScope="" ma:versionID="a457c637320ffb36d4954ff9b7e0dc77">
  <xsd:schema xmlns:xsd="http://www.w3.org/2001/XMLSchema" xmlns:xs="http://www.w3.org/2001/XMLSchema" xmlns:p="http://schemas.microsoft.com/office/2006/metadata/properties" xmlns:ns3="17039439-5dfd-4761-8eed-af6957e0ee62" xmlns:ns4="44513937-2646-4027-97cd-e5a670a65cd7" targetNamespace="http://schemas.microsoft.com/office/2006/metadata/properties" ma:root="true" ma:fieldsID="9c6acc5910679629daea886b6e110fb6" ns3:_="" ns4:_="">
    <xsd:import namespace="17039439-5dfd-4761-8eed-af6957e0ee62"/>
    <xsd:import namespace="44513937-2646-4027-97cd-e5a670a65c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39439-5dfd-4761-8eed-af6957e0e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13937-2646-4027-97cd-e5a670a65c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96A9-6B14-4114-8A6C-9B5DED53E245}">
  <ds:schemaRefs>
    <ds:schemaRef ds:uri="http://schemas.microsoft.com/office/2006/metadata/properties"/>
    <ds:schemaRef ds:uri="44513937-2646-4027-97cd-e5a670a65c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039439-5dfd-4761-8eed-af6957e0ee62"/>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28E5FF1-E4B4-48F0-AB22-C831B29B3F1E}">
  <ds:schemaRefs>
    <ds:schemaRef ds:uri="http://schemas.microsoft.com/sharepoint/v3/contenttype/forms"/>
  </ds:schemaRefs>
</ds:datastoreItem>
</file>

<file path=customXml/itemProps3.xml><?xml version="1.0" encoding="utf-8"?>
<ds:datastoreItem xmlns:ds="http://schemas.openxmlformats.org/officeDocument/2006/customXml" ds:itemID="{4F5B8CE7-3C1A-44C2-8381-C5BCEBB4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39439-5dfd-4761-8eed-af6957e0ee62"/>
    <ds:schemaRef ds:uri="44513937-2646-4027-97cd-e5a670a65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2B6A7-56B5-4061-906A-2DC7180E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14</Pages>
  <Words>4895</Words>
  <Characters>24384</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Moorhouse</dc:creator>
  <cp:keywords/>
  <dc:description/>
  <cp:lastModifiedBy>Amy Elkington</cp:lastModifiedBy>
  <cp:revision>318</cp:revision>
  <cp:lastPrinted>2022-09-22T21:21:00Z</cp:lastPrinted>
  <dcterms:created xsi:type="dcterms:W3CDTF">2023-04-04T15:54:00Z</dcterms:created>
  <dcterms:modified xsi:type="dcterms:W3CDTF">2023-11-27T09:19:00Z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0x010100A259139BAA0C6D4794379EB8CC2046F0</vt:lpwstr>
  </property>
</Properties>
</file>