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F4" w:rsidRDefault="00A94FF4" w:rsidP="00A94FF4">
      <w:pPr>
        <w:pStyle w:val="Default"/>
        <w:spacing w:line="401" w:lineRule="atLeast"/>
        <w:jc w:val="center"/>
        <w:rPr>
          <w:rFonts w:ascii="HelveticaNeueLT Std Med" w:hAnsi="HelveticaNeueLT Std Med" w:cs="HelveticaNeueLT Std Med"/>
          <w:sz w:val="40"/>
          <w:szCs w:val="40"/>
        </w:rPr>
      </w:pPr>
      <w:bookmarkStart w:id="0" w:name="_GoBack"/>
      <w:r>
        <w:rPr>
          <w:rFonts w:ascii="HelveticaNeueLT Std Med" w:hAnsi="HelveticaNeueLT Std Med" w:cs="HelveticaNeueLT Std Med"/>
          <w:sz w:val="40"/>
          <w:szCs w:val="40"/>
        </w:rPr>
        <w:t>Building a sustainable healthcare workforce through innovative social partnerships</w:t>
      </w:r>
    </w:p>
    <w:bookmarkEnd w:id="0"/>
    <w:p w:rsidR="00A94FF4" w:rsidRDefault="00A94FF4" w:rsidP="00A94FF4">
      <w:pPr>
        <w:pStyle w:val="Default"/>
        <w:spacing w:line="401" w:lineRule="atLeast"/>
        <w:jc w:val="center"/>
        <w:rPr>
          <w:rFonts w:ascii="HelveticaNeueLT Std Med" w:hAnsi="HelveticaNeueLT Std Med" w:cs="HelveticaNeueLT Std Med"/>
          <w:sz w:val="40"/>
          <w:szCs w:val="40"/>
        </w:rPr>
      </w:pPr>
    </w:p>
    <w:p w:rsidR="00A94FF4" w:rsidRDefault="00A94FF4" w:rsidP="00A94FF4">
      <w:pPr>
        <w:pStyle w:val="Default"/>
        <w:rPr>
          <w:rFonts w:ascii="Times LT Std" w:hAnsi="Times LT Std" w:cs="Times LT Std"/>
          <w:color w:val="auto"/>
          <w:sz w:val="20"/>
          <w:szCs w:val="20"/>
        </w:rPr>
      </w:pPr>
      <w:r>
        <w:rPr>
          <w:rFonts w:ascii="Times LT Std" w:hAnsi="Times LT Std" w:cs="Times LT Std"/>
          <w:color w:val="auto"/>
          <w:sz w:val="20"/>
          <w:szCs w:val="20"/>
        </w:rPr>
        <w:t>On 30 June 2023, NHS England (2023) published the first comprehensive, long-term NHS</w:t>
      </w:r>
      <w:r>
        <w:rPr>
          <w:rFonts w:ascii="Times LT Std" w:hAnsi="Times LT Std" w:cs="Times LT Std"/>
          <w:color w:val="auto"/>
          <w:sz w:val="20"/>
          <w:szCs w:val="20"/>
        </w:rPr>
        <w:t xml:space="preserve"> </w:t>
      </w:r>
      <w:r>
        <w:rPr>
          <w:rFonts w:ascii="Times LT Std" w:hAnsi="Times LT Std" w:cs="Times LT Std"/>
          <w:color w:val="auto"/>
          <w:sz w:val="20"/>
          <w:szCs w:val="20"/>
        </w:rPr>
        <w:t>workforce plan. There is an urgent need for a sustainable, strategic action to address the current workforce vacancies seen across all healthcare providers in England. Educational heads in local universities are integral to supporting this, via social partnerships brokered between key leaders. Integrated care boards and healthcare providers can collaborate to enable a resilient response to this crisis, but this requires flexible and creative direction across all stakeholders, with a civic and societal approach to improving the health and social care of the local population.</w:t>
      </w:r>
    </w:p>
    <w:p w:rsidR="00A94FF4" w:rsidRDefault="00A94FF4" w:rsidP="00A94FF4">
      <w:pPr>
        <w:pStyle w:val="Pa1"/>
        <w:spacing w:before="340"/>
        <w:rPr>
          <w:rFonts w:cs="HelveticaNeueLT Std"/>
          <w:sz w:val="28"/>
          <w:szCs w:val="28"/>
        </w:rPr>
      </w:pPr>
      <w:r>
        <w:rPr>
          <w:rFonts w:cs="HelveticaNeueLT Std"/>
          <w:b/>
          <w:bCs/>
          <w:sz w:val="28"/>
          <w:szCs w:val="28"/>
        </w:rPr>
        <w:t xml:space="preserve">Vacancies in the workforce </w:t>
      </w:r>
    </w:p>
    <w:p w:rsidR="00A94FF4" w:rsidRDefault="00A94FF4" w:rsidP="00A94FF4">
      <w:pPr>
        <w:pStyle w:val="Pa0"/>
        <w:jc w:val="both"/>
        <w:rPr>
          <w:rFonts w:ascii="Times LT Std" w:hAnsi="Times LT Std" w:cs="Times LT Std"/>
          <w:sz w:val="20"/>
          <w:szCs w:val="20"/>
        </w:rPr>
      </w:pPr>
      <w:r>
        <w:rPr>
          <w:rFonts w:ascii="Times LT Std" w:hAnsi="Times LT Std" w:cs="Times LT Std"/>
          <w:sz w:val="20"/>
          <w:szCs w:val="20"/>
        </w:rPr>
        <w:t xml:space="preserve">There are considerably high vacancy rates across all health and social care professions in the UK, with the largest deficit being in nursing. In 2021–22, England saw the highest number and proportion of nurses leaving the NHS ever recorded (Devereux, 2022). These workforce shortages are already having a direct impact on patient care and staff satisfaction. Beech et al (2019) identified that the NHS could have a shortfall of 108 000 full-time equivalent nurses within 10 years. Half of this gap could be bridged by increasing the number of nurses joining the NHS from their undergraduate courses; however, achieving this would require 5000 more places on nursing courses every year and a key strategy to reduce the drop-out rate (Beech et al, 2019). There has been some development in meeting these numbers, with new nurse education schools and faculties being set up in higher education institutes and further education colleges across England. </w:t>
      </w:r>
    </w:p>
    <w:p w:rsidR="00A94FF4" w:rsidRDefault="00A94FF4" w:rsidP="00A94FF4">
      <w:pPr>
        <w:pStyle w:val="Pa2"/>
        <w:jc w:val="both"/>
        <w:rPr>
          <w:rFonts w:ascii="Times LT Std" w:hAnsi="Times LT Std" w:cs="Times LT Std"/>
          <w:sz w:val="20"/>
          <w:szCs w:val="20"/>
        </w:rPr>
      </w:pPr>
    </w:p>
    <w:p w:rsidR="00A94FF4" w:rsidRDefault="00A94FF4" w:rsidP="00A94FF4">
      <w:pPr>
        <w:pStyle w:val="Pa2"/>
        <w:jc w:val="both"/>
        <w:rPr>
          <w:rFonts w:ascii="Times LT Std" w:hAnsi="Times LT Std" w:cs="Times LT Std"/>
          <w:sz w:val="20"/>
          <w:szCs w:val="20"/>
        </w:rPr>
      </w:pPr>
      <w:r>
        <w:rPr>
          <w:rFonts w:ascii="Times LT Std" w:hAnsi="Times LT Std" w:cs="Times LT Std"/>
          <w:sz w:val="20"/>
          <w:szCs w:val="20"/>
        </w:rPr>
        <w:t xml:space="preserve">There is evidence to support keeping nurse education in universities. For example, the RN4CAST study collected data from across 12 European countries and found that, with every 10% increase in the number of degree-educated nurses in a clinical area, there was a 7% associated decrease in the likelihood of patient mortality (Aiken et al, 2014). A steady supply of graduate registered nurses is vital for sustained patient safety, enhanced patient care and positive staff experiences both within the NHS and across other care areas. </w:t>
      </w:r>
    </w:p>
    <w:p w:rsidR="00A94FF4" w:rsidRDefault="00A94FF4" w:rsidP="00A94FF4">
      <w:pPr>
        <w:pStyle w:val="Pa1"/>
        <w:spacing w:before="340"/>
        <w:rPr>
          <w:rFonts w:cs="HelveticaNeueLT Std"/>
          <w:sz w:val="28"/>
          <w:szCs w:val="28"/>
        </w:rPr>
      </w:pPr>
      <w:r>
        <w:rPr>
          <w:rFonts w:cs="HelveticaNeueLT Std"/>
          <w:b/>
          <w:bCs/>
          <w:sz w:val="28"/>
          <w:szCs w:val="28"/>
        </w:rPr>
        <w:t xml:space="preserve">A new vision for the NHS workforce </w:t>
      </w:r>
    </w:p>
    <w:p w:rsidR="00A94FF4" w:rsidRDefault="00A94FF4" w:rsidP="00A94FF4">
      <w:pPr>
        <w:pStyle w:val="Pa0"/>
        <w:jc w:val="both"/>
        <w:rPr>
          <w:rFonts w:ascii="Times LT Std" w:hAnsi="Times LT Std" w:cs="Times LT Std"/>
          <w:sz w:val="20"/>
          <w:szCs w:val="20"/>
        </w:rPr>
      </w:pPr>
      <w:r>
        <w:rPr>
          <w:rFonts w:ascii="Times LT Std" w:hAnsi="Times LT Std" w:cs="Times LT Std"/>
          <w:sz w:val="20"/>
          <w:szCs w:val="20"/>
        </w:rPr>
        <w:t xml:space="preserve">Universities must continue to work collaboratively with healthcare providers, and deepen these partnerships, to support the professional learning and clinical experience of students. These relationships need to be carefully developed, as universities play a key role in preparing newly qualified nursing and allied health care professionals into health and social care services. Cultivating these relationships is part of integrated care boards’ responsibility for strategic planning to meet their population’s health needs. This can be achieved through integrated care partnerships—statutory committees that are jointly formed between the NHS integrated care board and local stakeholders, aiming to improve care, health and wellbeing for the population. Membership of these partnerships is decided locally and is increasingly including local universities as partners (NHS, 2023). </w:t>
      </w:r>
    </w:p>
    <w:p w:rsidR="00A94FF4" w:rsidRPr="00A94FF4" w:rsidRDefault="00A94FF4" w:rsidP="00A94FF4">
      <w:pPr>
        <w:pStyle w:val="Default"/>
      </w:pPr>
    </w:p>
    <w:p w:rsidR="00A94FF4" w:rsidRDefault="00A94FF4" w:rsidP="00A94FF4">
      <w:pPr>
        <w:pStyle w:val="Pa2"/>
        <w:jc w:val="both"/>
        <w:rPr>
          <w:rFonts w:ascii="Times LT Std" w:hAnsi="Times LT Std" w:cs="Times LT Std"/>
          <w:sz w:val="20"/>
          <w:szCs w:val="20"/>
        </w:rPr>
      </w:pPr>
      <w:r>
        <w:rPr>
          <w:rFonts w:ascii="Times LT Std" w:hAnsi="Times LT Std" w:cs="Times LT Std"/>
          <w:sz w:val="20"/>
          <w:szCs w:val="20"/>
        </w:rPr>
        <w:t>The author believes that enhanced reciprocal partnerships could assist with workforce planning and potentially lead to a shift from the narrow focus on students in the pipeline, to co-production between educators and workforce planners to develop flexible clinical practice. This will require new clinical knowledge and skills, along with recognition of the evolving nature of healthcare roles (</w:t>
      </w:r>
      <w:proofErr w:type="spellStart"/>
      <w:r>
        <w:rPr>
          <w:rFonts w:ascii="Times LT Std" w:hAnsi="Times LT Std" w:cs="Times LT Std"/>
          <w:sz w:val="20"/>
          <w:szCs w:val="20"/>
        </w:rPr>
        <w:t>Fraher</w:t>
      </w:r>
      <w:proofErr w:type="spellEnd"/>
      <w:r>
        <w:rPr>
          <w:rFonts w:ascii="Times LT Std" w:hAnsi="Times LT Std" w:cs="Times LT Std"/>
          <w:sz w:val="20"/>
          <w:szCs w:val="20"/>
        </w:rPr>
        <w:t xml:space="preserve"> and Brandt, 2019). Healthcare systems in New Zealand are already engaging with higher education in this manner, focusing on redesigning professional roles, regulation, education and practice to meet place-based healthcare needs (Gorman, 2013). A refashioning of the professional skills, attitudes and knowledge attained by healthcare professionals is needed to enable new models of care. </w:t>
      </w:r>
    </w:p>
    <w:p w:rsidR="00A94FF4" w:rsidRDefault="00A94FF4" w:rsidP="00A94FF4">
      <w:pPr>
        <w:pStyle w:val="Pa6"/>
        <w:spacing w:after="100"/>
        <w:rPr>
          <w:b/>
          <w:bCs/>
          <w:sz w:val="28"/>
          <w:szCs w:val="28"/>
        </w:rPr>
      </w:pPr>
    </w:p>
    <w:p w:rsidR="00A94FF4" w:rsidRDefault="00A94FF4" w:rsidP="00A94FF4">
      <w:pPr>
        <w:pStyle w:val="Pa6"/>
        <w:spacing w:after="100"/>
        <w:rPr>
          <w:sz w:val="28"/>
          <w:szCs w:val="28"/>
        </w:rPr>
      </w:pPr>
      <w:r>
        <w:rPr>
          <w:b/>
          <w:bCs/>
          <w:sz w:val="28"/>
          <w:szCs w:val="28"/>
        </w:rPr>
        <w:t xml:space="preserve">Sustainable social partnerships </w:t>
      </w:r>
    </w:p>
    <w:p w:rsidR="00A94FF4" w:rsidRDefault="00A94FF4" w:rsidP="00A94FF4">
      <w:pPr>
        <w:pStyle w:val="Pa0"/>
        <w:jc w:val="both"/>
        <w:rPr>
          <w:rFonts w:ascii="Times LT Std" w:hAnsi="Times LT Std" w:cs="Times LT Std"/>
          <w:sz w:val="20"/>
          <w:szCs w:val="20"/>
        </w:rPr>
      </w:pPr>
      <w:r>
        <w:rPr>
          <w:rFonts w:ascii="Times LT Std" w:hAnsi="Times LT Std" w:cs="Times LT Std"/>
          <w:sz w:val="20"/>
          <w:szCs w:val="20"/>
        </w:rPr>
        <w:t xml:space="preserve">Workforce planners and inter-professional educators are two groups that traditionally do not work with each other. Yet, this collaboration is essential for a coordinated approach to expanding the healthcare workforce. This requires the development of social partnerships, which arise from local community concerns. To achieve sustainable success, these social partnerships require the following: </w:t>
      </w:r>
    </w:p>
    <w:p w:rsidR="00A94FF4" w:rsidRDefault="00A94FF4" w:rsidP="00A94FF4">
      <w:pPr>
        <w:pStyle w:val="Default"/>
        <w:numPr>
          <w:ilvl w:val="0"/>
          <w:numId w:val="2"/>
        </w:numPr>
        <w:rPr>
          <w:rFonts w:ascii="Times LT Std" w:hAnsi="Times LT Std" w:cs="Times LT Std"/>
          <w:color w:val="auto"/>
          <w:sz w:val="20"/>
          <w:szCs w:val="20"/>
        </w:rPr>
      </w:pPr>
      <w:r>
        <w:rPr>
          <w:rFonts w:ascii="Times LT Std" w:hAnsi="Times LT Std" w:cs="Times LT Std"/>
          <w:color w:val="auto"/>
          <w:sz w:val="20"/>
          <w:szCs w:val="20"/>
        </w:rPr>
        <w:t xml:space="preserve">Co-production of shared goals </w:t>
      </w:r>
    </w:p>
    <w:p w:rsidR="00A94FF4" w:rsidRDefault="00A94FF4" w:rsidP="00A94FF4">
      <w:pPr>
        <w:pStyle w:val="Default"/>
        <w:numPr>
          <w:ilvl w:val="0"/>
          <w:numId w:val="2"/>
        </w:numPr>
        <w:rPr>
          <w:rFonts w:ascii="Times LT Std" w:hAnsi="Times LT Std" w:cs="Times LT Std"/>
          <w:color w:val="auto"/>
          <w:sz w:val="20"/>
          <w:szCs w:val="20"/>
        </w:rPr>
      </w:pPr>
      <w:r>
        <w:rPr>
          <w:rFonts w:ascii="Times LT Std" w:hAnsi="Times LT Std" w:cs="Times LT Std"/>
          <w:color w:val="auto"/>
          <w:sz w:val="20"/>
          <w:szCs w:val="20"/>
        </w:rPr>
        <w:t xml:space="preserve">Development of relationships between partners </w:t>
      </w:r>
    </w:p>
    <w:p w:rsidR="00A94FF4" w:rsidRDefault="00A94FF4" w:rsidP="00A94FF4">
      <w:pPr>
        <w:pStyle w:val="Default"/>
        <w:numPr>
          <w:ilvl w:val="0"/>
          <w:numId w:val="2"/>
        </w:numPr>
        <w:rPr>
          <w:rFonts w:ascii="Times LT Std" w:hAnsi="Times LT Std" w:cs="Times LT Std"/>
          <w:color w:val="auto"/>
          <w:sz w:val="20"/>
          <w:szCs w:val="20"/>
        </w:rPr>
      </w:pPr>
      <w:r>
        <w:rPr>
          <w:rFonts w:ascii="Times LT Std" w:hAnsi="Times LT Std" w:cs="Times LT Std"/>
          <w:color w:val="auto"/>
          <w:sz w:val="20"/>
          <w:szCs w:val="20"/>
        </w:rPr>
        <w:lastRenderedPageBreak/>
        <w:t xml:space="preserve">Ability for partnership work </w:t>
      </w:r>
    </w:p>
    <w:p w:rsidR="00A94FF4" w:rsidRDefault="00A94FF4" w:rsidP="00A94FF4">
      <w:pPr>
        <w:pStyle w:val="Default"/>
        <w:numPr>
          <w:ilvl w:val="0"/>
          <w:numId w:val="2"/>
        </w:numPr>
        <w:rPr>
          <w:rFonts w:ascii="Times LT Std" w:hAnsi="Times LT Std" w:cs="Times LT Std"/>
          <w:color w:val="auto"/>
          <w:sz w:val="20"/>
          <w:szCs w:val="20"/>
        </w:rPr>
      </w:pPr>
      <w:r>
        <w:rPr>
          <w:rFonts w:ascii="Times LT Std" w:hAnsi="Times LT Std" w:cs="Times LT Std"/>
          <w:color w:val="auto"/>
          <w:sz w:val="20"/>
          <w:szCs w:val="20"/>
        </w:rPr>
        <w:t xml:space="preserve">Governance and leadership </w:t>
      </w:r>
    </w:p>
    <w:p w:rsidR="00A94FF4" w:rsidRDefault="00A94FF4" w:rsidP="00A94FF4">
      <w:pPr>
        <w:pStyle w:val="Default"/>
        <w:numPr>
          <w:ilvl w:val="0"/>
          <w:numId w:val="2"/>
        </w:numPr>
        <w:rPr>
          <w:rFonts w:ascii="Times LT Std" w:hAnsi="Times LT Std" w:cs="Times LT Std"/>
          <w:color w:val="auto"/>
          <w:sz w:val="20"/>
          <w:szCs w:val="20"/>
        </w:rPr>
      </w:pPr>
      <w:r>
        <w:rPr>
          <w:rFonts w:ascii="Times LT Std" w:hAnsi="Times LT Std" w:cs="Times LT Std"/>
          <w:color w:val="auto"/>
          <w:sz w:val="20"/>
          <w:szCs w:val="20"/>
        </w:rPr>
        <w:t xml:space="preserve">Trust and trustworthiness (Billet et al, 2007). </w:t>
      </w:r>
    </w:p>
    <w:p w:rsidR="00A94FF4" w:rsidRDefault="00A94FF4" w:rsidP="00A94FF4">
      <w:pPr>
        <w:pStyle w:val="Default"/>
        <w:numPr>
          <w:ilvl w:val="0"/>
          <w:numId w:val="2"/>
        </w:numPr>
        <w:rPr>
          <w:rFonts w:ascii="Times LT Std" w:hAnsi="Times LT Std" w:cs="Times LT Std"/>
          <w:color w:val="auto"/>
          <w:sz w:val="20"/>
          <w:szCs w:val="20"/>
        </w:rPr>
      </w:pPr>
    </w:p>
    <w:p w:rsidR="00A94FF4" w:rsidRDefault="00A94FF4" w:rsidP="00A94FF4">
      <w:pPr>
        <w:pStyle w:val="Pa2"/>
        <w:jc w:val="both"/>
        <w:rPr>
          <w:rFonts w:ascii="Times LT Std" w:hAnsi="Times LT Std" w:cs="Times LT Std"/>
          <w:sz w:val="20"/>
          <w:szCs w:val="20"/>
        </w:rPr>
      </w:pPr>
      <w:r>
        <w:rPr>
          <w:rFonts w:ascii="Times LT Std" w:hAnsi="Times LT Std" w:cs="Times LT Std"/>
          <w:sz w:val="20"/>
          <w:szCs w:val="20"/>
        </w:rPr>
        <w:t xml:space="preserve">When developing such partnerships, the vision or goals are often not transparent and may be difficult to articulate, particularly when partners may be experiencing different external pressures. This is why strong leadership and active building of trust are so important (Muir and Byrne, 2020). In the early days of a social partnership, trust may be fragile and based on legal structures; it takes time to develop the regular communication that leads to joint working, with all participants becoming committed to the shared goal. Participants may value the commitment they see from others, which can build trust. Leaders from across all levels—including students, teachers, partners and administrators—can facilitate successful social partnerships, leading to improvements in the quality of both the education and healthcare systems. </w:t>
      </w:r>
    </w:p>
    <w:p w:rsidR="00A94FF4" w:rsidRDefault="00A94FF4" w:rsidP="00A94FF4">
      <w:pPr>
        <w:pStyle w:val="Pa1"/>
        <w:spacing w:before="340"/>
        <w:rPr>
          <w:rFonts w:cs="HelveticaNeueLT Std"/>
          <w:sz w:val="28"/>
          <w:szCs w:val="28"/>
        </w:rPr>
      </w:pPr>
      <w:r>
        <w:rPr>
          <w:rFonts w:cs="HelveticaNeueLT Std"/>
          <w:b/>
          <w:bCs/>
          <w:sz w:val="28"/>
          <w:szCs w:val="28"/>
        </w:rPr>
        <w:t xml:space="preserve">Transformational leadership </w:t>
      </w:r>
    </w:p>
    <w:p w:rsidR="00A94FF4" w:rsidRDefault="00A94FF4" w:rsidP="00A94FF4">
      <w:pPr>
        <w:pStyle w:val="Pa0"/>
        <w:jc w:val="both"/>
        <w:rPr>
          <w:rFonts w:ascii="Times LT Std" w:hAnsi="Times LT Std" w:cs="Times LT Std"/>
          <w:sz w:val="20"/>
          <w:szCs w:val="20"/>
        </w:rPr>
      </w:pPr>
      <w:r>
        <w:rPr>
          <w:rFonts w:ascii="Times LT Std" w:hAnsi="Times LT Std" w:cs="Times LT Std"/>
          <w:sz w:val="20"/>
          <w:szCs w:val="20"/>
        </w:rPr>
        <w:t xml:space="preserve">Transformational education requires transformational leadership. Educational leaders have influence over all staff involved in workforce development, organisations and their outcomes. Educational leaders are often registered healthcare professionals; therefore, leadership practices may be framed within set values relating to behaviours and approaches that embrace student development, allowing them to become resilient, curious and compassionate professionals. Therefore, embedding transformational leadership requires development across every level of the educational institution. The author believes that leadership practice in university healthcare education settings needs to move from a traditional maintenance of status quo, to a more creative, flexible and innovative approach. This would allow educational leaders to engage in wider partnership working across health and social care organisations. </w:t>
      </w:r>
    </w:p>
    <w:p w:rsidR="00A94FF4" w:rsidRDefault="00A94FF4" w:rsidP="00A94FF4">
      <w:pPr>
        <w:pStyle w:val="Pa2"/>
        <w:jc w:val="both"/>
        <w:rPr>
          <w:rFonts w:ascii="Times LT Std" w:hAnsi="Times LT Std" w:cs="Times LT Std"/>
          <w:sz w:val="20"/>
          <w:szCs w:val="20"/>
        </w:rPr>
      </w:pPr>
    </w:p>
    <w:p w:rsidR="00A94FF4" w:rsidRDefault="00A94FF4" w:rsidP="00A94FF4">
      <w:pPr>
        <w:pStyle w:val="Pa2"/>
        <w:jc w:val="both"/>
        <w:rPr>
          <w:rFonts w:ascii="Times LT Std" w:hAnsi="Times LT Std" w:cs="Times LT Std"/>
          <w:sz w:val="20"/>
          <w:szCs w:val="20"/>
        </w:rPr>
      </w:pPr>
      <w:r>
        <w:rPr>
          <w:rFonts w:ascii="Times LT Std" w:hAnsi="Times LT Std" w:cs="Times LT Std"/>
          <w:sz w:val="20"/>
          <w:szCs w:val="20"/>
        </w:rPr>
        <w:t xml:space="preserve">Leaders need to have a wider vision of the integration of healthcare and education, and the impact on local social issues. Educational leaders are instrumental to enabling this collaborative process between their own organisation and local healthcare workforce planners. For the success of social partnerships, non-traditional leadership approaches require organisational recognition and resources to enable a co-created vision and collaborative workforce development. </w:t>
      </w:r>
    </w:p>
    <w:p w:rsidR="00A94FF4" w:rsidRDefault="00A94FF4" w:rsidP="00A94FF4">
      <w:pPr>
        <w:pStyle w:val="Pa1"/>
        <w:spacing w:before="340"/>
        <w:rPr>
          <w:rFonts w:cs="HelveticaNeueLT Std"/>
          <w:sz w:val="28"/>
          <w:szCs w:val="28"/>
        </w:rPr>
      </w:pPr>
      <w:r>
        <w:rPr>
          <w:rFonts w:cs="HelveticaNeueLT Std"/>
          <w:b/>
          <w:bCs/>
          <w:sz w:val="28"/>
          <w:szCs w:val="28"/>
        </w:rPr>
        <w:t xml:space="preserve">References </w:t>
      </w: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Aiken LH, Sloane L, Bruyneel K et al. Nurse staffing and education and hospital mortality in nine European countries: a</w:t>
      </w:r>
      <w:r>
        <w:rPr>
          <w:rFonts w:ascii="Times LT Std" w:hAnsi="Times LT Std" w:cs="Times LT Std"/>
          <w:sz w:val="17"/>
          <w:szCs w:val="17"/>
        </w:rPr>
        <w:t xml:space="preserve"> </w:t>
      </w:r>
      <w:r>
        <w:rPr>
          <w:rFonts w:ascii="Times LT Std" w:hAnsi="Times LT Std" w:cs="Times LT Std"/>
          <w:sz w:val="17"/>
          <w:szCs w:val="17"/>
        </w:rPr>
        <w:t xml:space="preserve">retrospective observational study. Lancet. 2014;383(9931):1824–1830. https:// doi.org/10.1016/S0140-6736(13)62631-8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 xml:space="preserve">Beech J, </w:t>
      </w:r>
      <w:proofErr w:type="spellStart"/>
      <w:r>
        <w:rPr>
          <w:rFonts w:ascii="Times LT Std" w:hAnsi="Times LT Std" w:cs="Times LT Std"/>
          <w:sz w:val="17"/>
          <w:szCs w:val="17"/>
        </w:rPr>
        <w:t>Bottery</w:t>
      </w:r>
      <w:proofErr w:type="spellEnd"/>
      <w:r>
        <w:rPr>
          <w:rFonts w:ascii="Times LT Std" w:hAnsi="Times LT Std" w:cs="Times LT Std"/>
          <w:sz w:val="17"/>
          <w:szCs w:val="17"/>
        </w:rPr>
        <w:t xml:space="preserve"> S, McKenna H et al. Closing the gap: key areas for action on the health and care workforce. 2019. https://www.kingsfund.org.uk/publications/closing-gap-health-care-workforce?utm_ source=</w:t>
      </w:r>
      <w:proofErr w:type="spellStart"/>
      <w:r>
        <w:rPr>
          <w:rFonts w:ascii="Times LT Std" w:hAnsi="Times LT Std" w:cs="Times LT Std"/>
          <w:sz w:val="17"/>
          <w:szCs w:val="17"/>
        </w:rPr>
        <w:t>twitter&amp;utm_medium</w:t>
      </w:r>
      <w:proofErr w:type="spellEnd"/>
      <w:r>
        <w:rPr>
          <w:rFonts w:ascii="Times LT Std" w:hAnsi="Times LT Std" w:cs="Times LT Std"/>
          <w:sz w:val="17"/>
          <w:szCs w:val="17"/>
        </w:rPr>
        <w:t>=</w:t>
      </w:r>
      <w:proofErr w:type="spellStart"/>
      <w:r>
        <w:rPr>
          <w:rFonts w:ascii="Times LT Std" w:hAnsi="Times LT Std" w:cs="Times LT Std"/>
          <w:sz w:val="17"/>
          <w:szCs w:val="17"/>
        </w:rPr>
        <w:t>social&amp;utm_term</w:t>
      </w:r>
      <w:proofErr w:type="spellEnd"/>
      <w:r>
        <w:rPr>
          <w:rFonts w:ascii="Times LT Std" w:hAnsi="Times LT Std" w:cs="Times LT Std"/>
          <w:sz w:val="17"/>
          <w:szCs w:val="17"/>
        </w:rPr>
        <w:t>=</w:t>
      </w:r>
      <w:proofErr w:type="spellStart"/>
      <w:r>
        <w:rPr>
          <w:rFonts w:ascii="Times LT Std" w:hAnsi="Times LT Std" w:cs="Times LT Std"/>
          <w:sz w:val="17"/>
          <w:szCs w:val="17"/>
        </w:rPr>
        <w:t>thekingsfund</w:t>
      </w:r>
      <w:proofErr w:type="spellEnd"/>
      <w:r>
        <w:rPr>
          <w:rFonts w:ascii="Times LT Std" w:hAnsi="Times LT Std" w:cs="Times LT Std"/>
          <w:sz w:val="17"/>
          <w:szCs w:val="17"/>
        </w:rPr>
        <w:t xml:space="preserve"> (accessed 26 June 2023)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 xml:space="preserve">Billet S, Ovens C, </w:t>
      </w:r>
      <w:proofErr w:type="spellStart"/>
      <w:r>
        <w:rPr>
          <w:rFonts w:ascii="Times LT Std" w:hAnsi="Times LT Std" w:cs="Times LT Std"/>
          <w:sz w:val="17"/>
          <w:szCs w:val="17"/>
        </w:rPr>
        <w:t>Clemans</w:t>
      </w:r>
      <w:proofErr w:type="spellEnd"/>
      <w:r>
        <w:rPr>
          <w:rFonts w:ascii="Times LT Std" w:hAnsi="Times LT Std" w:cs="Times LT Std"/>
          <w:sz w:val="17"/>
          <w:szCs w:val="17"/>
        </w:rPr>
        <w:t xml:space="preserve"> A et al. Collaborative working and contested practices: forming, developing and sustaining social partnerships in education. J </w:t>
      </w:r>
      <w:proofErr w:type="spellStart"/>
      <w:r>
        <w:rPr>
          <w:rFonts w:ascii="Times LT Std" w:hAnsi="Times LT Std" w:cs="Times LT Std"/>
          <w:sz w:val="17"/>
          <w:szCs w:val="17"/>
        </w:rPr>
        <w:t>Educ</w:t>
      </w:r>
      <w:proofErr w:type="spellEnd"/>
      <w:r>
        <w:rPr>
          <w:rFonts w:ascii="Times LT Std" w:hAnsi="Times LT Std" w:cs="Times LT Std"/>
          <w:sz w:val="17"/>
          <w:szCs w:val="17"/>
        </w:rPr>
        <w:t xml:space="preserve"> Policy. </w:t>
      </w:r>
      <w:proofErr w:type="gramStart"/>
      <w:r>
        <w:rPr>
          <w:rFonts w:ascii="Times LT Std" w:hAnsi="Times LT Std" w:cs="Times LT Std"/>
          <w:sz w:val="17"/>
          <w:szCs w:val="17"/>
        </w:rPr>
        <w:t>2007;22:637</w:t>
      </w:r>
      <w:proofErr w:type="gramEnd"/>
      <w:r>
        <w:rPr>
          <w:rFonts w:ascii="Times LT Std" w:hAnsi="Times LT Std" w:cs="Times LT Std"/>
          <w:sz w:val="17"/>
          <w:szCs w:val="17"/>
        </w:rPr>
        <w:t xml:space="preserve">–656. https://doi. org/10.1080/02680930701625288Devereux E. Record number of NHS nurses leaving the NHS in England. 2022. https://tinyurl. com/3aejp6y6 (accessed 20 June 2023)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proofErr w:type="spellStart"/>
      <w:r>
        <w:rPr>
          <w:rFonts w:ascii="Times LT Std" w:hAnsi="Times LT Std" w:cs="Times LT Std"/>
          <w:sz w:val="17"/>
          <w:szCs w:val="17"/>
        </w:rPr>
        <w:t>Fraher</w:t>
      </w:r>
      <w:proofErr w:type="spellEnd"/>
      <w:r>
        <w:rPr>
          <w:rFonts w:ascii="Times LT Std" w:hAnsi="Times LT Std" w:cs="Times LT Std"/>
          <w:sz w:val="17"/>
          <w:szCs w:val="17"/>
        </w:rPr>
        <w:t xml:space="preserve"> E, Brandt B. Toward a system where workforce planning and interprofessional practice and education are designed around patients and populations not professions. J </w:t>
      </w:r>
      <w:proofErr w:type="spellStart"/>
      <w:r>
        <w:rPr>
          <w:rFonts w:ascii="Times LT Std" w:hAnsi="Times LT Std" w:cs="Times LT Std"/>
          <w:sz w:val="17"/>
          <w:szCs w:val="17"/>
        </w:rPr>
        <w:t>Interprof</w:t>
      </w:r>
      <w:proofErr w:type="spellEnd"/>
      <w:r>
        <w:rPr>
          <w:rFonts w:ascii="Times LT Std" w:hAnsi="Times LT Std" w:cs="Times LT Std"/>
          <w:sz w:val="17"/>
          <w:szCs w:val="17"/>
        </w:rPr>
        <w:t xml:space="preserve"> Care. 2019;33(4):389–397. https://doi.org/10.1080/13561820.2018.1564252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Gorman D. Towards a sustainable and fit-for-purpose health workforce – lessons from New Zealand. Med J Aust. 2013;199(S5</w:t>
      </w:r>
      <w:proofErr w:type="gramStart"/>
      <w:r>
        <w:rPr>
          <w:rFonts w:ascii="Times LT Std" w:hAnsi="Times LT Std" w:cs="Times LT Std"/>
          <w:sz w:val="17"/>
          <w:szCs w:val="17"/>
        </w:rPr>
        <w:t>):S</w:t>
      </w:r>
      <w:proofErr w:type="gramEnd"/>
      <w:r>
        <w:rPr>
          <w:rFonts w:ascii="Times LT Std" w:hAnsi="Times LT Std" w:cs="Times LT Std"/>
          <w:sz w:val="17"/>
          <w:szCs w:val="17"/>
        </w:rPr>
        <w:t xml:space="preserve">32–36. https://doi.org/10.5694/mja11.11583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 xml:space="preserve">Muir N, Byrne J. Constructive and negative aspects of social capital in work-related learning networks. High </w:t>
      </w:r>
      <w:proofErr w:type="spellStart"/>
      <w:r>
        <w:rPr>
          <w:rFonts w:ascii="Times LT Std" w:hAnsi="Times LT Std" w:cs="Times LT Std"/>
          <w:sz w:val="17"/>
          <w:szCs w:val="17"/>
        </w:rPr>
        <w:t>Educ</w:t>
      </w:r>
      <w:proofErr w:type="spellEnd"/>
      <w:r>
        <w:rPr>
          <w:rFonts w:ascii="Times LT Std" w:hAnsi="Times LT Std" w:cs="Times LT Std"/>
          <w:sz w:val="17"/>
          <w:szCs w:val="17"/>
        </w:rPr>
        <w:t xml:space="preserve"> Ski Work-based Learn. 2020;10(2)420–433. https://doi.org/10.1108/ HESWBL-08-2019-0104 </w:t>
      </w:r>
    </w:p>
    <w:p w:rsidR="00A94FF4" w:rsidRDefault="00A94FF4" w:rsidP="00A94FF4">
      <w:pPr>
        <w:pStyle w:val="Pa9"/>
        <w:spacing w:after="40"/>
        <w:ind w:left="220" w:hanging="220"/>
        <w:rPr>
          <w:rFonts w:ascii="Times LT Std" w:hAnsi="Times LT Std" w:cs="Times LT Std"/>
          <w:sz w:val="17"/>
          <w:szCs w:val="17"/>
        </w:rPr>
      </w:pPr>
    </w:p>
    <w:p w:rsidR="00A94FF4" w:rsidRDefault="00A94FF4" w:rsidP="00A94FF4">
      <w:pPr>
        <w:pStyle w:val="Pa9"/>
        <w:spacing w:after="40"/>
        <w:ind w:left="220" w:hanging="220"/>
        <w:rPr>
          <w:rFonts w:ascii="Times LT Std" w:hAnsi="Times LT Std" w:cs="Times LT Std"/>
          <w:sz w:val="17"/>
          <w:szCs w:val="17"/>
        </w:rPr>
      </w:pPr>
      <w:r>
        <w:rPr>
          <w:rFonts w:ascii="Times LT Std" w:hAnsi="Times LT Std" w:cs="Times LT Std"/>
          <w:sz w:val="17"/>
          <w:szCs w:val="17"/>
        </w:rPr>
        <w:t xml:space="preserve">NHS. What are integrated care systems? 2023. https://www.england.nhs.uk/integratedcare/what-is-integrated-care/ (accessed 20 June 2023) </w:t>
      </w:r>
    </w:p>
    <w:p w:rsidR="00A94FF4" w:rsidRDefault="00A94FF4" w:rsidP="00A94FF4">
      <w:pPr>
        <w:rPr>
          <w:rFonts w:ascii="Times LT Std" w:hAnsi="Times LT Std" w:cs="Times LT Std"/>
          <w:sz w:val="17"/>
          <w:szCs w:val="17"/>
        </w:rPr>
      </w:pPr>
    </w:p>
    <w:p w:rsidR="004A6926" w:rsidRDefault="00A94FF4" w:rsidP="00A94FF4">
      <w:r>
        <w:rPr>
          <w:rFonts w:ascii="Times LT Std" w:hAnsi="Times LT Std" w:cs="Times LT Std"/>
          <w:sz w:val="17"/>
          <w:szCs w:val="17"/>
        </w:rPr>
        <w:t xml:space="preserve">NHS England. NHS long term workforce plan. 2023. https://www.england.nhs.uk/publication/nhs-long-term-workforce-plan/ </w:t>
      </w:r>
    </w:p>
    <w:sectPr w:rsidR="004A6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6D7"/>
    <w:multiLevelType w:val="hybridMultilevel"/>
    <w:tmpl w:val="42DEB5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37A004"/>
    <w:multiLevelType w:val="hybridMultilevel"/>
    <w:tmpl w:val="D0B206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F4"/>
    <w:rsid w:val="004A6926"/>
    <w:rsid w:val="00A9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289F"/>
  <w15:chartTrackingRefBased/>
  <w15:docId w15:val="{5E564FC0-6D65-42C2-BA07-A45C50E5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FF4"/>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A94FF4"/>
    <w:pPr>
      <w:spacing w:line="206" w:lineRule="atLeast"/>
    </w:pPr>
    <w:rPr>
      <w:rFonts w:cstheme="minorBidi"/>
      <w:color w:val="auto"/>
    </w:rPr>
  </w:style>
  <w:style w:type="paragraph" w:customStyle="1" w:styleId="Pa1">
    <w:name w:val="Pa1"/>
    <w:basedOn w:val="Default"/>
    <w:next w:val="Default"/>
    <w:uiPriority w:val="99"/>
    <w:rsid w:val="00A94FF4"/>
    <w:pPr>
      <w:spacing w:line="281" w:lineRule="atLeast"/>
    </w:pPr>
    <w:rPr>
      <w:rFonts w:cstheme="minorBidi"/>
      <w:color w:val="auto"/>
    </w:rPr>
  </w:style>
  <w:style w:type="paragraph" w:customStyle="1" w:styleId="Pa2">
    <w:name w:val="Pa2"/>
    <w:basedOn w:val="Default"/>
    <w:next w:val="Default"/>
    <w:uiPriority w:val="99"/>
    <w:rsid w:val="00A94FF4"/>
    <w:pPr>
      <w:spacing w:line="206" w:lineRule="atLeast"/>
    </w:pPr>
    <w:rPr>
      <w:rFonts w:cstheme="minorBidi"/>
      <w:color w:val="auto"/>
    </w:rPr>
  </w:style>
  <w:style w:type="paragraph" w:customStyle="1" w:styleId="Pa6">
    <w:name w:val="Pa6"/>
    <w:basedOn w:val="Default"/>
    <w:next w:val="Default"/>
    <w:uiPriority w:val="99"/>
    <w:rsid w:val="00A94FF4"/>
    <w:pPr>
      <w:spacing w:line="171" w:lineRule="atLeast"/>
    </w:pPr>
    <w:rPr>
      <w:rFonts w:cstheme="minorBidi"/>
      <w:color w:val="auto"/>
    </w:rPr>
  </w:style>
  <w:style w:type="paragraph" w:customStyle="1" w:styleId="Pa9">
    <w:name w:val="Pa9"/>
    <w:basedOn w:val="Default"/>
    <w:next w:val="Default"/>
    <w:uiPriority w:val="99"/>
    <w:rsid w:val="00A94FF4"/>
    <w:pPr>
      <w:spacing w:line="171" w:lineRule="atLeast"/>
    </w:pPr>
    <w:rPr>
      <w:rFonts w:cstheme="minorBidi"/>
      <w:color w:val="auto"/>
    </w:rPr>
  </w:style>
  <w:style w:type="character" w:styleId="Hyperlink">
    <w:name w:val="Hyperlink"/>
    <w:basedOn w:val="DefaultParagraphFont"/>
    <w:uiPriority w:val="99"/>
    <w:unhideWhenUsed/>
    <w:rsid w:val="00A94FF4"/>
    <w:rPr>
      <w:color w:val="0563C1" w:themeColor="hyperlink"/>
      <w:u w:val="single"/>
    </w:rPr>
  </w:style>
  <w:style w:type="character" w:styleId="UnresolvedMention">
    <w:name w:val="Unresolved Mention"/>
    <w:basedOn w:val="DefaultParagraphFont"/>
    <w:uiPriority w:val="99"/>
    <w:semiHidden/>
    <w:unhideWhenUsed/>
    <w:rsid w:val="00A9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1</cp:revision>
  <dcterms:created xsi:type="dcterms:W3CDTF">2023-11-21T10:31:00Z</dcterms:created>
  <dcterms:modified xsi:type="dcterms:W3CDTF">2023-11-21T10:38:00Z</dcterms:modified>
</cp:coreProperties>
</file>