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C9E6" w14:textId="447101D2" w:rsidR="0043193E" w:rsidRPr="00050C0A" w:rsidRDefault="0043193E" w:rsidP="00EC19BB">
      <w:pPr>
        <w:spacing w:line="276" w:lineRule="auto"/>
        <w:rPr>
          <w:rStyle w:val="LineNumber"/>
          <w:rFonts w:eastAsia="Times New Roman" w:cs="Times New Roman"/>
          <w:szCs w:val="24"/>
        </w:rPr>
      </w:pPr>
      <w:bookmarkStart w:id="0" w:name="_Toc13755073"/>
      <w:r w:rsidRPr="00050C0A">
        <w:rPr>
          <w:rFonts w:eastAsia="Times New Roman" w:cs="Times New Roman"/>
          <w:szCs w:val="24"/>
        </w:rPr>
        <w:t xml:space="preserve">Running Head: </w:t>
      </w:r>
      <w:r w:rsidR="0048294D" w:rsidRPr="00050C0A">
        <w:rPr>
          <w:rFonts w:eastAsia="Times New Roman" w:cs="Times New Roman"/>
          <w:szCs w:val="24"/>
        </w:rPr>
        <w:t xml:space="preserve">EXPERIENCES OF ENGLISH YOUTH FOOTBALL COACHES </w:t>
      </w:r>
    </w:p>
    <w:p w14:paraId="48E16F19" w14:textId="51C91C67" w:rsidR="00A3719B" w:rsidRPr="00050C0A" w:rsidRDefault="0048294D" w:rsidP="0048294D">
      <w:pPr>
        <w:spacing w:before="0" w:after="160"/>
        <w:jc w:val="center"/>
        <w:rPr>
          <w:rFonts w:eastAsia="Calibri" w:cs="Times New Roman"/>
          <w:szCs w:val="24"/>
        </w:rPr>
      </w:pPr>
      <w:r w:rsidRPr="00050C0A">
        <w:rPr>
          <w:rFonts w:eastAsia="Calibri" w:cs="Times New Roman"/>
          <w:szCs w:val="24"/>
        </w:rPr>
        <w:t xml:space="preserve">Exploring how the experiences of English youth football coaches have shaped their approach to player learning </w:t>
      </w:r>
    </w:p>
    <w:p w14:paraId="2B536AEB" w14:textId="77777777" w:rsidR="0048294D" w:rsidRPr="00050C0A" w:rsidRDefault="0048294D" w:rsidP="0048294D">
      <w:pPr>
        <w:spacing w:before="0" w:after="160"/>
        <w:jc w:val="center"/>
        <w:rPr>
          <w:rFonts w:eastAsia="Calibri" w:cs="Times New Roman"/>
          <w:szCs w:val="24"/>
        </w:rPr>
      </w:pPr>
    </w:p>
    <w:p w14:paraId="3A6C491C" w14:textId="6F05C214" w:rsidR="006110CD" w:rsidRPr="00050C0A" w:rsidRDefault="0048294D" w:rsidP="006110CD">
      <w:pPr>
        <w:pStyle w:val="NoSpacing"/>
        <w:spacing w:line="360" w:lineRule="auto"/>
        <w:jc w:val="center"/>
        <w:rPr>
          <w:vertAlign w:val="superscript"/>
        </w:rPr>
      </w:pPr>
      <w:r w:rsidRPr="00050C0A">
        <w:t xml:space="preserve">Sean </w:t>
      </w:r>
      <w:proofErr w:type="spellStart"/>
      <w:r w:rsidRPr="00050C0A">
        <w:t>Jewell</w:t>
      </w:r>
      <w:r w:rsidR="006110CD" w:rsidRPr="00050C0A">
        <w:rPr>
          <w:vertAlign w:val="superscript"/>
        </w:rPr>
        <w:t>a</w:t>
      </w:r>
      <w:proofErr w:type="spellEnd"/>
    </w:p>
    <w:p w14:paraId="3DA0CC67" w14:textId="77777777" w:rsidR="006110CD" w:rsidRPr="00050C0A" w:rsidRDefault="006110CD" w:rsidP="006110CD">
      <w:pPr>
        <w:pStyle w:val="NoSpacing"/>
        <w:spacing w:line="360" w:lineRule="auto"/>
        <w:jc w:val="center"/>
      </w:pPr>
    </w:p>
    <w:p w14:paraId="43629922" w14:textId="163E2CEA" w:rsidR="006110CD" w:rsidRPr="00050C0A" w:rsidRDefault="0048294D" w:rsidP="000109B3">
      <w:pPr>
        <w:pStyle w:val="NoSpacing"/>
        <w:spacing w:line="360" w:lineRule="auto"/>
        <w:jc w:val="center"/>
      </w:pPr>
      <w:r w:rsidRPr="00050C0A">
        <w:t>Colm</w:t>
      </w:r>
      <w:r w:rsidR="002D0554" w:rsidRPr="00050C0A">
        <w:t xml:space="preserve"> P.</w:t>
      </w:r>
      <w:r w:rsidRPr="00050C0A">
        <w:t xml:space="preserve"> </w:t>
      </w:r>
      <w:proofErr w:type="spellStart"/>
      <w:r w:rsidRPr="00050C0A">
        <w:t>Murphy</w:t>
      </w:r>
      <w:r w:rsidR="000109B3" w:rsidRPr="00050C0A">
        <w:rPr>
          <w:vertAlign w:val="superscript"/>
        </w:rPr>
        <w:t>a,</w:t>
      </w:r>
      <w:r w:rsidR="00A17A99" w:rsidRPr="00050C0A">
        <w:rPr>
          <w:vertAlign w:val="superscript"/>
        </w:rPr>
        <w:t>b</w:t>
      </w:r>
      <w:proofErr w:type="spellEnd"/>
    </w:p>
    <w:p w14:paraId="12382A06" w14:textId="77777777" w:rsidR="0048294D" w:rsidRPr="00050C0A" w:rsidRDefault="0048294D" w:rsidP="006110CD">
      <w:pPr>
        <w:pStyle w:val="NoSpacing"/>
        <w:spacing w:line="360" w:lineRule="auto"/>
        <w:jc w:val="center"/>
      </w:pPr>
    </w:p>
    <w:p w14:paraId="38999222" w14:textId="246D9A76" w:rsidR="006110CD" w:rsidRPr="00050C0A" w:rsidRDefault="0048294D" w:rsidP="006110CD">
      <w:pPr>
        <w:pStyle w:val="NoSpacing"/>
        <w:spacing w:line="360" w:lineRule="auto"/>
        <w:jc w:val="center"/>
        <w:rPr>
          <w:vertAlign w:val="superscript"/>
        </w:rPr>
      </w:pPr>
      <w:r w:rsidRPr="00050C0A">
        <w:t xml:space="preserve">Chris </w:t>
      </w:r>
      <w:proofErr w:type="spellStart"/>
      <w:r w:rsidRPr="00050C0A">
        <w:t>Pocock</w:t>
      </w:r>
      <w:r w:rsidR="00A17A99" w:rsidRPr="00050C0A">
        <w:rPr>
          <w:vertAlign w:val="superscript"/>
        </w:rPr>
        <w:t>c</w:t>
      </w:r>
      <w:proofErr w:type="spellEnd"/>
    </w:p>
    <w:p w14:paraId="50605C01" w14:textId="77777777" w:rsidR="0048294D" w:rsidRPr="00050C0A" w:rsidRDefault="0048294D" w:rsidP="0048294D">
      <w:pPr>
        <w:pStyle w:val="NoSpacing"/>
        <w:spacing w:line="360" w:lineRule="auto"/>
        <w:jc w:val="center"/>
      </w:pPr>
    </w:p>
    <w:p w14:paraId="6E45B299" w14:textId="77777777" w:rsidR="006110CD" w:rsidRPr="00050C0A" w:rsidRDefault="006110CD" w:rsidP="006110CD">
      <w:pPr>
        <w:pStyle w:val="NoSpacing"/>
        <w:spacing w:line="360" w:lineRule="auto"/>
        <w:jc w:val="center"/>
        <w:rPr>
          <w:vertAlign w:val="superscript"/>
          <w:lang w:val="en-US"/>
        </w:rPr>
      </w:pPr>
      <w:r w:rsidRPr="00050C0A">
        <w:rPr>
          <w:lang w:val="en-US"/>
        </w:rPr>
        <w:t>Jamie S. North</w:t>
      </w:r>
      <w:r w:rsidRPr="00050C0A">
        <w:rPr>
          <w:vertAlign w:val="superscript"/>
          <w:lang w:val="en-US"/>
        </w:rPr>
        <w:t>a</w:t>
      </w:r>
    </w:p>
    <w:p w14:paraId="21F37E14" w14:textId="4252CEC7" w:rsidR="006110CD" w:rsidRPr="00050C0A" w:rsidRDefault="006110CD" w:rsidP="006110CD">
      <w:pPr>
        <w:pStyle w:val="NoSpacing"/>
        <w:spacing w:line="360" w:lineRule="auto"/>
        <w:jc w:val="center"/>
        <w:rPr>
          <w:lang w:val="en-US"/>
        </w:rPr>
      </w:pPr>
    </w:p>
    <w:p w14:paraId="7DD38D38" w14:textId="77777777" w:rsidR="0048294D" w:rsidRPr="00050C0A" w:rsidRDefault="0048294D" w:rsidP="006110CD">
      <w:pPr>
        <w:pStyle w:val="NoSpacing"/>
        <w:spacing w:line="360" w:lineRule="auto"/>
        <w:jc w:val="center"/>
        <w:rPr>
          <w:lang w:val="en-US"/>
        </w:rPr>
      </w:pPr>
    </w:p>
    <w:p w14:paraId="57A79278" w14:textId="38E7642D" w:rsidR="006110CD" w:rsidRPr="00050C0A" w:rsidRDefault="006110CD" w:rsidP="006110CD">
      <w:pPr>
        <w:pStyle w:val="NoSpacing"/>
        <w:spacing w:line="276" w:lineRule="auto"/>
      </w:pPr>
      <w:proofErr w:type="spellStart"/>
      <w:r w:rsidRPr="00050C0A">
        <w:rPr>
          <w:vertAlign w:val="superscript"/>
        </w:rPr>
        <w:t>a</w:t>
      </w:r>
      <w:r w:rsidRPr="00050C0A">
        <w:t>Faculty</w:t>
      </w:r>
      <w:proofErr w:type="spellEnd"/>
      <w:r w:rsidRPr="00050C0A">
        <w:t xml:space="preserve"> of Sport, </w:t>
      </w:r>
      <w:r w:rsidR="00FF3BB0" w:rsidRPr="00050C0A">
        <w:t xml:space="preserve">Allied </w:t>
      </w:r>
      <w:r w:rsidRPr="00050C0A">
        <w:t>Health and</w:t>
      </w:r>
      <w:r w:rsidR="00FF3BB0" w:rsidRPr="00050C0A">
        <w:t xml:space="preserve"> Performance</w:t>
      </w:r>
      <w:r w:rsidRPr="00050C0A">
        <w:t xml:space="preserve"> Science, St Mary’s University, Twickenham, U.K.</w:t>
      </w:r>
    </w:p>
    <w:p w14:paraId="3EE36145" w14:textId="77FCB748" w:rsidR="0094557F" w:rsidRPr="00050C0A" w:rsidRDefault="0094557F" w:rsidP="006110CD">
      <w:pPr>
        <w:pStyle w:val="NoSpacing"/>
        <w:spacing w:line="276" w:lineRule="auto"/>
      </w:pPr>
    </w:p>
    <w:p w14:paraId="7C72A6F6" w14:textId="6583790F" w:rsidR="00A17A99" w:rsidRPr="00050C0A" w:rsidRDefault="00A17A99" w:rsidP="006110CD">
      <w:pPr>
        <w:pStyle w:val="NoSpacing"/>
        <w:spacing w:line="276" w:lineRule="auto"/>
      </w:pPr>
      <w:proofErr w:type="spellStart"/>
      <w:r w:rsidRPr="00050C0A">
        <w:rPr>
          <w:vertAlign w:val="superscript"/>
        </w:rPr>
        <w:t>b</w:t>
      </w:r>
      <w:r w:rsidRPr="00050C0A">
        <w:t>Cardiff</w:t>
      </w:r>
      <w:proofErr w:type="spellEnd"/>
      <w:r w:rsidRPr="00050C0A">
        <w:t xml:space="preserve"> School of Sport and Health Sciences, Cardiff Metropolitan University, Cardiff, U.K.</w:t>
      </w:r>
    </w:p>
    <w:p w14:paraId="7285B095" w14:textId="77777777" w:rsidR="00A17A99" w:rsidRPr="00050C0A" w:rsidRDefault="00A17A99" w:rsidP="006110CD">
      <w:pPr>
        <w:pStyle w:val="NoSpacing"/>
        <w:spacing w:line="276" w:lineRule="auto"/>
      </w:pPr>
    </w:p>
    <w:p w14:paraId="52AAE773" w14:textId="0E530270" w:rsidR="006110CD" w:rsidRPr="00050C0A" w:rsidRDefault="00A17A99" w:rsidP="006110CD">
      <w:pPr>
        <w:pStyle w:val="NoSpacing"/>
        <w:spacing w:line="276" w:lineRule="auto"/>
        <w:rPr>
          <w:rFonts w:eastAsia="SimSun"/>
          <w:iCs/>
          <w:lang w:val="en-US"/>
        </w:rPr>
      </w:pPr>
      <w:r w:rsidRPr="00050C0A">
        <w:rPr>
          <w:vertAlign w:val="superscript"/>
        </w:rPr>
        <w:t>c</w:t>
      </w:r>
      <w:r w:rsidR="0048294D" w:rsidRPr="00050C0A">
        <w:rPr>
          <w:rFonts w:eastAsia="SimSun"/>
          <w:iCs/>
          <w:lang w:val="en-US"/>
        </w:rPr>
        <w:t>Institute of Sport</w:t>
      </w:r>
      <w:r w:rsidR="006110CD" w:rsidRPr="00050C0A">
        <w:rPr>
          <w:rFonts w:eastAsia="SimSun"/>
          <w:iCs/>
          <w:lang w:val="en-US"/>
        </w:rPr>
        <w:t>,</w:t>
      </w:r>
      <w:r w:rsidR="0035734D" w:rsidRPr="00050C0A">
        <w:rPr>
          <w:rFonts w:eastAsia="SimSun"/>
          <w:iCs/>
          <w:lang w:val="en-US"/>
        </w:rPr>
        <w:t xml:space="preserve"> Nursing and Allied Health,</w:t>
      </w:r>
      <w:r w:rsidR="006110CD" w:rsidRPr="00050C0A">
        <w:rPr>
          <w:rFonts w:eastAsia="SimSun"/>
          <w:iCs/>
          <w:lang w:val="en-US"/>
        </w:rPr>
        <w:t xml:space="preserve"> </w:t>
      </w:r>
      <w:r w:rsidR="0048294D" w:rsidRPr="00050C0A">
        <w:rPr>
          <w:rFonts w:eastAsia="SimSun"/>
          <w:iCs/>
          <w:lang w:val="en-US"/>
        </w:rPr>
        <w:t>University of Chichester</w:t>
      </w:r>
      <w:r w:rsidR="006110CD" w:rsidRPr="00050C0A">
        <w:rPr>
          <w:rFonts w:eastAsia="SimSun"/>
          <w:iCs/>
          <w:lang w:val="en-US"/>
        </w:rPr>
        <w:t>, U.K.</w:t>
      </w:r>
    </w:p>
    <w:p w14:paraId="0F4E08D1" w14:textId="43750E5F" w:rsidR="003929F3" w:rsidRPr="00050C0A" w:rsidRDefault="003929F3" w:rsidP="006110CD">
      <w:pPr>
        <w:pStyle w:val="NoSpacing"/>
        <w:spacing w:line="276" w:lineRule="auto"/>
        <w:rPr>
          <w:rFonts w:eastAsia="SimSun"/>
          <w:iCs/>
          <w:lang w:val="en-US"/>
        </w:rPr>
      </w:pPr>
    </w:p>
    <w:p w14:paraId="7CB51A37" w14:textId="34D162EF" w:rsidR="003929F3" w:rsidRPr="00050C0A" w:rsidRDefault="005822C6" w:rsidP="005822C6">
      <w:pPr>
        <w:pStyle w:val="NoSpacing"/>
        <w:spacing w:line="276" w:lineRule="auto"/>
        <w:jc w:val="center"/>
        <w:rPr>
          <w:b/>
          <w:bCs/>
        </w:rPr>
      </w:pPr>
      <w:r w:rsidRPr="00050C0A">
        <w:rPr>
          <w:b/>
          <w:bCs/>
        </w:rPr>
        <w:t>Author Note</w:t>
      </w:r>
    </w:p>
    <w:p w14:paraId="5FCD45C9" w14:textId="60888666" w:rsidR="00F64908" w:rsidRPr="00050C0A" w:rsidRDefault="00F64908" w:rsidP="00F64908">
      <w:pPr>
        <w:pStyle w:val="NoSpacing"/>
        <w:spacing w:line="276" w:lineRule="auto"/>
        <w:rPr>
          <w:rFonts w:eastAsia="SimSun"/>
          <w:b/>
          <w:bCs/>
          <w:iCs/>
          <w:lang w:val="en-US"/>
        </w:rPr>
      </w:pPr>
      <w:r w:rsidRPr="00050C0A">
        <w:t>No sources of funding from any funding agency in the public, commercial, or not for profit sectors were used to assist in the preparation of this article. We have no known conflict of interests.</w:t>
      </w:r>
    </w:p>
    <w:p w14:paraId="017E092A" w14:textId="77777777" w:rsidR="006110CD" w:rsidRPr="00050C0A" w:rsidRDefault="006110CD" w:rsidP="006110CD">
      <w:pPr>
        <w:pStyle w:val="NoSpacing"/>
        <w:spacing w:line="276" w:lineRule="auto"/>
        <w:rPr>
          <w:rFonts w:eastAsia="SimSun"/>
          <w:iCs/>
          <w:lang w:val="en-US"/>
        </w:rPr>
      </w:pPr>
    </w:p>
    <w:p w14:paraId="5EA8697E" w14:textId="089731F0" w:rsidR="0094557F" w:rsidRPr="00050C0A" w:rsidRDefault="006110CD" w:rsidP="0094557F">
      <w:pPr>
        <w:pStyle w:val="NoSpacing"/>
        <w:spacing w:line="276" w:lineRule="auto"/>
      </w:pPr>
      <w:r w:rsidRPr="00050C0A">
        <w:t xml:space="preserve">Correspondence concerning this article should be addressed to Dr </w:t>
      </w:r>
      <w:r w:rsidR="0048294D" w:rsidRPr="00050C0A">
        <w:t>Jamie North</w:t>
      </w:r>
      <w:r w:rsidRPr="00050C0A">
        <w:t xml:space="preserve">, </w:t>
      </w:r>
      <w:r w:rsidR="0094557F" w:rsidRPr="00050C0A">
        <w:t xml:space="preserve">Faculty of Sport, </w:t>
      </w:r>
      <w:r w:rsidR="00FF3BB0" w:rsidRPr="00050C0A">
        <w:t xml:space="preserve">Allied </w:t>
      </w:r>
      <w:r w:rsidR="0094557F" w:rsidRPr="00050C0A">
        <w:t xml:space="preserve">Health and </w:t>
      </w:r>
      <w:r w:rsidR="00FF3BB0" w:rsidRPr="00050C0A">
        <w:t>Performance</w:t>
      </w:r>
      <w:r w:rsidR="0094557F" w:rsidRPr="00050C0A">
        <w:t xml:space="preserve"> Science, St Mary’s University, Twickenham, U.K.</w:t>
      </w:r>
    </w:p>
    <w:p w14:paraId="5B323053" w14:textId="5DA14721" w:rsidR="006110CD" w:rsidRPr="00050C0A" w:rsidRDefault="0094557F" w:rsidP="006110CD">
      <w:pPr>
        <w:pStyle w:val="NoSpacing"/>
        <w:spacing w:line="276" w:lineRule="auto"/>
        <w:rPr>
          <w:rFonts w:eastAsia="SimSun"/>
          <w:iCs/>
          <w:lang w:val="en-US"/>
        </w:rPr>
      </w:pPr>
      <w:r w:rsidRPr="00050C0A">
        <w:t>TW1 4SX</w:t>
      </w:r>
      <w:r w:rsidR="006110CD" w:rsidRPr="00050C0A">
        <w:t>. Tel:</w:t>
      </w:r>
      <w:r w:rsidRPr="00050C0A">
        <w:rPr>
          <w:rFonts w:ascii="Helvetica" w:hAnsi="Helvetica" w:cs="Helvetica"/>
          <w:sz w:val="20"/>
          <w:szCs w:val="20"/>
          <w:shd w:val="clear" w:color="auto" w:fill="FFFFFF"/>
        </w:rPr>
        <w:t xml:space="preserve"> </w:t>
      </w:r>
      <w:r w:rsidRPr="00050C0A">
        <w:t>020 8240 4</w:t>
      </w:r>
      <w:r w:rsidR="00FF3BB0" w:rsidRPr="00050C0A">
        <w:t>182</w:t>
      </w:r>
      <w:r w:rsidR="006110CD" w:rsidRPr="00050C0A">
        <w:t>; Email:</w:t>
      </w:r>
      <w:r w:rsidRPr="00050C0A">
        <w:t xml:space="preserve"> jamie.north@stmarys.ac.uk</w:t>
      </w:r>
    </w:p>
    <w:p w14:paraId="232ED924" w14:textId="0BE5D860" w:rsidR="0094557F" w:rsidRPr="00050C0A" w:rsidRDefault="0094557F" w:rsidP="00E05A61">
      <w:pPr>
        <w:rPr>
          <w:rFonts w:eastAsia="Times New Roman" w:cs="Times New Roman"/>
          <w:szCs w:val="24"/>
        </w:rPr>
      </w:pPr>
    </w:p>
    <w:p w14:paraId="0BAA93C0" w14:textId="484C1EC6" w:rsidR="007B50DC" w:rsidRPr="00050C0A" w:rsidRDefault="007B50DC" w:rsidP="002007F4">
      <w:pPr>
        <w:jc w:val="center"/>
        <w:rPr>
          <w:u w:val="single"/>
          <w:lang w:eastAsia="en-GB"/>
        </w:rPr>
      </w:pPr>
    </w:p>
    <w:p w14:paraId="2B455ECF" w14:textId="08CBF3DF" w:rsidR="0097700F" w:rsidRPr="00050C0A" w:rsidRDefault="0097700F" w:rsidP="002007F4">
      <w:pPr>
        <w:jc w:val="center"/>
        <w:rPr>
          <w:u w:val="single"/>
          <w:lang w:eastAsia="en-GB"/>
        </w:rPr>
      </w:pPr>
    </w:p>
    <w:p w14:paraId="1357784C" w14:textId="77777777" w:rsidR="0097700F" w:rsidRPr="00050C0A" w:rsidRDefault="0097700F" w:rsidP="002007F4">
      <w:pPr>
        <w:jc w:val="center"/>
        <w:rPr>
          <w:u w:val="single"/>
          <w:lang w:eastAsia="en-GB"/>
        </w:rPr>
      </w:pPr>
    </w:p>
    <w:p w14:paraId="51BF035E" w14:textId="77777777" w:rsidR="00B21936" w:rsidRPr="00050C0A" w:rsidRDefault="00B21936" w:rsidP="00F64908">
      <w:pPr>
        <w:rPr>
          <w:u w:val="single"/>
          <w:lang w:eastAsia="en-GB"/>
        </w:rPr>
      </w:pPr>
    </w:p>
    <w:p w14:paraId="3FC2796F" w14:textId="2764668D" w:rsidR="00AE105C" w:rsidRPr="00050C0A" w:rsidRDefault="00EC19BB" w:rsidP="002007F4">
      <w:pPr>
        <w:jc w:val="center"/>
        <w:rPr>
          <w:u w:val="single"/>
          <w:lang w:eastAsia="en-GB"/>
        </w:rPr>
      </w:pPr>
      <w:r w:rsidRPr="00050C0A">
        <w:rPr>
          <w:u w:val="single"/>
          <w:lang w:eastAsia="en-GB"/>
        </w:rPr>
        <w:lastRenderedPageBreak/>
        <w:t>Abstract</w:t>
      </w:r>
    </w:p>
    <w:p w14:paraId="34A7134E" w14:textId="6C7CEFFD" w:rsidR="0094557F" w:rsidRPr="00050C0A" w:rsidRDefault="0094557F" w:rsidP="0094557F">
      <w:pPr>
        <w:spacing w:before="0" w:after="160" w:line="480" w:lineRule="auto"/>
        <w:ind w:firstLine="454"/>
        <w:rPr>
          <w:rFonts w:eastAsia="Calibri" w:cs="Times New Roman"/>
          <w:szCs w:val="24"/>
        </w:rPr>
      </w:pPr>
      <w:r w:rsidRPr="00050C0A">
        <w:rPr>
          <w:rFonts w:eastAsia="Calibri" w:cs="Times New Roman"/>
          <w:szCs w:val="24"/>
        </w:rPr>
        <w:t>Recent</w:t>
      </w:r>
      <w:r w:rsidR="00905B58" w:rsidRPr="00050C0A">
        <w:rPr>
          <w:rFonts w:eastAsia="Calibri" w:cs="Times New Roman"/>
          <w:szCs w:val="24"/>
        </w:rPr>
        <w:t>ly</w:t>
      </w:r>
      <w:r w:rsidRPr="00050C0A">
        <w:rPr>
          <w:rFonts w:eastAsia="Calibri" w:cs="Times New Roman"/>
          <w:szCs w:val="24"/>
        </w:rPr>
        <w:t xml:space="preserve"> the Football Association (FA) </w:t>
      </w:r>
      <w:r w:rsidR="00C71FA0" w:rsidRPr="00050C0A">
        <w:rPr>
          <w:rFonts w:eastAsia="Calibri" w:cs="Times New Roman"/>
          <w:szCs w:val="24"/>
        </w:rPr>
        <w:t xml:space="preserve">has </w:t>
      </w:r>
      <w:r w:rsidRPr="00050C0A">
        <w:rPr>
          <w:rFonts w:eastAsia="Calibri" w:cs="Times New Roman"/>
          <w:szCs w:val="24"/>
        </w:rPr>
        <w:t>highlight</w:t>
      </w:r>
      <w:r w:rsidR="00C71FA0" w:rsidRPr="00050C0A">
        <w:rPr>
          <w:rFonts w:eastAsia="Calibri" w:cs="Times New Roman"/>
          <w:szCs w:val="24"/>
        </w:rPr>
        <w:t>ed</w:t>
      </w:r>
      <w:r w:rsidRPr="00050C0A">
        <w:rPr>
          <w:rFonts w:eastAsia="Calibri" w:cs="Times New Roman"/>
          <w:szCs w:val="24"/>
        </w:rPr>
        <w:t xml:space="preserve"> a need to move away from traditional approaches to player learning through the dissemination of contemporary pedagogical research.</w:t>
      </w:r>
      <w:r w:rsidR="0041742B" w:rsidRPr="00050C0A">
        <w:rPr>
          <w:rFonts w:eastAsia="Calibri" w:cs="Times New Roman"/>
          <w:szCs w:val="24"/>
          <w:vertAlign w:val="superscript"/>
        </w:rPr>
        <w:t>8</w:t>
      </w:r>
      <w:r w:rsidRPr="00050C0A">
        <w:rPr>
          <w:rFonts w:eastAsia="Calibri" w:cs="Times New Roman"/>
          <w:szCs w:val="24"/>
        </w:rPr>
        <w:t xml:space="preserve"> </w:t>
      </w:r>
      <w:r w:rsidR="00A81C65" w:rsidRPr="00050C0A">
        <w:rPr>
          <w:rFonts w:eastAsia="Calibri" w:cs="Times New Roman"/>
          <w:szCs w:val="24"/>
        </w:rPr>
        <w:t>Researchers</w:t>
      </w:r>
      <w:r w:rsidRPr="00050C0A">
        <w:rPr>
          <w:rFonts w:eastAsia="Calibri" w:cs="Times New Roman"/>
          <w:szCs w:val="24"/>
        </w:rPr>
        <w:t xml:space="preserve"> have attempted to evaluate this process by investigating the practice activities engaged in by youth football teams, </w:t>
      </w:r>
      <w:r w:rsidR="005625D7" w:rsidRPr="00050C0A">
        <w:rPr>
          <w:rFonts w:eastAsia="Calibri" w:cs="Times New Roman"/>
          <w:szCs w:val="24"/>
        </w:rPr>
        <w:t xml:space="preserve">however </w:t>
      </w:r>
      <w:r w:rsidRPr="00050C0A">
        <w:rPr>
          <w:rFonts w:eastAsia="Calibri" w:cs="Times New Roman"/>
          <w:szCs w:val="24"/>
        </w:rPr>
        <w:t xml:space="preserve">there remains limited understanding of </w:t>
      </w:r>
      <w:r w:rsidRPr="00050C0A">
        <w:rPr>
          <w:rFonts w:eastAsia="Calibri" w:cs="Times New Roman"/>
          <w:i/>
          <w:iCs/>
          <w:szCs w:val="24"/>
        </w:rPr>
        <w:t>why</w:t>
      </w:r>
      <w:r w:rsidRPr="00050C0A">
        <w:rPr>
          <w:rFonts w:eastAsia="Calibri" w:cs="Times New Roman"/>
          <w:szCs w:val="24"/>
        </w:rPr>
        <w:t xml:space="preserve"> coaches adopt certain approaches to player learning. By acquiring youth football coaches’ insights, this study address</w:t>
      </w:r>
      <w:r w:rsidR="004C33C5" w:rsidRPr="00050C0A">
        <w:rPr>
          <w:rFonts w:eastAsia="Calibri" w:cs="Times New Roman"/>
          <w:szCs w:val="24"/>
        </w:rPr>
        <w:t>ed</w:t>
      </w:r>
      <w:r w:rsidRPr="00050C0A">
        <w:rPr>
          <w:rFonts w:eastAsia="Calibri" w:cs="Times New Roman"/>
          <w:szCs w:val="24"/>
        </w:rPr>
        <w:t xml:space="preserve"> this gap by giving coaches a platform to share their approaches to player learning and the different experiences that have shaped it. Eight English youth football coaches </w:t>
      </w:r>
      <w:r w:rsidR="00706BE7" w:rsidRPr="00050C0A">
        <w:rPr>
          <w:rFonts w:eastAsia="Calibri" w:cs="Times New Roman"/>
          <w:szCs w:val="24"/>
        </w:rPr>
        <w:t>(</w:t>
      </w:r>
      <w:r w:rsidR="005F1791" w:rsidRPr="00050C0A">
        <w:rPr>
          <w:rFonts w:eastAsia="Calibri" w:cs="Times New Roman"/>
          <w:szCs w:val="24"/>
        </w:rPr>
        <w:t>minimum FA Level 2 coaching qualification)</w:t>
      </w:r>
      <w:r w:rsidRPr="00050C0A">
        <w:rPr>
          <w:rFonts w:eastAsia="Calibri" w:cs="Times New Roman"/>
          <w:szCs w:val="24"/>
        </w:rPr>
        <w:t xml:space="preserve"> were interviewed. Using inductive thematic analysis, eight higher order themes were identified and organised into three dimensions: (</w:t>
      </w:r>
      <w:proofErr w:type="spellStart"/>
      <w:r w:rsidRPr="00050C0A">
        <w:rPr>
          <w:rFonts w:eastAsia="Calibri" w:cs="Times New Roman"/>
          <w:szCs w:val="24"/>
        </w:rPr>
        <w:t>i</w:t>
      </w:r>
      <w:proofErr w:type="spellEnd"/>
      <w:r w:rsidRPr="00050C0A">
        <w:rPr>
          <w:rFonts w:eastAsia="Calibri" w:cs="Times New Roman"/>
          <w:szCs w:val="24"/>
        </w:rPr>
        <w:t xml:space="preserve">) approaches to player learning, (ii) the coaching environment, and (iii) opportunities for learning and development. Despite some contemporary </w:t>
      </w:r>
      <w:r w:rsidR="003C6A3D" w:rsidRPr="00050C0A">
        <w:rPr>
          <w:rFonts w:eastAsia="Calibri" w:cs="Times New Roman"/>
          <w:szCs w:val="24"/>
        </w:rPr>
        <w:t xml:space="preserve">skill acquisition </w:t>
      </w:r>
      <w:r w:rsidRPr="00050C0A">
        <w:rPr>
          <w:rFonts w:eastAsia="Calibri" w:cs="Times New Roman"/>
          <w:szCs w:val="24"/>
        </w:rPr>
        <w:t xml:space="preserve">principles being evident in player learning approaches, coaches’ understanding of how specific practice activities impact player learning outcomes was somewhat limited. Learning approaches themselves were not static, but dynamic and adaptable depending on social and contextual factors within the coaching environment. Similarly, these approaches were informed by a multitude of formal and informal learning opportunities, not solely formal coach education pathways. Together, the findings present a challenge for coach educators to account for the individual requirements of coaches and highlight the need to disseminate contemporary pedagogical principles in an easily digestible, transferable, and practical manner. </w:t>
      </w:r>
      <w:r w:rsidRPr="00050C0A">
        <w:rPr>
          <w:rFonts w:eastAsia="Calibri" w:cs="Times New Roman"/>
          <w:szCs w:val="24"/>
        </w:rPr>
        <w:tab/>
      </w:r>
    </w:p>
    <w:p w14:paraId="089C69B0" w14:textId="77777777" w:rsidR="0094557F" w:rsidRPr="00050C0A" w:rsidRDefault="0094557F" w:rsidP="0094557F">
      <w:pPr>
        <w:spacing w:before="0" w:after="160" w:line="480" w:lineRule="auto"/>
        <w:rPr>
          <w:rFonts w:eastAsia="Calibri" w:cs="Times New Roman"/>
          <w:szCs w:val="24"/>
        </w:rPr>
      </w:pPr>
      <w:r w:rsidRPr="00050C0A">
        <w:rPr>
          <w:rFonts w:eastAsia="Calibri" w:cs="Times New Roman"/>
          <w:b/>
          <w:bCs/>
          <w:szCs w:val="24"/>
        </w:rPr>
        <w:t xml:space="preserve">Key Words: </w:t>
      </w:r>
      <w:r w:rsidRPr="00050C0A">
        <w:rPr>
          <w:rFonts w:eastAsia="Calibri" w:cs="Times New Roman"/>
          <w:szCs w:val="24"/>
        </w:rPr>
        <w:t>Coach education, skill acquisition, ecological dynamics, representative learning design, experiential knowledge</w:t>
      </w:r>
    </w:p>
    <w:p w14:paraId="58CFD4B3" w14:textId="77777777" w:rsidR="00B21936" w:rsidRPr="00050C0A" w:rsidRDefault="00B21936" w:rsidP="0094557F">
      <w:pPr>
        <w:rPr>
          <w:rFonts w:cs="Times New Roman"/>
          <w:szCs w:val="24"/>
          <w:u w:val="single"/>
        </w:rPr>
      </w:pPr>
    </w:p>
    <w:p w14:paraId="5EE01274" w14:textId="4E27680F" w:rsidR="002007F4" w:rsidRPr="00050C0A" w:rsidRDefault="0094557F" w:rsidP="0094557F">
      <w:pPr>
        <w:rPr>
          <w:rFonts w:cs="Times New Roman"/>
          <w:szCs w:val="24"/>
          <w:u w:val="single"/>
        </w:rPr>
      </w:pPr>
      <w:r w:rsidRPr="00050C0A">
        <w:rPr>
          <w:rFonts w:cs="Times New Roman"/>
          <w:szCs w:val="24"/>
          <w:u w:val="single"/>
        </w:rPr>
        <w:lastRenderedPageBreak/>
        <w:t xml:space="preserve">Introduction </w:t>
      </w:r>
      <w:bookmarkStart w:id="1" w:name="_Hlk9597969"/>
      <w:bookmarkStart w:id="2" w:name="_Hlk520982828"/>
      <w:bookmarkEnd w:id="0"/>
    </w:p>
    <w:bookmarkEnd w:id="1"/>
    <w:bookmarkEnd w:id="2"/>
    <w:p w14:paraId="43E9A168" w14:textId="0BFFAC94" w:rsidR="00DF4BCB" w:rsidRPr="00050C0A" w:rsidRDefault="008262CD" w:rsidP="0094557F">
      <w:pPr>
        <w:spacing w:line="480" w:lineRule="auto"/>
        <w:ind w:firstLine="454"/>
        <w:rPr>
          <w:rFonts w:eastAsia="Calibri" w:cs="Times New Roman"/>
          <w:szCs w:val="24"/>
        </w:rPr>
      </w:pPr>
      <w:r w:rsidRPr="00050C0A">
        <w:tab/>
      </w:r>
      <w:r w:rsidR="0094557F" w:rsidRPr="00050C0A">
        <w:rPr>
          <w:rFonts w:eastAsia="Calibri" w:cs="Times New Roman"/>
          <w:szCs w:val="24"/>
        </w:rPr>
        <w:t>Youth coaches are integral to helping athletes acquire the necessary skills to perform successfully in competitive sports such as football.</w:t>
      </w:r>
      <w:r w:rsidR="008035AD" w:rsidRPr="00050C0A">
        <w:rPr>
          <w:rFonts w:eastAsia="Calibri" w:cs="Times New Roman"/>
          <w:szCs w:val="24"/>
          <w:vertAlign w:val="superscript"/>
        </w:rPr>
        <w:t>1</w:t>
      </w:r>
      <w:r w:rsidR="0094557F" w:rsidRPr="00050C0A">
        <w:rPr>
          <w:rFonts w:eastAsia="Calibri" w:cs="Times New Roman"/>
          <w:szCs w:val="24"/>
        </w:rPr>
        <w:t xml:space="preserve"> The approaches taken by youth coaches can shape learning environments, meaning they occupy a position of centrality and influence in the learning, growth, and achievement of aspiring young players</w:t>
      </w:r>
      <w:r w:rsidR="00E657F6" w:rsidRPr="00050C0A">
        <w:rPr>
          <w:rFonts w:eastAsia="Calibri" w:cs="Times New Roman"/>
          <w:szCs w:val="24"/>
        </w:rPr>
        <w:t>.</w:t>
      </w:r>
      <w:r w:rsidR="0070519E" w:rsidRPr="00050C0A">
        <w:rPr>
          <w:rFonts w:eastAsia="Calibri" w:cs="Times New Roman"/>
          <w:szCs w:val="24"/>
          <w:vertAlign w:val="superscript"/>
        </w:rPr>
        <w:t xml:space="preserve">1-3 </w:t>
      </w:r>
      <w:r w:rsidR="0094557F" w:rsidRPr="00050C0A">
        <w:rPr>
          <w:rFonts w:eastAsia="Calibri" w:cs="Times New Roman"/>
          <w:szCs w:val="24"/>
        </w:rPr>
        <w:t xml:space="preserve">Consequently, it is important to develop coaches with the expertise to create </w:t>
      </w:r>
      <w:r w:rsidR="006D26F3" w:rsidRPr="00050C0A">
        <w:rPr>
          <w:rFonts w:eastAsia="Calibri" w:cs="Times New Roman"/>
          <w:szCs w:val="24"/>
        </w:rPr>
        <w:t xml:space="preserve">learning environments that can best support effective skill </w:t>
      </w:r>
      <w:r w:rsidR="005D37C7" w:rsidRPr="00050C0A">
        <w:rPr>
          <w:rFonts w:eastAsia="Calibri" w:cs="Times New Roman"/>
          <w:szCs w:val="24"/>
        </w:rPr>
        <w:t>acquisition</w:t>
      </w:r>
      <w:r w:rsidR="006D26F3" w:rsidRPr="00050C0A">
        <w:rPr>
          <w:rFonts w:eastAsia="Calibri" w:cs="Times New Roman"/>
          <w:szCs w:val="24"/>
        </w:rPr>
        <w:t xml:space="preserve"> and </w:t>
      </w:r>
      <w:r w:rsidR="003C6A3D" w:rsidRPr="00050C0A">
        <w:rPr>
          <w:rFonts w:eastAsia="Calibri" w:cs="Times New Roman"/>
          <w:szCs w:val="24"/>
        </w:rPr>
        <w:t xml:space="preserve">skill </w:t>
      </w:r>
      <w:r w:rsidR="006D26F3" w:rsidRPr="00050C0A">
        <w:rPr>
          <w:rFonts w:eastAsia="Calibri" w:cs="Times New Roman"/>
          <w:szCs w:val="24"/>
        </w:rPr>
        <w:t>adaptation o</w:t>
      </w:r>
      <w:r w:rsidR="008407E9" w:rsidRPr="00050C0A">
        <w:rPr>
          <w:rFonts w:eastAsia="Calibri" w:cs="Times New Roman"/>
          <w:szCs w:val="24"/>
        </w:rPr>
        <w:t>f players under their tutelage</w:t>
      </w:r>
      <w:r w:rsidR="0094557F" w:rsidRPr="00050C0A">
        <w:rPr>
          <w:rFonts w:eastAsia="Calibri" w:cs="Times New Roman"/>
          <w:szCs w:val="24"/>
        </w:rPr>
        <w:t>.</w:t>
      </w:r>
      <w:r w:rsidR="0070519E" w:rsidRPr="00050C0A">
        <w:rPr>
          <w:rFonts w:eastAsia="Calibri" w:cs="Times New Roman"/>
          <w:szCs w:val="24"/>
          <w:vertAlign w:val="superscript"/>
        </w:rPr>
        <w:t xml:space="preserve">4 </w:t>
      </w:r>
      <w:r w:rsidR="0094557F" w:rsidRPr="00050C0A">
        <w:rPr>
          <w:rFonts w:eastAsia="Calibri" w:cs="Times New Roman"/>
          <w:szCs w:val="24"/>
        </w:rPr>
        <w:t xml:space="preserve"> </w:t>
      </w:r>
    </w:p>
    <w:p w14:paraId="038B86BC" w14:textId="38CE66B8" w:rsidR="00382AA2" w:rsidRPr="00050C0A" w:rsidRDefault="0094557F" w:rsidP="00382AA2">
      <w:pPr>
        <w:spacing w:line="480" w:lineRule="auto"/>
        <w:ind w:firstLine="454"/>
        <w:rPr>
          <w:rFonts w:eastAsia="Calibri" w:cs="Times New Roman"/>
          <w:szCs w:val="24"/>
        </w:rPr>
      </w:pPr>
      <w:r w:rsidRPr="00050C0A">
        <w:rPr>
          <w:rFonts w:eastAsia="Calibri" w:cs="Times New Roman"/>
          <w:szCs w:val="24"/>
        </w:rPr>
        <w:t xml:space="preserve">In the UK, coach development has been spearheaded by the UK Coaching Framework, which </w:t>
      </w:r>
      <w:r w:rsidR="009C7159" w:rsidRPr="00050C0A">
        <w:rPr>
          <w:rFonts w:eastAsia="Calibri" w:cs="Times New Roman"/>
          <w:szCs w:val="24"/>
        </w:rPr>
        <w:t>has encouraged the adoption of evidenced-based coaching practises</w:t>
      </w:r>
      <w:r w:rsidRPr="00050C0A">
        <w:rPr>
          <w:rFonts w:eastAsia="Calibri" w:cs="Times New Roman"/>
          <w:szCs w:val="24"/>
        </w:rPr>
        <w:t xml:space="preserve"> </w:t>
      </w:r>
      <w:r w:rsidR="009C7159" w:rsidRPr="00050C0A">
        <w:rPr>
          <w:rFonts w:eastAsia="Calibri" w:cs="Times New Roman"/>
          <w:szCs w:val="24"/>
        </w:rPr>
        <w:t xml:space="preserve">to help improve </w:t>
      </w:r>
      <w:r w:rsidRPr="00050C0A">
        <w:rPr>
          <w:rFonts w:eastAsia="Calibri" w:cs="Times New Roman"/>
          <w:szCs w:val="24"/>
        </w:rPr>
        <w:t>the quality of the sporting experience for youth athletes.</w:t>
      </w:r>
      <w:r w:rsidR="00965127" w:rsidRPr="00050C0A">
        <w:rPr>
          <w:rFonts w:eastAsia="Calibri" w:cs="Times New Roman"/>
          <w:szCs w:val="24"/>
          <w:vertAlign w:val="superscript"/>
        </w:rPr>
        <w:t xml:space="preserve">5-7 </w:t>
      </w:r>
      <w:r w:rsidRPr="00050C0A">
        <w:rPr>
          <w:rFonts w:eastAsia="Calibri" w:cs="Times New Roman"/>
          <w:szCs w:val="24"/>
        </w:rPr>
        <w:t xml:space="preserve"> The principles of the UK coaching framework </w:t>
      </w:r>
      <w:r w:rsidR="007A4083" w:rsidRPr="00050C0A">
        <w:rPr>
          <w:rFonts w:eastAsia="Calibri" w:cs="Times New Roman"/>
          <w:szCs w:val="24"/>
        </w:rPr>
        <w:t xml:space="preserve">have </w:t>
      </w:r>
      <w:r w:rsidRPr="00050C0A">
        <w:rPr>
          <w:rFonts w:eastAsia="Calibri" w:cs="Times New Roman"/>
          <w:szCs w:val="24"/>
        </w:rPr>
        <w:t xml:space="preserve">formed the foundation of the Football Association’s (FA) </w:t>
      </w:r>
      <w:r w:rsidR="007A4083" w:rsidRPr="00050C0A">
        <w:rPr>
          <w:rFonts w:eastAsia="Calibri" w:cs="Times New Roman"/>
          <w:szCs w:val="24"/>
        </w:rPr>
        <w:t xml:space="preserve">revised </w:t>
      </w:r>
      <w:r w:rsidRPr="00050C0A">
        <w:rPr>
          <w:rFonts w:eastAsia="Calibri" w:cs="Times New Roman"/>
          <w:szCs w:val="24"/>
        </w:rPr>
        <w:t>coaching strategy</w:t>
      </w:r>
      <w:r w:rsidR="007A4083" w:rsidRPr="00050C0A">
        <w:rPr>
          <w:rFonts w:eastAsia="Calibri" w:cs="Times New Roman"/>
          <w:szCs w:val="24"/>
        </w:rPr>
        <w:t>,</w:t>
      </w:r>
      <w:r w:rsidRPr="00050C0A">
        <w:rPr>
          <w:rFonts w:eastAsia="Calibri" w:cs="Times New Roman"/>
          <w:szCs w:val="24"/>
        </w:rPr>
        <w:t xml:space="preserve"> which</w:t>
      </w:r>
      <w:r w:rsidR="007A4083" w:rsidRPr="00050C0A">
        <w:rPr>
          <w:rFonts w:eastAsia="Calibri" w:cs="Times New Roman"/>
          <w:szCs w:val="24"/>
        </w:rPr>
        <w:t xml:space="preserve"> has </w:t>
      </w:r>
      <w:r w:rsidRPr="00050C0A">
        <w:rPr>
          <w:rFonts w:eastAsia="Calibri" w:cs="Times New Roman"/>
          <w:szCs w:val="24"/>
        </w:rPr>
        <w:t>aimed to develop existing coaching methods within English football by disseminating high-quality pedagogical research that can be practically applied across the whole game.</w:t>
      </w:r>
      <w:r w:rsidR="005B613D" w:rsidRPr="00050C0A">
        <w:rPr>
          <w:rFonts w:eastAsia="Calibri" w:cs="Times New Roman"/>
          <w:szCs w:val="24"/>
          <w:vertAlign w:val="superscript"/>
        </w:rPr>
        <w:t xml:space="preserve">8 </w:t>
      </w:r>
      <w:r w:rsidRPr="00050C0A">
        <w:rPr>
          <w:rFonts w:eastAsia="Calibri" w:cs="Times New Roman"/>
          <w:szCs w:val="24"/>
        </w:rPr>
        <w:t xml:space="preserve"> At the core of this, a dynamic and constantly evolving philosophy known as the ‘England DNA’ was introduced.</w:t>
      </w:r>
      <w:r w:rsidR="00063A52" w:rsidRPr="00050C0A">
        <w:rPr>
          <w:rFonts w:eastAsia="Calibri" w:cs="Times New Roman"/>
          <w:szCs w:val="24"/>
          <w:vertAlign w:val="superscript"/>
        </w:rPr>
        <w:t xml:space="preserve">9-10 </w:t>
      </w:r>
      <w:r w:rsidRPr="00050C0A">
        <w:rPr>
          <w:rFonts w:eastAsia="Calibri" w:cs="Times New Roman"/>
          <w:szCs w:val="24"/>
        </w:rPr>
        <w:t xml:space="preserve"> </w:t>
      </w:r>
      <w:r w:rsidR="0005532C" w:rsidRPr="00050C0A">
        <w:rPr>
          <w:rFonts w:eastAsia="Calibri" w:cs="Times New Roman"/>
          <w:szCs w:val="24"/>
        </w:rPr>
        <w:t xml:space="preserve">The England DNA </w:t>
      </w:r>
      <w:r w:rsidR="0005532C" w:rsidRPr="00050C0A">
        <w:rPr>
          <w:rFonts w:eastAsia="Calibri" w:cs="Times New Roman"/>
          <w:szCs w:val="24"/>
          <w:lang w:val="en-US"/>
        </w:rPr>
        <w:t>highlights the needs for the development of a coherent identity within English football, placing both how players play (i.e., technical and tactical skills), and how they are coached (i.e., coaching methodologies and the delivery of training), at the center of it (Ashworth, 2014). It is clear that from the top down, the need to provide access to high quality evidenced based coaching methods is fundamental to the FA’s vision for developing players and coaches alike, and ultimately moving away from traditional pedagogical techniques that have been said to characterize typical coaching practice (Alisson, 2016).</w:t>
      </w:r>
    </w:p>
    <w:p w14:paraId="7C0FE1C1" w14:textId="16E122A2" w:rsidR="00E36639" w:rsidRPr="00050C0A" w:rsidRDefault="0094557F" w:rsidP="00382AA2">
      <w:pPr>
        <w:spacing w:line="480" w:lineRule="auto"/>
        <w:ind w:firstLine="454"/>
        <w:rPr>
          <w:rFonts w:eastAsia="Calibri" w:cs="Times New Roman"/>
          <w:szCs w:val="24"/>
        </w:rPr>
      </w:pPr>
      <w:r w:rsidRPr="00050C0A">
        <w:rPr>
          <w:rFonts w:eastAsia="Calibri" w:cs="Times New Roman"/>
          <w:szCs w:val="24"/>
        </w:rPr>
        <w:t xml:space="preserve">Traditionally, player development has been considered a ‘coach-centred’ process, which has been suggested to have hindered the integration of innovative and progressive coaching </w:t>
      </w:r>
      <w:r w:rsidRPr="00050C0A">
        <w:rPr>
          <w:rFonts w:eastAsia="Calibri" w:cs="Times New Roman"/>
          <w:szCs w:val="24"/>
        </w:rPr>
        <w:lastRenderedPageBreak/>
        <w:t>methods within English football.</w:t>
      </w:r>
      <w:r w:rsidR="0050431C" w:rsidRPr="00050C0A">
        <w:rPr>
          <w:rFonts w:eastAsia="Calibri" w:cs="Times New Roman"/>
          <w:szCs w:val="24"/>
          <w:vertAlign w:val="superscript"/>
        </w:rPr>
        <w:t xml:space="preserve">11-12 </w:t>
      </w:r>
      <w:r w:rsidRPr="00050C0A">
        <w:rPr>
          <w:rFonts w:eastAsia="Calibri" w:cs="Times New Roman"/>
          <w:szCs w:val="24"/>
        </w:rPr>
        <w:t xml:space="preserve"> </w:t>
      </w:r>
      <w:r w:rsidR="00382AA2" w:rsidRPr="00050C0A">
        <w:rPr>
          <w:rFonts w:eastAsia="Calibri" w:cs="Times New Roman"/>
          <w:szCs w:val="24"/>
        </w:rPr>
        <w:t xml:space="preserve">As </w:t>
      </w:r>
      <w:r w:rsidR="003327EE" w:rsidRPr="00050C0A">
        <w:rPr>
          <w:rFonts w:eastAsia="Calibri" w:cs="Times New Roman"/>
          <w:szCs w:val="24"/>
        </w:rPr>
        <w:t>a</w:t>
      </w:r>
      <w:r w:rsidR="00382AA2" w:rsidRPr="00050C0A">
        <w:rPr>
          <w:rFonts w:eastAsia="Calibri" w:cs="Times New Roman"/>
          <w:szCs w:val="24"/>
        </w:rPr>
        <w:t xml:space="preserve"> </w:t>
      </w:r>
      <w:r w:rsidR="003327EE" w:rsidRPr="00050C0A">
        <w:rPr>
          <w:rFonts w:eastAsia="Calibri" w:cs="Times New Roman"/>
          <w:szCs w:val="24"/>
        </w:rPr>
        <w:t>r</w:t>
      </w:r>
      <w:r w:rsidR="00382AA2" w:rsidRPr="00050C0A">
        <w:rPr>
          <w:rFonts w:eastAsia="Calibri" w:cs="Times New Roman"/>
          <w:szCs w:val="24"/>
        </w:rPr>
        <w:t>esult</w:t>
      </w:r>
      <w:r w:rsidR="00DC5A3C" w:rsidRPr="00050C0A">
        <w:rPr>
          <w:rFonts w:eastAsia="Calibri" w:cs="Times New Roman"/>
          <w:szCs w:val="24"/>
        </w:rPr>
        <w:t>,</w:t>
      </w:r>
      <w:r w:rsidRPr="00050C0A">
        <w:rPr>
          <w:rFonts w:eastAsia="Calibri" w:cs="Times New Roman"/>
          <w:szCs w:val="24"/>
        </w:rPr>
        <w:t xml:space="preserve"> traditional pedagogies, characterised by high levels of instruction, corrective feedback, and repetitive attempts to reproduce coach prescribed skills, have become a common feature of coaching practice.</w:t>
      </w:r>
      <w:r w:rsidR="00843A8D" w:rsidRPr="00050C0A">
        <w:rPr>
          <w:rFonts w:eastAsia="Calibri" w:cs="Times New Roman"/>
          <w:szCs w:val="24"/>
          <w:vertAlign w:val="superscript"/>
        </w:rPr>
        <w:t xml:space="preserve">1-3, 13 </w:t>
      </w:r>
      <w:r w:rsidRPr="00050C0A">
        <w:rPr>
          <w:rFonts w:eastAsia="Calibri" w:cs="Times New Roman"/>
          <w:szCs w:val="24"/>
        </w:rPr>
        <w:t xml:space="preserve">However, </w:t>
      </w:r>
      <w:r w:rsidR="009436F4" w:rsidRPr="00050C0A">
        <w:rPr>
          <w:rFonts w:eastAsia="Calibri" w:cs="Times New Roman"/>
          <w:szCs w:val="24"/>
        </w:rPr>
        <w:t>such an</w:t>
      </w:r>
      <w:r w:rsidRPr="00050C0A">
        <w:rPr>
          <w:rFonts w:eastAsia="Calibri" w:cs="Times New Roman"/>
          <w:szCs w:val="24"/>
        </w:rPr>
        <w:t xml:space="preserve"> approach is thought to undermine the technical and tactical development of English players.</w:t>
      </w:r>
      <w:r w:rsidR="00843A8D" w:rsidRPr="00050C0A">
        <w:rPr>
          <w:rFonts w:eastAsia="Calibri" w:cs="Times New Roman"/>
          <w:szCs w:val="24"/>
          <w:vertAlign w:val="superscript"/>
        </w:rPr>
        <w:t>14</w:t>
      </w:r>
      <w:r w:rsidRPr="00050C0A">
        <w:rPr>
          <w:rFonts w:eastAsia="Calibri" w:cs="Times New Roman"/>
          <w:szCs w:val="24"/>
        </w:rPr>
        <w:t xml:space="preserve"> </w:t>
      </w:r>
    </w:p>
    <w:p w14:paraId="20B53B59" w14:textId="036FB707" w:rsidR="0094557F" w:rsidRPr="00050C0A" w:rsidRDefault="00E36639" w:rsidP="00496039">
      <w:pPr>
        <w:spacing w:before="0" w:after="160" w:line="480" w:lineRule="auto"/>
        <w:ind w:firstLine="454"/>
        <w:rPr>
          <w:rFonts w:eastAsia="Calibri" w:cs="Times New Roman"/>
          <w:szCs w:val="24"/>
        </w:rPr>
      </w:pPr>
      <w:r w:rsidRPr="00050C0A">
        <w:rPr>
          <w:rFonts w:eastAsia="Calibri" w:cs="Times New Roman"/>
          <w:szCs w:val="24"/>
        </w:rPr>
        <w:t>Typically, traditional coaching pedagogies take a ‘process-product’ approach to player learning, where</w:t>
      </w:r>
      <w:r w:rsidR="001D7D3F" w:rsidRPr="00050C0A">
        <w:rPr>
          <w:rFonts w:eastAsia="Calibri" w:cs="Times New Roman"/>
          <w:szCs w:val="24"/>
        </w:rPr>
        <w:t xml:space="preserve"> the</w:t>
      </w:r>
      <w:r w:rsidRPr="00050C0A">
        <w:rPr>
          <w:rFonts w:eastAsia="Calibri" w:cs="Times New Roman"/>
          <w:szCs w:val="24"/>
        </w:rPr>
        <w:t xml:space="preserve"> mastery of isolated coach-prescribed skills is emphasised</w:t>
      </w:r>
      <w:r w:rsidR="005565A1" w:rsidRPr="00050C0A">
        <w:rPr>
          <w:rFonts w:eastAsia="Calibri" w:cs="Times New Roman"/>
          <w:szCs w:val="24"/>
        </w:rPr>
        <w:t>.</w:t>
      </w:r>
      <w:r w:rsidR="005565A1" w:rsidRPr="00050C0A">
        <w:rPr>
          <w:rFonts w:eastAsia="Calibri" w:cs="Times New Roman"/>
          <w:szCs w:val="24"/>
          <w:vertAlign w:val="superscript"/>
        </w:rPr>
        <w:t xml:space="preserve">3, 15-16 </w:t>
      </w:r>
      <w:r w:rsidR="002A01BA" w:rsidRPr="00050C0A">
        <w:rPr>
          <w:rFonts w:eastAsia="Calibri" w:cs="Times New Roman"/>
          <w:szCs w:val="24"/>
        </w:rPr>
        <w:t xml:space="preserve">Yet </w:t>
      </w:r>
      <w:r w:rsidR="00496039" w:rsidRPr="00050C0A">
        <w:rPr>
          <w:rFonts w:eastAsia="Calibri" w:cs="Times New Roman"/>
          <w:szCs w:val="24"/>
        </w:rPr>
        <w:t>p</w:t>
      </w:r>
      <w:r w:rsidRPr="00050C0A">
        <w:rPr>
          <w:rFonts w:eastAsia="Calibri" w:cs="Times New Roman"/>
          <w:szCs w:val="24"/>
        </w:rPr>
        <w:t>erforming successfully in sports such as football presents the learner with considerably more challenge than repeating simple putative actions</w:t>
      </w:r>
      <w:r w:rsidR="003B4385" w:rsidRPr="00050C0A">
        <w:rPr>
          <w:rFonts w:eastAsia="Calibri" w:cs="Times New Roman"/>
          <w:szCs w:val="24"/>
        </w:rPr>
        <w:t xml:space="preserve"> </w:t>
      </w:r>
      <w:r w:rsidR="00157B3A" w:rsidRPr="00050C0A">
        <w:rPr>
          <w:rFonts w:eastAsia="Calibri" w:cs="Times New Roman"/>
          <w:szCs w:val="24"/>
          <w:vertAlign w:val="superscript"/>
        </w:rPr>
        <w:t>17-18</w:t>
      </w:r>
      <w:r w:rsidRPr="00050C0A">
        <w:rPr>
          <w:rFonts w:eastAsia="Calibri" w:cs="Times New Roman"/>
          <w:szCs w:val="24"/>
        </w:rPr>
        <w:t xml:space="preserve"> </w:t>
      </w:r>
      <w:r w:rsidR="003B4385" w:rsidRPr="00050C0A">
        <w:rPr>
          <w:rFonts w:eastAsia="Calibri" w:cs="Times New Roman"/>
          <w:szCs w:val="24"/>
        </w:rPr>
        <w:t xml:space="preserve">. </w:t>
      </w:r>
      <w:r w:rsidRPr="00050C0A">
        <w:rPr>
          <w:rFonts w:eastAsia="Calibri" w:cs="Times New Roman"/>
          <w:szCs w:val="24"/>
        </w:rPr>
        <w:t>For example,</w:t>
      </w:r>
      <w:r w:rsidR="00272683" w:rsidRPr="00050C0A">
        <w:rPr>
          <w:rFonts w:eastAsia="Calibri" w:cs="Times New Roman"/>
          <w:szCs w:val="24"/>
        </w:rPr>
        <w:t xml:space="preserve"> </w:t>
      </w:r>
      <w:r w:rsidRPr="00050C0A">
        <w:rPr>
          <w:rFonts w:eastAsia="Calibri" w:cs="Times New Roman"/>
          <w:szCs w:val="24"/>
        </w:rPr>
        <w:t>the execution of a 20-yard pass requires interpretation of dynamic patterns of play, awareness of positional features on the pitch, quick and appropriate decision making, and skill execution with effective technique.</w:t>
      </w:r>
      <w:r w:rsidR="00272683" w:rsidRPr="00050C0A">
        <w:rPr>
          <w:rFonts w:eastAsia="Calibri" w:cs="Times New Roman"/>
          <w:szCs w:val="24"/>
        </w:rPr>
        <w:t xml:space="preserve"> As </w:t>
      </w:r>
      <w:r w:rsidR="001D7D3F" w:rsidRPr="00050C0A">
        <w:rPr>
          <w:rFonts w:eastAsia="Calibri" w:cs="Times New Roman"/>
          <w:szCs w:val="24"/>
        </w:rPr>
        <w:t>traditional pedagogical methods look to teach skills through practises void of these representative demands, they</w:t>
      </w:r>
      <w:r w:rsidR="0094557F" w:rsidRPr="00050C0A">
        <w:rPr>
          <w:rFonts w:eastAsia="Calibri" w:cs="Times New Roman"/>
          <w:szCs w:val="24"/>
        </w:rPr>
        <w:t xml:space="preserve"> are often observed to be associate</w:t>
      </w:r>
      <w:r w:rsidR="001D7D3F" w:rsidRPr="00050C0A">
        <w:rPr>
          <w:rFonts w:eastAsia="Calibri" w:cs="Times New Roman"/>
          <w:szCs w:val="24"/>
        </w:rPr>
        <w:t>d with</w:t>
      </w:r>
      <w:r w:rsidR="0094557F" w:rsidRPr="00050C0A">
        <w:rPr>
          <w:rFonts w:eastAsia="Calibri" w:cs="Times New Roman"/>
          <w:szCs w:val="24"/>
        </w:rPr>
        <w:t xml:space="preserve"> limited ability to problem solve independently, low levels of transfer to competitive environments</w:t>
      </w:r>
      <w:r w:rsidR="001D7D3F" w:rsidRPr="00050C0A">
        <w:rPr>
          <w:rFonts w:eastAsia="Calibri" w:cs="Times New Roman"/>
          <w:szCs w:val="24"/>
        </w:rPr>
        <w:t>, and poor performance in pressurised situations</w:t>
      </w:r>
      <w:r w:rsidR="005B5602" w:rsidRPr="00050C0A">
        <w:rPr>
          <w:rFonts w:eastAsia="Calibri" w:cs="Times New Roman"/>
          <w:szCs w:val="24"/>
        </w:rPr>
        <w:t>.</w:t>
      </w:r>
      <w:r w:rsidR="00157B3A" w:rsidRPr="00050C0A">
        <w:rPr>
          <w:rFonts w:eastAsia="Calibri" w:cs="Times New Roman"/>
          <w:szCs w:val="24"/>
          <w:vertAlign w:val="superscript"/>
        </w:rPr>
        <w:t>17</w:t>
      </w:r>
      <w:r w:rsidR="005B5602" w:rsidRPr="00050C0A">
        <w:rPr>
          <w:rFonts w:eastAsia="Calibri" w:cs="Times New Roman"/>
          <w:szCs w:val="24"/>
          <w:vertAlign w:val="superscript"/>
        </w:rPr>
        <w:t xml:space="preserve">, 19-21 </w:t>
      </w:r>
      <w:r w:rsidR="0094557F" w:rsidRPr="00050C0A">
        <w:rPr>
          <w:rFonts w:eastAsia="Calibri" w:cs="Times New Roman"/>
          <w:szCs w:val="24"/>
        </w:rPr>
        <w:t xml:space="preserve">Therefore, it has been argued that practice should encourage the learner to explore and develop functional movement strategies </w:t>
      </w:r>
      <w:r w:rsidR="001D7D3F" w:rsidRPr="00050C0A">
        <w:rPr>
          <w:rFonts w:eastAsia="Calibri" w:cs="Times New Roman"/>
          <w:szCs w:val="24"/>
        </w:rPr>
        <w:t>in response to the demands of gameplay</w:t>
      </w:r>
      <w:r w:rsidR="00C2267E" w:rsidRPr="00050C0A">
        <w:rPr>
          <w:rFonts w:eastAsia="Calibri" w:cs="Times New Roman"/>
          <w:szCs w:val="24"/>
        </w:rPr>
        <w:t>.</w:t>
      </w:r>
      <w:r w:rsidR="00C2267E" w:rsidRPr="00050C0A">
        <w:rPr>
          <w:rFonts w:eastAsia="Calibri" w:cs="Times New Roman"/>
          <w:szCs w:val="24"/>
          <w:vertAlign w:val="superscript"/>
        </w:rPr>
        <w:t>22-24</w:t>
      </w:r>
      <w:r w:rsidR="0094557F" w:rsidRPr="00050C0A">
        <w:rPr>
          <w:rFonts w:eastAsia="Calibri" w:cs="Times New Roman"/>
          <w:szCs w:val="24"/>
        </w:rPr>
        <w:t xml:space="preserve"> </w:t>
      </w:r>
    </w:p>
    <w:p w14:paraId="63B2962E" w14:textId="000629DF" w:rsidR="0094557F" w:rsidRPr="00050C0A" w:rsidRDefault="002A01BA" w:rsidP="0094557F">
      <w:pPr>
        <w:spacing w:before="0" w:after="160" w:line="480" w:lineRule="auto"/>
        <w:ind w:firstLine="454"/>
        <w:rPr>
          <w:rFonts w:eastAsia="Calibri" w:cs="Times New Roman"/>
          <w:szCs w:val="24"/>
          <w:vertAlign w:val="superscript"/>
        </w:rPr>
      </w:pPr>
      <w:r w:rsidRPr="00050C0A">
        <w:rPr>
          <w:rFonts w:eastAsia="Calibri" w:cs="Times New Roman"/>
          <w:szCs w:val="24"/>
        </w:rPr>
        <w:t>A</w:t>
      </w:r>
      <w:r w:rsidR="0094557F" w:rsidRPr="00050C0A">
        <w:rPr>
          <w:rFonts w:eastAsia="Calibri" w:cs="Times New Roman"/>
          <w:szCs w:val="24"/>
        </w:rPr>
        <w:t>lternative pedagogical approaches to skill acquisition (e.g., the Constraints-</w:t>
      </w:r>
      <w:r w:rsidR="001B28A2" w:rsidRPr="00050C0A">
        <w:rPr>
          <w:rFonts w:eastAsia="Calibri" w:cs="Times New Roman"/>
          <w:szCs w:val="24"/>
        </w:rPr>
        <w:t>L</w:t>
      </w:r>
      <w:r w:rsidR="0094557F" w:rsidRPr="00050C0A">
        <w:rPr>
          <w:rFonts w:eastAsia="Calibri" w:cs="Times New Roman"/>
          <w:szCs w:val="24"/>
        </w:rPr>
        <w:t xml:space="preserve">ed </w:t>
      </w:r>
      <w:r w:rsidR="001B28A2" w:rsidRPr="00050C0A">
        <w:rPr>
          <w:rFonts w:eastAsia="Calibri" w:cs="Times New Roman"/>
          <w:szCs w:val="24"/>
        </w:rPr>
        <w:t>A</w:t>
      </w:r>
      <w:r w:rsidR="0094557F" w:rsidRPr="00050C0A">
        <w:rPr>
          <w:rFonts w:eastAsia="Calibri" w:cs="Times New Roman"/>
          <w:szCs w:val="24"/>
        </w:rPr>
        <w:t>pproach</w:t>
      </w:r>
      <w:r w:rsidR="008029D1" w:rsidRPr="00050C0A">
        <w:rPr>
          <w:rFonts w:eastAsia="Calibri" w:cs="Times New Roman"/>
          <w:szCs w:val="24"/>
          <w:vertAlign w:val="superscript"/>
        </w:rPr>
        <w:t>25</w:t>
      </w:r>
      <w:r w:rsidR="0094557F" w:rsidRPr="00050C0A">
        <w:rPr>
          <w:rFonts w:eastAsia="Calibri" w:cs="Times New Roman"/>
          <w:szCs w:val="24"/>
        </w:rPr>
        <w:t>; Non-Linear Pedagogy</w:t>
      </w:r>
      <w:r w:rsidR="008029D1" w:rsidRPr="00050C0A">
        <w:rPr>
          <w:rFonts w:eastAsia="Calibri" w:cs="Times New Roman"/>
          <w:szCs w:val="24"/>
          <w:vertAlign w:val="superscript"/>
        </w:rPr>
        <w:t>26</w:t>
      </w:r>
      <w:r w:rsidR="0094557F" w:rsidRPr="00050C0A">
        <w:rPr>
          <w:rFonts w:eastAsia="Calibri" w:cs="Times New Roman"/>
          <w:szCs w:val="24"/>
        </w:rPr>
        <w:t>) conceptualise performers as complex adaptive systems.</w:t>
      </w:r>
      <w:r w:rsidR="008029D1" w:rsidRPr="00050C0A">
        <w:rPr>
          <w:rFonts w:eastAsia="Calibri" w:cs="Times New Roman"/>
          <w:szCs w:val="24"/>
          <w:vertAlign w:val="superscript"/>
        </w:rPr>
        <w:t xml:space="preserve">22 </w:t>
      </w:r>
      <w:r w:rsidR="0094557F" w:rsidRPr="00050C0A">
        <w:rPr>
          <w:rFonts w:eastAsia="Calibri" w:cs="Times New Roman"/>
          <w:szCs w:val="24"/>
        </w:rPr>
        <w:t xml:space="preserve">Guided by the framework of ecological dynamics, these approaches propose that the learner’s capacity to adapt to the </w:t>
      </w:r>
      <w:r w:rsidR="009436F4" w:rsidRPr="00050C0A">
        <w:rPr>
          <w:rFonts w:eastAsia="Calibri" w:cs="Times New Roman"/>
          <w:szCs w:val="24"/>
        </w:rPr>
        <w:t>inter</w:t>
      </w:r>
      <w:r w:rsidR="0094557F" w:rsidRPr="00050C0A">
        <w:rPr>
          <w:rFonts w:eastAsia="Calibri" w:cs="Times New Roman"/>
          <w:szCs w:val="24"/>
        </w:rPr>
        <w:t>acting individual, task, and environmental constraints on performance will determine the behaviours that emerge</w:t>
      </w:r>
      <w:r w:rsidR="008C347C" w:rsidRPr="00050C0A">
        <w:rPr>
          <w:rFonts w:eastAsia="Calibri" w:cs="Times New Roman"/>
          <w:szCs w:val="24"/>
        </w:rPr>
        <w:t>.</w:t>
      </w:r>
      <w:r w:rsidR="008C347C" w:rsidRPr="00050C0A">
        <w:rPr>
          <w:rFonts w:eastAsia="Calibri" w:cs="Times New Roman"/>
          <w:szCs w:val="24"/>
          <w:vertAlign w:val="superscript"/>
        </w:rPr>
        <w:t xml:space="preserve">27-29 </w:t>
      </w:r>
      <w:r w:rsidR="0094557F" w:rsidRPr="00050C0A">
        <w:rPr>
          <w:rFonts w:eastAsia="Calibri" w:cs="Times New Roman"/>
          <w:szCs w:val="24"/>
        </w:rPr>
        <w:t>Accordingly, the successful acquisition of skills involves the development of a functional performer-environment relationship, whereby the learner can develop functional movement strategies in response to the acting constraints on performance</w:t>
      </w:r>
      <w:r w:rsidR="00C31043" w:rsidRPr="00050C0A">
        <w:rPr>
          <w:rFonts w:eastAsia="Calibri" w:cs="Times New Roman"/>
          <w:szCs w:val="24"/>
        </w:rPr>
        <w:t>.</w:t>
      </w:r>
      <w:r w:rsidR="00C31043" w:rsidRPr="00050C0A">
        <w:rPr>
          <w:rFonts w:eastAsia="Calibri" w:cs="Times New Roman"/>
          <w:szCs w:val="24"/>
          <w:vertAlign w:val="superscript"/>
        </w:rPr>
        <w:t>30-31</w:t>
      </w:r>
    </w:p>
    <w:p w14:paraId="55383C2D" w14:textId="1D2F3037" w:rsidR="0094557F" w:rsidRPr="00050C0A" w:rsidRDefault="0094557F" w:rsidP="0094557F">
      <w:pPr>
        <w:spacing w:before="0" w:after="160" w:line="480" w:lineRule="auto"/>
        <w:ind w:firstLine="454"/>
        <w:rPr>
          <w:rFonts w:eastAsia="Calibri" w:cs="Times New Roman"/>
          <w:szCs w:val="24"/>
          <w:vertAlign w:val="superscript"/>
        </w:rPr>
      </w:pPr>
      <w:r w:rsidRPr="00050C0A">
        <w:rPr>
          <w:rFonts w:eastAsia="Calibri" w:cs="Times New Roman"/>
          <w:szCs w:val="24"/>
        </w:rPr>
        <w:lastRenderedPageBreak/>
        <w:t>From an ecological dynamics perspective, there are several important principles that serve to enhance the acquisition of skills. Fundamentally, information that is accessible when learning a skill should be relevant to what is available in the performance environment.</w:t>
      </w:r>
      <w:r w:rsidR="00C31043" w:rsidRPr="00050C0A">
        <w:rPr>
          <w:rFonts w:eastAsia="Calibri" w:cs="Times New Roman"/>
          <w:szCs w:val="24"/>
          <w:vertAlign w:val="superscript"/>
        </w:rPr>
        <w:t>22</w:t>
      </w:r>
      <w:r w:rsidRPr="00050C0A">
        <w:rPr>
          <w:rFonts w:eastAsia="Calibri" w:cs="Times New Roman"/>
          <w:szCs w:val="24"/>
        </w:rPr>
        <w:t xml:space="preserve"> As information informs action in a dynamic, cyclical manner, the accessibility of ‘specifying’ or high-quality information when learning a skill is considered essential to the development of facilitative information-movement couplings, which players can use to achieve performance goals.</w:t>
      </w:r>
      <w:r w:rsidR="00C31043" w:rsidRPr="00050C0A">
        <w:rPr>
          <w:rFonts w:eastAsia="Calibri" w:cs="Times New Roman"/>
          <w:szCs w:val="24"/>
          <w:vertAlign w:val="superscript"/>
        </w:rPr>
        <w:t>17</w:t>
      </w:r>
      <w:r w:rsidRPr="00050C0A">
        <w:rPr>
          <w:rFonts w:ascii="Calibri" w:eastAsia="Calibri" w:hAnsi="Calibri" w:cs="Times New Roman"/>
          <w:sz w:val="22"/>
        </w:rPr>
        <w:t xml:space="preserve"> </w:t>
      </w:r>
      <w:r w:rsidRPr="00050C0A">
        <w:rPr>
          <w:rFonts w:eastAsia="Calibri" w:cs="Times New Roman"/>
          <w:szCs w:val="24"/>
        </w:rPr>
        <w:t>In football, small-sided and conditioned games (SSGs) can encourage learners to execute skills in the presence of specifying information (e.g., the movement of teammates or presence of defenders), presenting the learner with a multitude of affordances (opportunities for action) that are representative of those in the performance environment</w:t>
      </w:r>
      <w:r w:rsidR="005A3E1B" w:rsidRPr="00050C0A">
        <w:rPr>
          <w:rFonts w:eastAsia="Calibri" w:cs="Times New Roman"/>
          <w:szCs w:val="24"/>
        </w:rPr>
        <w:t>.</w:t>
      </w:r>
      <w:r w:rsidR="00C31043" w:rsidRPr="00050C0A">
        <w:rPr>
          <w:rFonts w:eastAsia="Calibri" w:cs="Times New Roman"/>
          <w:szCs w:val="24"/>
          <w:vertAlign w:val="superscript"/>
        </w:rPr>
        <w:t>29,</w:t>
      </w:r>
      <w:r w:rsidR="005A3E1B" w:rsidRPr="00050C0A">
        <w:rPr>
          <w:rFonts w:eastAsia="Calibri" w:cs="Times New Roman"/>
          <w:szCs w:val="24"/>
          <w:vertAlign w:val="superscript"/>
        </w:rPr>
        <w:t xml:space="preserve"> 31-32 </w:t>
      </w:r>
      <w:r w:rsidRPr="00050C0A">
        <w:rPr>
          <w:rFonts w:eastAsia="Calibri" w:cs="Times New Roman"/>
          <w:szCs w:val="24"/>
        </w:rPr>
        <w:t xml:space="preserve">Consequently, the information-movement couplings </w:t>
      </w:r>
      <w:r w:rsidR="000C4A67" w:rsidRPr="00050C0A">
        <w:rPr>
          <w:rFonts w:eastAsia="Calibri" w:cs="Times New Roman"/>
          <w:szCs w:val="24"/>
        </w:rPr>
        <w:t xml:space="preserve">that are </w:t>
      </w:r>
      <w:r w:rsidRPr="00050C0A">
        <w:rPr>
          <w:rFonts w:eastAsia="Calibri" w:cs="Times New Roman"/>
          <w:szCs w:val="24"/>
        </w:rPr>
        <w:t>developed are more likely to lead to efficient transfer of skills from training to matches</w:t>
      </w:r>
      <w:r w:rsidR="005A3E1B" w:rsidRPr="00050C0A">
        <w:rPr>
          <w:rFonts w:eastAsia="Calibri" w:cs="Times New Roman"/>
          <w:szCs w:val="24"/>
        </w:rPr>
        <w:t>.</w:t>
      </w:r>
      <w:r w:rsidR="005A3E1B" w:rsidRPr="00050C0A">
        <w:rPr>
          <w:rFonts w:eastAsia="Calibri" w:cs="Times New Roman"/>
          <w:szCs w:val="24"/>
          <w:vertAlign w:val="superscript"/>
        </w:rPr>
        <w:t>32, 34</w:t>
      </w:r>
    </w:p>
    <w:p w14:paraId="4F25B73F" w14:textId="36D49E09" w:rsidR="0041742B" w:rsidRPr="00050C0A" w:rsidRDefault="0094557F" w:rsidP="0041742B">
      <w:pPr>
        <w:spacing w:before="0" w:after="160" w:line="480" w:lineRule="auto"/>
        <w:ind w:firstLine="454"/>
        <w:rPr>
          <w:rFonts w:eastAsia="Calibri" w:cs="Times New Roman"/>
          <w:szCs w:val="24"/>
        </w:rPr>
      </w:pPr>
      <w:r w:rsidRPr="00050C0A">
        <w:rPr>
          <w:rFonts w:eastAsia="Calibri" w:cs="Times New Roman"/>
          <w:szCs w:val="24"/>
        </w:rPr>
        <w:t>Using the framework of ecological dynamics, creating environments that encourage players to practice skills under representative conditions should be at the forefront of</w:t>
      </w:r>
      <w:r w:rsidR="005B5496" w:rsidRPr="00050C0A">
        <w:rPr>
          <w:rFonts w:eastAsia="Calibri" w:cs="Times New Roman"/>
          <w:szCs w:val="24"/>
        </w:rPr>
        <w:t xml:space="preserve"> </w:t>
      </w:r>
      <w:r w:rsidR="00E21E32" w:rsidRPr="00050C0A">
        <w:rPr>
          <w:rFonts w:eastAsia="Calibri" w:cs="Times New Roman"/>
          <w:szCs w:val="24"/>
        </w:rPr>
        <w:t xml:space="preserve">the </w:t>
      </w:r>
      <w:r w:rsidR="005B5496" w:rsidRPr="00050C0A">
        <w:rPr>
          <w:rFonts w:eastAsia="Calibri" w:cs="Times New Roman"/>
          <w:szCs w:val="24"/>
        </w:rPr>
        <w:t>coaches’</w:t>
      </w:r>
      <w:r w:rsidR="00A6345B" w:rsidRPr="00050C0A">
        <w:rPr>
          <w:rFonts w:eastAsia="Calibri" w:cs="Times New Roman"/>
          <w:szCs w:val="24"/>
        </w:rPr>
        <w:t xml:space="preserve"> </w:t>
      </w:r>
      <w:r w:rsidR="00A6345B" w:rsidRPr="00050C0A">
        <w:rPr>
          <w:rFonts w:eastAsia="Calibri" w:cs="Times New Roman"/>
          <w:szCs w:val="24"/>
          <w:lang w:val="en-US"/>
        </w:rPr>
        <w:t>theoretical approach</w:t>
      </w:r>
      <w:r w:rsidR="00C527A4" w:rsidRPr="00050C0A">
        <w:rPr>
          <w:rFonts w:eastAsia="Calibri" w:cs="Times New Roman"/>
          <w:szCs w:val="24"/>
        </w:rPr>
        <w:t>.</w:t>
      </w:r>
      <w:r w:rsidR="00C527A4" w:rsidRPr="00050C0A">
        <w:rPr>
          <w:rFonts w:eastAsia="Calibri" w:cs="Times New Roman"/>
          <w:szCs w:val="24"/>
          <w:vertAlign w:val="superscript"/>
        </w:rPr>
        <w:t xml:space="preserve">32, 34-35 </w:t>
      </w:r>
      <w:r w:rsidRPr="00050C0A">
        <w:rPr>
          <w:rFonts w:eastAsia="Calibri" w:cs="Times New Roman"/>
          <w:szCs w:val="24"/>
        </w:rPr>
        <w:t>However, despite these</w:t>
      </w:r>
      <w:r w:rsidR="00FD4758" w:rsidRPr="00050C0A">
        <w:rPr>
          <w:rFonts w:eastAsia="Calibri" w:cs="Times New Roman"/>
          <w:szCs w:val="24"/>
        </w:rPr>
        <w:t xml:space="preserve"> approaches to skill acquisition</w:t>
      </w:r>
      <w:r w:rsidRPr="00050C0A">
        <w:rPr>
          <w:rFonts w:eastAsia="Calibri" w:cs="Times New Roman"/>
          <w:szCs w:val="24"/>
        </w:rPr>
        <w:t xml:space="preserve"> becoming more prominent in academic research, their uptake by sports coaches appears to remain limited.</w:t>
      </w:r>
      <w:r w:rsidR="00C154B1" w:rsidRPr="00050C0A">
        <w:rPr>
          <w:rFonts w:eastAsia="Calibri" w:cs="Times New Roman"/>
          <w:szCs w:val="24"/>
          <w:vertAlign w:val="superscript"/>
        </w:rPr>
        <w:t>36-37</w:t>
      </w:r>
      <w:r w:rsidRPr="00050C0A">
        <w:rPr>
          <w:rFonts w:eastAsia="Calibri" w:cs="Times New Roman"/>
          <w:szCs w:val="24"/>
        </w:rPr>
        <w:t xml:space="preserve"> As such, it is important to consider how successfully this information is being applied within English football specifically.</w:t>
      </w:r>
      <w:r w:rsidR="00B959A3" w:rsidRPr="00050C0A">
        <w:rPr>
          <w:rFonts w:eastAsia="Calibri" w:cs="Times New Roman"/>
          <w:szCs w:val="24"/>
          <w:vertAlign w:val="superscript"/>
        </w:rPr>
        <w:t>38</w:t>
      </w:r>
      <w:r w:rsidRPr="00050C0A">
        <w:rPr>
          <w:rFonts w:eastAsia="Calibri" w:cs="Times New Roman"/>
          <w:szCs w:val="24"/>
        </w:rPr>
        <w:t xml:space="preserve"> </w:t>
      </w:r>
    </w:p>
    <w:p w14:paraId="634E0157" w14:textId="04265602" w:rsidR="0094557F" w:rsidRPr="00050C0A" w:rsidRDefault="0094557F" w:rsidP="0041742B">
      <w:pPr>
        <w:spacing w:before="0" w:after="160" w:line="480" w:lineRule="auto"/>
        <w:ind w:firstLine="454"/>
        <w:rPr>
          <w:rFonts w:eastAsia="Calibri" w:cs="Times New Roman"/>
          <w:szCs w:val="24"/>
        </w:rPr>
      </w:pPr>
      <w:r w:rsidRPr="00050C0A">
        <w:rPr>
          <w:rFonts w:eastAsia="Calibri" w:cs="Times New Roman"/>
          <w:szCs w:val="24"/>
        </w:rPr>
        <w:t>Researchers have investigated this through systematic observation of the practice activities and coaching behaviours employed in youth football</w:t>
      </w:r>
      <w:r w:rsidR="00B959A3" w:rsidRPr="00050C0A">
        <w:rPr>
          <w:rFonts w:eastAsia="Calibri" w:cs="Times New Roman"/>
          <w:szCs w:val="24"/>
        </w:rPr>
        <w:t>.</w:t>
      </w:r>
      <w:r w:rsidR="00B959A3" w:rsidRPr="00050C0A">
        <w:rPr>
          <w:rFonts w:eastAsia="Calibri" w:cs="Times New Roman"/>
          <w:szCs w:val="24"/>
          <w:vertAlign w:val="superscript"/>
        </w:rPr>
        <w:t xml:space="preserve">3, 39 </w:t>
      </w:r>
      <w:r w:rsidRPr="00050C0A">
        <w:rPr>
          <w:rFonts w:eastAsia="Calibri" w:cs="Times New Roman"/>
          <w:szCs w:val="24"/>
        </w:rPr>
        <w:t>It has been reported that youth footballers spend long periods of time in drill-based (or ‘training form’) activities, where skills are practised in isolation and decision making is prescribed by the coach</w:t>
      </w:r>
      <w:bookmarkStart w:id="3" w:name="_Hlk51149395"/>
      <w:r w:rsidR="00E657F6" w:rsidRPr="00050C0A">
        <w:rPr>
          <w:rFonts w:eastAsia="Calibri" w:cs="Times New Roman"/>
          <w:szCs w:val="24"/>
        </w:rPr>
        <w:t>.</w:t>
      </w:r>
      <w:r w:rsidR="009D0B4D" w:rsidRPr="00050C0A">
        <w:rPr>
          <w:rFonts w:eastAsia="Calibri" w:cs="Times New Roman"/>
          <w:szCs w:val="24"/>
          <w:vertAlign w:val="superscript"/>
        </w:rPr>
        <w:t xml:space="preserve">1, 3 </w:t>
      </w:r>
      <w:r w:rsidRPr="00050C0A">
        <w:rPr>
          <w:rFonts w:eastAsia="Calibri" w:cs="Times New Roman"/>
          <w:szCs w:val="24"/>
        </w:rPr>
        <w:t xml:space="preserve">As drill-based activities do not accurately sample the key specifying information available in the performance environment, the acquisition and transfer of skills is limited as relevant </w:t>
      </w:r>
      <w:r w:rsidRPr="00050C0A">
        <w:rPr>
          <w:rFonts w:eastAsia="Calibri" w:cs="Times New Roman"/>
          <w:szCs w:val="24"/>
        </w:rPr>
        <w:lastRenderedPageBreak/>
        <w:t>information-movement couplings between key sources of information and action are unavailable</w:t>
      </w:r>
      <w:bookmarkEnd w:id="3"/>
      <w:r w:rsidR="009D0B4D" w:rsidRPr="00050C0A">
        <w:rPr>
          <w:rFonts w:eastAsia="Calibri" w:cs="Times New Roman"/>
          <w:szCs w:val="24"/>
        </w:rPr>
        <w:t>.</w:t>
      </w:r>
      <w:r w:rsidR="009D0B4D" w:rsidRPr="00050C0A">
        <w:rPr>
          <w:rFonts w:eastAsia="Calibri" w:cs="Times New Roman"/>
          <w:szCs w:val="24"/>
          <w:vertAlign w:val="superscript"/>
        </w:rPr>
        <w:t>17, 29</w:t>
      </w:r>
      <w:r w:rsidR="0041742B" w:rsidRPr="00050C0A">
        <w:rPr>
          <w:rFonts w:eastAsia="Calibri" w:cs="Times New Roman"/>
          <w:szCs w:val="24"/>
        </w:rPr>
        <w:t xml:space="preserve"> </w:t>
      </w:r>
      <w:r w:rsidRPr="00050C0A">
        <w:rPr>
          <w:rFonts w:eastAsia="Calibri" w:cs="Times New Roman"/>
          <w:szCs w:val="24"/>
        </w:rPr>
        <w:t>More recently, Ford and Whelan</w:t>
      </w:r>
      <w:r w:rsidR="009D0B4D" w:rsidRPr="00050C0A">
        <w:rPr>
          <w:rFonts w:eastAsia="Calibri" w:cs="Times New Roman"/>
          <w:szCs w:val="24"/>
          <w:vertAlign w:val="superscript"/>
        </w:rPr>
        <w:t xml:space="preserve">39 </w:t>
      </w:r>
      <w:r w:rsidRPr="00050C0A">
        <w:rPr>
          <w:rFonts w:eastAsia="Calibri" w:cs="Times New Roman"/>
          <w:szCs w:val="24"/>
        </w:rPr>
        <w:t xml:space="preserve">found a higher proportion of games-based activities were used during youth coaching sessions compared to </w:t>
      </w:r>
      <w:r w:rsidR="009D0B4D" w:rsidRPr="00050C0A">
        <w:rPr>
          <w:rFonts w:eastAsia="Calibri" w:cs="Times New Roman"/>
          <w:szCs w:val="24"/>
        </w:rPr>
        <w:t>those reported previously.</w:t>
      </w:r>
      <w:r w:rsidR="009D0B4D" w:rsidRPr="00050C0A">
        <w:rPr>
          <w:rFonts w:eastAsia="Calibri" w:cs="Times New Roman"/>
          <w:szCs w:val="24"/>
          <w:vertAlign w:val="superscript"/>
        </w:rPr>
        <w:t xml:space="preserve">1, 3 </w:t>
      </w:r>
      <w:r w:rsidRPr="00050C0A">
        <w:rPr>
          <w:rFonts w:eastAsia="Calibri" w:cs="Times New Roman"/>
          <w:szCs w:val="24"/>
        </w:rPr>
        <w:t>Although this demonstrates increased use of game-based activities, the actual time players spent in these was only 60% of the total session time. Similar observations have been made in the most recent investigation of practice activity in English youth football, which showed the time players spent engaged in representative activity to be 56% of the total session</w:t>
      </w:r>
      <w:r w:rsidR="009D0B4D" w:rsidRPr="00050C0A">
        <w:rPr>
          <w:rFonts w:eastAsia="Calibri" w:cs="Times New Roman"/>
          <w:szCs w:val="24"/>
        </w:rPr>
        <w:t>.</w:t>
      </w:r>
      <w:r w:rsidR="009D0B4D" w:rsidRPr="00050C0A">
        <w:rPr>
          <w:rFonts w:eastAsia="Calibri" w:cs="Times New Roman"/>
          <w:szCs w:val="24"/>
          <w:vertAlign w:val="superscript"/>
        </w:rPr>
        <w:t xml:space="preserve">40 </w:t>
      </w:r>
      <w:r w:rsidRPr="00050C0A">
        <w:rPr>
          <w:rFonts w:eastAsia="Calibri" w:cs="Times New Roman"/>
          <w:szCs w:val="24"/>
        </w:rPr>
        <w:t xml:space="preserve">This suggests that any increases in time spent in representative practice activities have somewhat plateaued. </w:t>
      </w:r>
    </w:p>
    <w:p w14:paraId="429643F7" w14:textId="372C01C6" w:rsidR="0094557F" w:rsidRPr="00050C0A" w:rsidRDefault="0094557F" w:rsidP="0094557F">
      <w:pPr>
        <w:spacing w:before="0" w:after="160" w:line="480" w:lineRule="auto"/>
        <w:ind w:firstLine="454"/>
        <w:rPr>
          <w:rFonts w:eastAsia="Calibri" w:cs="Times New Roman"/>
          <w:szCs w:val="24"/>
        </w:rPr>
      </w:pPr>
      <w:r w:rsidRPr="00050C0A">
        <w:rPr>
          <w:rFonts w:eastAsia="Calibri" w:cs="Times New Roman"/>
          <w:szCs w:val="24"/>
        </w:rPr>
        <w:t>Striving for sessions consisting solely of games-based activity may be unrealistic for coaches; yet youth coaches in Spain and Portugal have been shown to utilise 10%</w:t>
      </w:r>
      <w:r w:rsidR="003C53F0" w:rsidRPr="00050C0A">
        <w:rPr>
          <w:rFonts w:eastAsia="Calibri" w:cs="Times New Roman"/>
          <w:szCs w:val="24"/>
        </w:rPr>
        <w:t xml:space="preserve"> to </w:t>
      </w:r>
      <w:r w:rsidRPr="00050C0A">
        <w:rPr>
          <w:rFonts w:eastAsia="Calibri" w:cs="Times New Roman"/>
          <w:szCs w:val="24"/>
        </w:rPr>
        <w:t>12% more of the session for such activities.</w:t>
      </w:r>
      <w:r w:rsidR="00DE62D3" w:rsidRPr="00050C0A">
        <w:rPr>
          <w:rFonts w:eastAsia="Calibri" w:cs="Times New Roman"/>
          <w:szCs w:val="24"/>
          <w:vertAlign w:val="superscript"/>
        </w:rPr>
        <w:t>40</w:t>
      </w:r>
      <w:r w:rsidRPr="00050C0A">
        <w:rPr>
          <w:rFonts w:eastAsia="Calibri" w:cs="Times New Roman"/>
          <w:szCs w:val="24"/>
        </w:rPr>
        <w:t xml:space="preserve"> Despite a clear shift in intent (e.g., towards sessions containing a greater proportion of representative games</w:t>
      </w:r>
      <w:r w:rsidR="003C53F0" w:rsidRPr="00050C0A">
        <w:rPr>
          <w:rFonts w:eastAsia="Calibri" w:cs="Times New Roman"/>
          <w:szCs w:val="24"/>
        </w:rPr>
        <w:t>-</w:t>
      </w:r>
      <w:r w:rsidRPr="00050C0A">
        <w:rPr>
          <w:rFonts w:eastAsia="Calibri" w:cs="Times New Roman"/>
          <w:szCs w:val="24"/>
        </w:rPr>
        <w:t>based activity), English youth football coaches appear to be encountering difficulties in utilising these methods to the extent observed in other countries. Indeed, researchers working with coaches across multiple sports have highlighted that contemporary pedagogical approaches can be challenging to implement</w:t>
      </w:r>
      <w:r w:rsidR="000379A9" w:rsidRPr="00050C0A">
        <w:rPr>
          <w:rFonts w:eastAsia="Calibri" w:cs="Times New Roman"/>
          <w:szCs w:val="24"/>
        </w:rPr>
        <w:t>.</w:t>
      </w:r>
      <w:r w:rsidR="000379A9" w:rsidRPr="00050C0A">
        <w:rPr>
          <w:rFonts w:eastAsia="Calibri" w:cs="Times New Roman"/>
          <w:szCs w:val="24"/>
          <w:vertAlign w:val="superscript"/>
        </w:rPr>
        <w:t xml:space="preserve">24, 41-43 </w:t>
      </w:r>
      <w:r w:rsidRPr="00050C0A">
        <w:rPr>
          <w:rFonts w:eastAsia="Calibri" w:cs="Times New Roman"/>
          <w:szCs w:val="24"/>
        </w:rPr>
        <w:t>This is something that can be compounded by a lack of readily available resources to guide practice design</w:t>
      </w:r>
      <w:r w:rsidR="000379A9" w:rsidRPr="00050C0A">
        <w:rPr>
          <w:rFonts w:eastAsia="Calibri" w:cs="Times New Roman"/>
          <w:szCs w:val="24"/>
        </w:rPr>
        <w:t>,</w:t>
      </w:r>
      <w:r w:rsidR="000379A9" w:rsidRPr="00050C0A">
        <w:rPr>
          <w:rFonts w:eastAsia="Calibri" w:cs="Times New Roman"/>
          <w:szCs w:val="24"/>
          <w:vertAlign w:val="superscript"/>
        </w:rPr>
        <w:t xml:space="preserve">43 </w:t>
      </w:r>
      <w:r w:rsidRPr="00050C0A">
        <w:rPr>
          <w:rFonts w:eastAsia="Calibri" w:cs="Times New Roman"/>
          <w:szCs w:val="24"/>
        </w:rPr>
        <w:t>and the establishment of traditional pedagogical coaching cultures</w:t>
      </w:r>
      <w:r w:rsidR="000379A9" w:rsidRPr="00050C0A">
        <w:rPr>
          <w:rFonts w:eastAsia="Calibri" w:cs="Times New Roman"/>
          <w:szCs w:val="24"/>
        </w:rPr>
        <w:t>.</w:t>
      </w:r>
      <w:r w:rsidR="000379A9" w:rsidRPr="00050C0A">
        <w:rPr>
          <w:rFonts w:eastAsia="Calibri" w:cs="Times New Roman"/>
          <w:szCs w:val="24"/>
          <w:vertAlign w:val="superscript"/>
        </w:rPr>
        <w:t xml:space="preserve">44 </w:t>
      </w:r>
    </w:p>
    <w:p w14:paraId="431DA324" w14:textId="5184FB0C" w:rsidR="0094557F" w:rsidRPr="00050C0A" w:rsidRDefault="0094557F" w:rsidP="00BE4BFD">
      <w:pPr>
        <w:spacing w:before="0" w:after="160" w:line="480" w:lineRule="auto"/>
        <w:ind w:firstLine="454"/>
        <w:rPr>
          <w:rFonts w:eastAsia="Calibri" w:cs="Times New Roman"/>
          <w:szCs w:val="24"/>
        </w:rPr>
      </w:pPr>
      <w:r w:rsidRPr="00050C0A">
        <w:rPr>
          <w:rFonts w:eastAsia="Calibri" w:cs="Times New Roman"/>
          <w:szCs w:val="24"/>
        </w:rPr>
        <w:t>With the FA continuing to focus on reforming England’s approach to youth coaching,</w:t>
      </w:r>
      <w:r w:rsidR="000379A9" w:rsidRPr="00050C0A">
        <w:rPr>
          <w:rFonts w:eastAsia="Calibri" w:cs="Times New Roman"/>
          <w:szCs w:val="24"/>
          <w:vertAlign w:val="superscript"/>
        </w:rPr>
        <w:t>38</w:t>
      </w:r>
      <w:r w:rsidRPr="00050C0A">
        <w:rPr>
          <w:rFonts w:eastAsia="Calibri" w:cs="Times New Roman"/>
          <w:szCs w:val="24"/>
        </w:rPr>
        <w:t xml:space="preserve"> it is important that researchers evaluate its success to ensure coaching and coach education processes are evidence-based.</w:t>
      </w:r>
      <w:r w:rsidR="000379A9" w:rsidRPr="00050C0A">
        <w:rPr>
          <w:rFonts w:eastAsia="Calibri" w:cs="Times New Roman"/>
          <w:szCs w:val="24"/>
          <w:vertAlign w:val="superscript"/>
        </w:rPr>
        <w:t>39</w:t>
      </w:r>
      <w:r w:rsidRPr="00050C0A">
        <w:rPr>
          <w:rFonts w:eastAsia="Calibri" w:cs="Times New Roman"/>
          <w:szCs w:val="24"/>
        </w:rPr>
        <w:t xml:space="preserve"> By acquiring coaches’ experiential knowledge, this study aim</w:t>
      </w:r>
      <w:r w:rsidR="00C56770" w:rsidRPr="00050C0A">
        <w:rPr>
          <w:rFonts w:eastAsia="Calibri" w:cs="Times New Roman"/>
          <w:szCs w:val="24"/>
        </w:rPr>
        <w:t>ed</w:t>
      </w:r>
      <w:r w:rsidRPr="00050C0A">
        <w:rPr>
          <w:rFonts w:eastAsia="Calibri" w:cs="Times New Roman"/>
          <w:szCs w:val="24"/>
        </w:rPr>
        <w:t xml:space="preserve"> to further current understanding of </w:t>
      </w:r>
      <w:r w:rsidRPr="00050C0A">
        <w:rPr>
          <w:rFonts w:eastAsia="Calibri" w:cs="Times New Roman"/>
          <w:i/>
          <w:iCs/>
          <w:szCs w:val="24"/>
        </w:rPr>
        <w:t>what</w:t>
      </w:r>
      <w:r w:rsidRPr="00050C0A">
        <w:rPr>
          <w:rFonts w:eastAsia="Calibri" w:cs="Times New Roman"/>
          <w:szCs w:val="24"/>
        </w:rPr>
        <w:t xml:space="preserve"> </w:t>
      </w:r>
      <w:r w:rsidR="00E91E14" w:rsidRPr="00050C0A">
        <w:rPr>
          <w:rFonts w:eastAsia="Calibri" w:cs="Times New Roman"/>
          <w:szCs w:val="24"/>
        </w:rPr>
        <w:t xml:space="preserve">youth football </w:t>
      </w:r>
      <w:r w:rsidRPr="00050C0A">
        <w:rPr>
          <w:rFonts w:eastAsia="Calibri" w:cs="Times New Roman"/>
          <w:szCs w:val="24"/>
        </w:rPr>
        <w:t xml:space="preserve">coaches are doing (e.g., session structure and practice activities), as well as providing a platform for </w:t>
      </w:r>
      <w:r w:rsidR="00E91E14" w:rsidRPr="00050C0A">
        <w:rPr>
          <w:rFonts w:eastAsia="Calibri" w:cs="Times New Roman"/>
          <w:szCs w:val="24"/>
        </w:rPr>
        <w:t xml:space="preserve">youth football </w:t>
      </w:r>
      <w:r w:rsidRPr="00050C0A">
        <w:rPr>
          <w:rFonts w:eastAsia="Calibri" w:cs="Times New Roman"/>
          <w:szCs w:val="24"/>
        </w:rPr>
        <w:t xml:space="preserve">coaches to share </w:t>
      </w:r>
      <w:r w:rsidRPr="00050C0A">
        <w:rPr>
          <w:rFonts w:eastAsia="Calibri" w:cs="Times New Roman"/>
          <w:i/>
          <w:iCs/>
          <w:szCs w:val="24"/>
        </w:rPr>
        <w:t>why</w:t>
      </w:r>
      <w:r w:rsidRPr="00050C0A">
        <w:rPr>
          <w:rFonts w:eastAsia="Calibri" w:cs="Times New Roman"/>
          <w:szCs w:val="24"/>
        </w:rPr>
        <w:t xml:space="preserve"> they design practice in such a way, and how different experiences have influenced their approach. The insights gained may help to establish how successful the transfer of pedagogical evidence into applied practice has been by</w:t>
      </w:r>
      <w:r w:rsidR="009D0AAD" w:rsidRPr="00050C0A">
        <w:rPr>
          <w:rFonts w:eastAsia="Calibri" w:cs="Times New Roman"/>
          <w:szCs w:val="24"/>
        </w:rPr>
        <w:t>:</w:t>
      </w:r>
      <w:r w:rsidRPr="00050C0A">
        <w:rPr>
          <w:rFonts w:eastAsia="Calibri" w:cs="Times New Roman"/>
          <w:szCs w:val="24"/>
        </w:rPr>
        <w:t xml:space="preserve"> (</w:t>
      </w:r>
      <w:proofErr w:type="spellStart"/>
      <w:r w:rsidRPr="00050C0A">
        <w:rPr>
          <w:rFonts w:eastAsia="Calibri" w:cs="Times New Roman"/>
          <w:szCs w:val="24"/>
        </w:rPr>
        <w:t>i</w:t>
      </w:r>
      <w:proofErr w:type="spellEnd"/>
      <w:r w:rsidRPr="00050C0A">
        <w:rPr>
          <w:rFonts w:eastAsia="Calibri" w:cs="Times New Roman"/>
          <w:szCs w:val="24"/>
        </w:rPr>
        <w:t xml:space="preserve">) highlighting approaches to player learning across different performance contexts (e.g., grassroots and academy level), (ii) exploring how different coaching environments affect approaches to player learning, and (iii) discussing how influential FA education has been in the development of this approach when compared to other developmental and educational experiences. </w:t>
      </w:r>
    </w:p>
    <w:p w14:paraId="3C5C500C" w14:textId="1E1AA099" w:rsidR="00CF506B" w:rsidRPr="00050C0A" w:rsidRDefault="00CF506B" w:rsidP="00537380">
      <w:pPr>
        <w:spacing w:line="480" w:lineRule="auto"/>
        <w:rPr>
          <w:u w:val="single"/>
        </w:rPr>
      </w:pPr>
      <w:bookmarkStart w:id="4" w:name="_Toc496103389"/>
      <w:bookmarkStart w:id="5" w:name="_Toc13755075"/>
      <w:r w:rsidRPr="00050C0A">
        <w:rPr>
          <w:u w:val="single"/>
          <w:lang w:eastAsia="en-GB"/>
        </w:rPr>
        <w:t>Method</w:t>
      </w:r>
      <w:bookmarkEnd w:id="4"/>
      <w:bookmarkEnd w:id="5"/>
    </w:p>
    <w:p w14:paraId="19DC9500" w14:textId="435F4DD5" w:rsidR="0094557F" w:rsidRPr="00050C0A" w:rsidRDefault="00CF506B" w:rsidP="0094557F">
      <w:pPr>
        <w:spacing w:line="480" w:lineRule="auto"/>
        <w:rPr>
          <w:i/>
          <w:iCs/>
          <w:lang w:eastAsia="en-GB"/>
        </w:rPr>
      </w:pPr>
      <w:bookmarkStart w:id="6" w:name="_Toc13755076"/>
      <w:r w:rsidRPr="00050C0A">
        <w:rPr>
          <w:i/>
          <w:iCs/>
          <w:lang w:eastAsia="en-GB"/>
        </w:rPr>
        <w:t>Participant</w:t>
      </w:r>
      <w:bookmarkEnd w:id="6"/>
      <w:r w:rsidR="0094557F" w:rsidRPr="00050C0A">
        <w:rPr>
          <w:i/>
          <w:iCs/>
          <w:lang w:eastAsia="en-GB"/>
        </w:rPr>
        <w:t>s</w:t>
      </w:r>
    </w:p>
    <w:p w14:paraId="12EDE4FB" w14:textId="57F35536" w:rsidR="0094557F" w:rsidRPr="00050C0A" w:rsidRDefault="0094557F" w:rsidP="00F43304">
      <w:pPr>
        <w:spacing w:before="0" w:after="160" w:line="480" w:lineRule="auto"/>
        <w:ind w:firstLine="454"/>
        <w:rPr>
          <w:rFonts w:eastAsia="Calibri" w:cs="Times New Roman"/>
          <w:szCs w:val="24"/>
        </w:rPr>
      </w:pPr>
      <w:r w:rsidRPr="00050C0A">
        <w:rPr>
          <w:rFonts w:eastAsia="Calibri" w:cs="Times New Roman"/>
          <w:szCs w:val="24"/>
        </w:rPr>
        <w:t>Criterion-based purposeful sampling was used to identify individuals with the necessary experience and qualifications to participate</w:t>
      </w:r>
      <w:r w:rsidR="00BE4BFD" w:rsidRPr="00050C0A">
        <w:rPr>
          <w:rFonts w:eastAsia="Calibri" w:cs="Times New Roman"/>
          <w:szCs w:val="24"/>
        </w:rPr>
        <w:t>.</w:t>
      </w:r>
      <w:r w:rsidR="00BE4BFD" w:rsidRPr="00050C0A">
        <w:rPr>
          <w:rFonts w:eastAsia="Calibri" w:cs="Times New Roman"/>
          <w:szCs w:val="24"/>
          <w:vertAlign w:val="superscript"/>
        </w:rPr>
        <w:t xml:space="preserve">45 </w:t>
      </w:r>
      <w:r w:rsidRPr="00050C0A">
        <w:rPr>
          <w:rFonts w:eastAsia="Calibri" w:cs="Times New Roman"/>
          <w:szCs w:val="24"/>
        </w:rPr>
        <w:t xml:space="preserve">To be included in the study, two key criteria had to be satisfied: </w:t>
      </w:r>
      <w:r w:rsidR="00E91E14" w:rsidRPr="00050C0A">
        <w:rPr>
          <w:rFonts w:eastAsia="Calibri" w:cs="Times New Roman"/>
          <w:szCs w:val="24"/>
        </w:rPr>
        <w:t>c</w:t>
      </w:r>
      <w:r w:rsidRPr="00050C0A">
        <w:rPr>
          <w:rFonts w:eastAsia="Calibri" w:cs="Times New Roman"/>
          <w:szCs w:val="24"/>
        </w:rPr>
        <w:t>urrent employment as coach of a youth football team or academy, and a minimum</w:t>
      </w:r>
      <w:r w:rsidR="00E91E14" w:rsidRPr="00050C0A">
        <w:rPr>
          <w:rFonts w:eastAsia="Calibri" w:cs="Times New Roman"/>
          <w:szCs w:val="24"/>
        </w:rPr>
        <w:t xml:space="preserve"> of</w:t>
      </w:r>
      <w:r w:rsidRPr="00050C0A">
        <w:rPr>
          <w:rFonts w:eastAsia="Calibri" w:cs="Times New Roman"/>
          <w:szCs w:val="24"/>
        </w:rPr>
        <w:t xml:space="preserve"> FA level 2 coaching qualification. Eight male youth football coaches that met th</w:t>
      </w:r>
      <w:r w:rsidR="00414BBB" w:rsidRPr="00050C0A">
        <w:rPr>
          <w:rFonts w:eastAsia="Calibri" w:cs="Times New Roman"/>
          <w:szCs w:val="24"/>
        </w:rPr>
        <w:t>ese</w:t>
      </w:r>
      <w:r w:rsidRPr="00050C0A">
        <w:rPr>
          <w:rFonts w:eastAsia="Calibri" w:cs="Times New Roman"/>
          <w:szCs w:val="24"/>
        </w:rPr>
        <w:t xml:space="preserve"> criteria were selected and provided written informed consent to participate in the study (</w:t>
      </w:r>
      <w:r w:rsidRPr="00050C0A">
        <w:rPr>
          <w:rFonts w:eastAsia="Calibri" w:cs="Times New Roman"/>
          <w:i/>
          <w:iCs/>
          <w:szCs w:val="24"/>
        </w:rPr>
        <w:t>M</w:t>
      </w:r>
      <w:r w:rsidRPr="00050C0A">
        <w:rPr>
          <w:rFonts w:eastAsia="Calibri" w:cs="Times New Roman"/>
          <w:szCs w:val="24"/>
          <w:vertAlign w:val="subscript"/>
        </w:rPr>
        <w:t>age</w:t>
      </w:r>
      <w:r w:rsidRPr="00050C0A">
        <w:rPr>
          <w:rFonts w:eastAsia="Calibri" w:cs="Times New Roman"/>
          <w:szCs w:val="24"/>
        </w:rPr>
        <w:t xml:space="preserve"> = 31 years, </w:t>
      </w:r>
      <w:r w:rsidRPr="00050C0A">
        <w:rPr>
          <w:rFonts w:eastAsia="Calibri" w:cs="Times New Roman"/>
          <w:i/>
          <w:iCs/>
          <w:szCs w:val="24"/>
        </w:rPr>
        <w:t xml:space="preserve">SD </w:t>
      </w:r>
      <w:r w:rsidRPr="00050C0A">
        <w:rPr>
          <w:rFonts w:eastAsia="Calibri" w:cs="Times New Roman"/>
          <w:szCs w:val="24"/>
        </w:rPr>
        <w:t xml:space="preserve">= 8.58 years; </w:t>
      </w:r>
      <w:proofErr w:type="spellStart"/>
      <w:r w:rsidRPr="00050C0A">
        <w:rPr>
          <w:rFonts w:eastAsia="Calibri" w:cs="Times New Roman"/>
          <w:i/>
          <w:iCs/>
          <w:szCs w:val="24"/>
        </w:rPr>
        <w:t>M</w:t>
      </w:r>
      <w:r w:rsidRPr="00050C0A">
        <w:rPr>
          <w:rFonts w:eastAsia="Calibri" w:cs="Times New Roman"/>
          <w:szCs w:val="24"/>
          <w:vertAlign w:val="subscript"/>
        </w:rPr>
        <w:t>experience</w:t>
      </w:r>
      <w:proofErr w:type="spellEnd"/>
      <w:r w:rsidRPr="00050C0A">
        <w:rPr>
          <w:rFonts w:eastAsia="Calibri" w:cs="Times New Roman"/>
          <w:szCs w:val="24"/>
        </w:rPr>
        <w:t xml:space="preserve"> = 11 years, </w:t>
      </w:r>
      <w:r w:rsidRPr="00050C0A">
        <w:rPr>
          <w:rFonts w:eastAsia="Calibri" w:cs="Times New Roman"/>
          <w:i/>
          <w:iCs/>
          <w:szCs w:val="24"/>
        </w:rPr>
        <w:t>SD</w:t>
      </w:r>
      <w:r w:rsidRPr="00050C0A">
        <w:rPr>
          <w:rFonts w:eastAsia="Calibri" w:cs="Times New Roman"/>
          <w:szCs w:val="24"/>
        </w:rPr>
        <w:t xml:space="preserve"> = 6.48 years; </w:t>
      </w:r>
      <w:r w:rsidR="001E3565" w:rsidRPr="00050C0A">
        <w:rPr>
          <w:rFonts w:eastAsia="Calibri" w:cs="Times New Roman"/>
          <w:szCs w:val="24"/>
        </w:rPr>
        <w:t xml:space="preserve">see </w:t>
      </w:r>
      <w:r w:rsidRPr="00050C0A">
        <w:rPr>
          <w:rFonts w:eastAsia="Calibri" w:cs="Times New Roman"/>
          <w:szCs w:val="24"/>
        </w:rPr>
        <w:t>Table 1). To maintain anonymity of participants, the specific club or organisation they worked for is not outlined and pseudonyms (e.g., Coach 1, Coach 2 etc.) were provided. Ethical approval was obtained from the lead author’s University ethics committee.</w:t>
      </w:r>
      <w:bookmarkStart w:id="7" w:name="_Toc13755077"/>
    </w:p>
    <w:tbl>
      <w:tblPr>
        <w:tblStyle w:val="TableGrid11"/>
        <w:tblpPr w:leftFromText="180" w:rightFromText="180" w:vertAnchor="text" w:horzAnchor="margin" w:tblpY="-253"/>
        <w:tblOverlap w:val="never"/>
        <w:tblW w:w="10490" w:type="dxa"/>
        <w:tblInd w:w="0" w:type="dxa"/>
        <w:tblLook w:val="04A0" w:firstRow="1" w:lastRow="0" w:firstColumn="1" w:lastColumn="0" w:noHBand="0" w:noVBand="1"/>
      </w:tblPr>
      <w:tblGrid>
        <w:gridCol w:w="1809"/>
        <w:gridCol w:w="1376"/>
        <w:gridCol w:w="3194"/>
        <w:gridCol w:w="1985"/>
        <w:gridCol w:w="2063"/>
        <w:gridCol w:w="63"/>
      </w:tblGrid>
      <w:tr w:rsidR="00050C0A" w:rsidRPr="00050C0A" w14:paraId="386B67E3" w14:textId="77777777" w:rsidTr="00050C0A">
        <w:trPr>
          <w:trHeight w:val="285"/>
        </w:trPr>
        <w:tc>
          <w:tcPr>
            <w:tcW w:w="8364" w:type="dxa"/>
            <w:gridSpan w:val="4"/>
            <w:tcBorders>
              <w:top w:val="nil"/>
              <w:left w:val="nil"/>
              <w:bottom w:val="single" w:sz="4" w:space="0" w:color="auto"/>
              <w:right w:val="nil"/>
            </w:tcBorders>
            <w:noWrap/>
          </w:tcPr>
          <w:p w14:paraId="499F219B" w14:textId="77777777" w:rsidR="00684E3F" w:rsidRPr="00050C0A" w:rsidRDefault="00684E3F" w:rsidP="00050C0A">
            <w:pPr>
              <w:spacing w:before="0" w:after="160" w:line="360" w:lineRule="auto"/>
              <w:rPr>
                <w:rFonts w:eastAsia="SimSun" w:cs="Arial"/>
                <w:sz w:val="20"/>
                <w:szCs w:val="20"/>
                <w:lang w:val="en-US" w:eastAsia="zh-CN"/>
              </w:rPr>
            </w:pPr>
            <w:r w:rsidRPr="00050C0A">
              <w:rPr>
                <w:rFonts w:eastAsia="SimSun" w:cs="Arial"/>
                <w:sz w:val="20"/>
                <w:szCs w:val="20"/>
                <w:lang w:val="en-US" w:eastAsia="zh-CN"/>
              </w:rPr>
              <w:t>Table 1. Participants Characteristics for the eight coaches</w:t>
            </w:r>
          </w:p>
        </w:tc>
        <w:tc>
          <w:tcPr>
            <w:tcW w:w="2126" w:type="dxa"/>
            <w:gridSpan w:val="2"/>
            <w:tcBorders>
              <w:top w:val="nil"/>
              <w:left w:val="nil"/>
              <w:bottom w:val="single" w:sz="4" w:space="0" w:color="auto"/>
              <w:right w:val="nil"/>
            </w:tcBorders>
            <w:noWrap/>
          </w:tcPr>
          <w:p w14:paraId="78D90395" w14:textId="77777777" w:rsidR="00684E3F" w:rsidRPr="00050C0A" w:rsidRDefault="00684E3F" w:rsidP="00050C0A">
            <w:pPr>
              <w:spacing w:before="0" w:after="160"/>
              <w:jc w:val="center"/>
              <w:rPr>
                <w:rFonts w:eastAsia="SimSun" w:cs="Arial"/>
                <w:sz w:val="20"/>
                <w:szCs w:val="20"/>
                <w:lang w:val="en-US" w:eastAsia="zh-CN"/>
              </w:rPr>
            </w:pPr>
          </w:p>
        </w:tc>
      </w:tr>
      <w:tr w:rsidR="00050C0A" w:rsidRPr="00050C0A" w14:paraId="32915D1C" w14:textId="77777777" w:rsidTr="00050C0A">
        <w:trPr>
          <w:gridAfter w:val="1"/>
          <w:wAfter w:w="63" w:type="dxa"/>
          <w:trHeight w:val="551"/>
        </w:trPr>
        <w:tc>
          <w:tcPr>
            <w:tcW w:w="1809" w:type="dxa"/>
            <w:tcBorders>
              <w:top w:val="single" w:sz="4" w:space="0" w:color="auto"/>
              <w:left w:val="nil"/>
              <w:bottom w:val="single" w:sz="4" w:space="0" w:color="auto"/>
              <w:right w:val="nil"/>
            </w:tcBorders>
            <w:noWrap/>
          </w:tcPr>
          <w:p w14:paraId="0B7D3394" w14:textId="77777777" w:rsidR="00684E3F" w:rsidRPr="00050C0A" w:rsidRDefault="00684E3F" w:rsidP="00050C0A">
            <w:pPr>
              <w:spacing w:before="0" w:after="160"/>
              <w:jc w:val="center"/>
              <w:rPr>
                <w:rFonts w:eastAsia="SimSun" w:cs="Arial"/>
                <w:sz w:val="20"/>
                <w:szCs w:val="20"/>
                <w:lang w:val="en-US" w:eastAsia="zh-CN"/>
              </w:rPr>
            </w:pPr>
          </w:p>
          <w:p w14:paraId="5D306C83"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Coach</w:t>
            </w:r>
          </w:p>
        </w:tc>
        <w:tc>
          <w:tcPr>
            <w:tcW w:w="1376" w:type="dxa"/>
            <w:tcBorders>
              <w:top w:val="single" w:sz="4" w:space="0" w:color="auto"/>
              <w:left w:val="nil"/>
              <w:bottom w:val="single" w:sz="4" w:space="0" w:color="auto"/>
              <w:right w:val="nil"/>
            </w:tcBorders>
            <w:noWrap/>
          </w:tcPr>
          <w:p w14:paraId="25BFBCD3" w14:textId="77777777" w:rsidR="00684E3F" w:rsidRPr="00050C0A" w:rsidRDefault="00684E3F" w:rsidP="00050C0A">
            <w:pPr>
              <w:spacing w:before="0" w:after="160"/>
              <w:jc w:val="center"/>
              <w:rPr>
                <w:rFonts w:eastAsia="SimSun" w:cs="Arial"/>
                <w:sz w:val="20"/>
                <w:szCs w:val="20"/>
                <w:lang w:val="en-US" w:eastAsia="zh-CN"/>
              </w:rPr>
            </w:pPr>
          </w:p>
          <w:p w14:paraId="47BBBF52"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Age</w:t>
            </w:r>
          </w:p>
        </w:tc>
        <w:tc>
          <w:tcPr>
            <w:tcW w:w="3194" w:type="dxa"/>
            <w:tcBorders>
              <w:top w:val="single" w:sz="4" w:space="0" w:color="auto"/>
              <w:left w:val="nil"/>
              <w:bottom w:val="single" w:sz="4" w:space="0" w:color="auto"/>
              <w:right w:val="nil"/>
            </w:tcBorders>
            <w:noWrap/>
          </w:tcPr>
          <w:p w14:paraId="08A7905F" w14:textId="77777777" w:rsidR="00684E3F" w:rsidRPr="00050C0A" w:rsidRDefault="00684E3F" w:rsidP="00050C0A">
            <w:pPr>
              <w:spacing w:before="0" w:after="160"/>
              <w:jc w:val="center"/>
              <w:rPr>
                <w:rFonts w:eastAsia="SimSun" w:cs="Arial"/>
                <w:sz w:val="20"/>
                <w:szCs w:val="20"/>
                <w:lang w:val="en-US" w:eastAsia="zh-CN"/>
              </w:rPr>
            </w:pPr>
          </w:p>
          <w:p w14:paraId="1F5A4F5A"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Years Coaching Experience</w:t>
            </w:r>
          </w:p>
        </w:tc>
        <w:tc>
          <w:tcPr>
            <w:tcW w:w="4048" w:type="dxa"/>
            <w:gridSpan w:val="2"/>
            <w:tcBorders>
              <w:top w:val="single" w:sz="4" w:space="0" w:color="auto"/>
              <w:left w:val="nil"/>
              <w:bottom w:val="single" w:sz="4" w:space="0" w:color="auto"/>
              <w:right w:val="nil"/>
            </w:tcBorders>
            <w:noWrap/>
          </w:tcPr>
          <w:p w14:paraId="66A2E411" w14:textId="77777777" w:rsidR="00684E3F" w:rsidRPr="00050C0A" w:rsidRDefault="00684E3F" w:rsidP="00050C0A">
            <w:pPr>
              <w:spacing w:before="0" w:after="160"/>
              <w:jc w:val="center"/>
              <w:rPr>
                <w:rFonts w:eastAsia="SimSun" w:cs="Arial"/>
                <w:sz w:val="20"/>
                <w:szCs w:val="20"/>
                <w:lang w:val="en-US" w:eastAsia="zh-CN"/>
              </w:rPr>
            </w:pPr>
          </w:p>
          <w:p w14:paraId="12145F1C"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Highest Coaching Qualification</w:t>
            </w:r>
          </w:p>
        </w:tc>
      </w:tr>
      <w:tr w:rsidR="00050C0A" w:rsidRPr="00050C0A" w14:paraId="1B4AD3E4" w14:textId="77777777" w:rsidTr="00050C0A">
        <w:trPr>
          <w:gridAfter w:val="1"/>
          <w:wAfter w:w="63" w:type="dxa"/>
          <w:trHeight w:val="275"/>
        </w:trPr>
        <w:tc>
          <w:tcPr>
            <w:tcW w:w="1809" w:type="dxa"/>
            <w:tcBorders>
              <w:top w:val="single" w:sz="4" w:space="0" w:color="auto"/>
              <w:left w:val="nil"/>
              <w:bottom w:val="nil"/>
              <w:right w:val="nil"/>
            </w:tcBorders>
            <w:noWrap/>
          </w:tcPr>
          <w:p w14:paraId="0DADCDE5" w14:textId="77777777" w:rsidR="00684E3F" w:rsidRPr="00050C0A" w:rsidRDefault="00684E3F" w:rsidP="00050C0A">
            <w:pPr>
              <w:spacing w:before="0" w:after="160"/>
              <w:jc w:val="center"/>
              <w:rPr>
                <w:rFonts w:eastAsia="SimSun" w:cs="Arial"/>
                <w:sz w:val="20"/>
                <w:szCs w:val="20"/>
                <w:lang w:val="en-US" w:eastAsia="zh-CN"/>
              </w:rPr>
            </w:pPr>
          </w:p>
          <w:p w14:paraId="5FC0920C"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1</w:t>
            </w:r>
          </w:p>
        </w:tc>
        <w:tc>
          <w:tcPr>
            <w:tcW w:w="1376" w:type="dxa"/>
            <w:tcBorders>
              <w:top w:val="single" w:sz="4" w:space="0" w:color="auto"/>
              <w:left w:val="nil"/>
              <w:bottom w:val="nil"/>
              <w:right w:val="nil"/>
            </w:tcBorders>
            <w:noWrap/>
          </w:tcPr>
          <w:p w14:paraId="79AFB79D" w14:textId="77777777" w:rsidR="00684E3F" w:rsidRPr="00050C0A" w:rsidRDefault="00684E3F" w:rsidP="00050C0A">
            <w:pPr>
              <w:spacing w:before="0" w:after="160"/>
              <w:jc w:val="center"/>
              <w:rPr>
                <w:rFonts w:eastAsia="SimSun" w:cs="Arial"/>
                <w:sz w:val="20"/>
                <w:szCs w:val="20"/>
                <w:lang w:val="en-US" w:eastAsia="zh-CN"/>
              </w:rPr>
            </w:pPr>
          </w:p>
          <w:p w14:paraId="6523F965"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23</w:t>
            </w:r>
          </w:p>
        </w:tc>
        <w:tc>
          <w:tcPr>
            <w:tcW w:w="3194" w:type="dxa"/>
            <w:tcBorders>
              <w:top w:val="single" w:sz="4" w:space="0" w:color="auto"/>
              <w:left w:val="nil"/>
              <w:bottom w:val="nil"/>
              <w:right w:val="nil"/>
            </w:tcBorders>
            <w:noWrap/>
          </w:tcPr>
          <w:p w14:paraId="30237F2B" w14:textId="77777777" w:rsidR="00684E3F" w:rsidRPr="00050C0A" w:rsidRDefault="00684E3F" w:rsidP="00050C0A">
            <w:pPr>
              <w:spacing w:before="0" w:after="160"/>
              <w:jc w:val="center"/>
              <w:rPr>
                <w:rFonts w:eastAsia="SimSun" w:cs="Arial"/>
                <w:sz w:val="20"/>
                <w:szCs w:val="20"/>
                <w:lang w:val="en-US" w:eastAsia="zh-CN"/>
              </w:rPr>
            </w:pPr>
          </w:p>
          <w:p w14:paraId="5CD2688A"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7</w:t>
            </w:r>
          </w:p>
        </w:tc>
        <w:tc>
          <w:tcPr>
            <w:tcW w:w="4048" w:type="dxa"/>
            <w:gridSpan w:val="2"/>
            <w:tcBorders>
              <w:top w:val="single" w:sz="4" w:space="0" w:color="auto"/>
              <w:left w:val="nil"/>
              <w:bottom w:val="nil"/>
              <w:right w:val="nil"/>
            </w:tcBorders>
            <w:noWrap/>
          </w:tcPr>
          <w:p w14:paraId="0F0160C2" w14:textId="77777777" w:rsidR="00684E3F" w:rsidRPr="00050C0A" w:rsidRDefault="00684E3F" w:rsidP="00050C0A">
            <w:pPr>
              <w:spacing w:before="0" w:after="160"/>
              <w:jc w:val="center"/>
              <w:rPr>
                <w:rFonts w:eastAsia="SimSun" w:cs="Arial"/>
                <w:sz w:val="20"/>
                <w:szCs w:val="20"/>
                <w:lang w:val="en-US" w:eastAsia="zh-CN"/>
              </w:rPr>
            </w:pPr>
          </w:p>
          <w:p w14:paraId="42E9B829"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FA Level 2</w:t>
            </w:r>
          </w:p>
        </w:tc>
      </w:tr>
      <w:tr w:rsidR="00050C0A" w:rsidRPr="00050C0A" w14:paraId="419C7468" w14:textId="77777777" w:rsidTr="00050C0A">
        <w:trPr>
          <w:gridAfter w:val="1"/>
          <w:wAfter w:w="63" w:type="dxa"/>
          <w:trHeight w:val="235"/>
        </w:trPr>
        <w:tc>
          <w:tcPr>
            <w:tcW w:w="1809" w:type="dxa"/>
            <w:tcBorders>
              <w:top w:val="nil"/>
              <w:left w:val="nil"/>
              <w:bottom w:val="nil"/>
              <w:right w:val="nil"/>
            </w:tcBorders>
            <w:noWrap/>
          </w:tcPr>
          <w:p w14:paraId="20AF80E3" w14:textId="77777777" w:rsidR="00684E3F" w:rsidRPr="00050C0A" w:rsidRDefault="00684E3F" w:rsidP="00050C0A">
            <w:pPr>
              <w:spacing w:before="0" w:after="160"/>
              <w:jc w:val="center"/>
              <w:rPr>
                <w:rFonts w:eastAsia="SimSun" w:cs="Arial"/>
                <w:sz w:val="20"/>
                <w:szCs w:val="20"/>
                <w:lang w:val="en-US" w:eastAsia="zh-CN"/>
              </w:rPr>
            </w:pPr>
          </w:p>
          <w:p w14:paraId="07F03AA4"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2</w:t>
            </w:r>
          </w:p>
        </w:tc>
        <w:tc>
          <w:tcPr>
            <w:tcW w:w="1376" w:type="dxa"/>
            <w:tcBorders>
              <w:top w:val="nil"/>
              <w:left w:val="nil"/>
              <w:bottom w:val="nil"/>
              <w:right w:val="nil"/>
            </w:tcBorders>
            <w:noWrap/>
          </w:tcPr>
          <w:p w14:paraId="26066592" w14:textId="77777777" w:rsidR="00684E3F" w:rsidRPr="00050C0A" w:rsidRDefault="00684E3F" w:rsidP="00050C0A">
            <w:pPr>
              <w:spacing w:before="0" w:after="160"/>
              <w:jc w:val="center"/>
              <w:rPr>
                <w:rFonts w:eastAsia="SimSun" w:cs="Arial"/>
                <w:sz w:val="20"/>
                <w:szCs w:val="20"/>
                <w:lang w:val="en-US" w:eastAsia="zh-CN"/>
              </w:rPr>
            </w:pPr>
          </w:p>
          <w:p w14:paraId="5E734A29"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43</w:t>
            </w:r>
          </w:p>
        </w:tc>
        <w:tc>
          <w:tcPr>
            <w:tcW w:w="3194" w:type="dxa"/>
            <w:tcBorders>
              <w:top w:val="nil"/>
              <w:left w:val="nil"/>
              <w:bottom w:val="nil"/>
              <w:right w:val="nil"/>
            </w:tcBorders>
            <w:noWrap/>
          </w:tcPr>
          <w:p w14:paraId="07F0E29C" w14:textId="77777777" w:rsidR="00684E3F" w:rsidRPr="00050C0A" w:rsidRDefault="00684E3F" w:rsidP="00050C0A">
            <w:pPr>
              <w:spacing w:before="0" w:after="160"/>
              <w:jc w:val="center"/>
              <w:rPr>
                <w:rFonts w:eastAsia="SimSun" w:cs="Arial"/>
                <w:sz w:val="20"/>
                <w:szCs w:val="20"/>
                <w:lang w:val="en-US" w:eastAsia="zh-CN"/>
              </w:rPr>
            </w:pPr>
          </w:p>
          <w:p w14:paraId="3F323ABC"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22</w:t>
            </w:r>
          </w:p>
        </w:tc>
        <w:tc>
          <w:tcPr>
            <w:tcW w:w="4048" w:type="dxa"/>
            <w:gridSpan w:val="2"/>
            <w:tcBorders>
              <w:top w:val="nil"/>
              <w:left w:val="nil"/>
              <w:bottom w:val="nil"/>
              <w:right w:val="nil"/>
            </w:tcBorders>
            <w:noWrap/>
          </w:tcPr>
          <w:p w14:paraId="050423C1" w14:textId="77777777" w:rsidR="00684E3F" w:rsidRPr="00050C0A" w:rsidRDefault="00684E3F" w:rsidP="00050C0A">
            <w:pPr>
              <w:spacing w:before="0" w:after="160"/>
              <w:jc w:val="center"/>
              <w:rPr>
                <w:rFonts w:eastAsia="SimSun" w:cs="Arial"/>
                <w:sz w:val="20"/>
                <w:szCs w:val="20"/>
                <w:lang w:val="en-US" w:eastAsia="zh-CN"/>
              </w:rPr>
            </w:pPr>
          </w:p>
          <w:p w14:paraId="0ADC5458"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UEFA B</w:t>
            </w:r>
          </w:p>
        </w:tc>
      </w:tr>
      <w:tr w:rsidR="00050C0A" w:rsidRPr="00050C0A" w14:paraId="3D29C588" w14:textId="77777777" w:rsidTr="00050C0A">
        <w:trPr>
          <w:gridAfter w:val="1"/>
          <w:wAfter w:w="63" w:type="dxa"/>
          <w:trHeight w:val="355"/>
        </w:trPr>
        <w:tc>
          <w:tcPr>
            <w:tcW w:w="1809" w:type="dxa"/>
            <w:tcBorders>
              <w:top w:val="nil"/>
              <w:left w:val="nil"/>
              <w:bottom w:val="nil"/>
              <w:right w:val="nil"/>
            </w:tcBorders>
            <w:noWrap/>
          </w:tcPr>
          <w:p w14:paraId="2A2A9BB7" w14:textId="77777777" w:rsidR="00684E3F" w:rsidRPr="00050C0A" w:rsidRDefault="00684E3F" w:rsidP="00050C0A">
            <w:pPr>
              <w:spacing w:before="0" w:after="160"/>
              <w:jc w:val="center"/>
              <w:rPr>
                <w:rFonts w:eastAsia="SimSun" w:cs="Arial"/>
                <w:sz w:val="20"/>
                <w:szCs w:val="20"/>
                <w:lang w:val="en-US" w:eastAsia="zh-CN"/>
              </w:rPr>
            </w:pPr>
          </w:p>
          <w:p w14:paraId="3FA47E77"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3</w:t>
            </w:r>
          </w:p>
        </w:tc>
        <w:tc>
          <w:tcPr>
            <w:tcW w:w="1376" w:type="dxa"/>
            <w:tcBorders>
              <w:top w:val="nil"/>
              <w:left w:val="nil"/>
              <w:bottom w:val="nil"/>
              <w:right w:val="nil"/>
            </w:tcBorders>
            <w:noWrap/>
          </w:tcPr>
          <w:p w14:paraId="249483E8" w14:textId="77777777" w:rsidR="00684E3F" w:rsidRPr="00050C0A" w:rsidRDefault="00684E3F" w:rsidP="00050C0A">
            <w:pPr>
              <w:spacing w:before="0" w:after="160"/>
              <w:jc w:val="center"/>
              <w:rPr>
                <w:rFonts w:eastAsia="SimSun" w:cs="Arial"/>
                <w:sz w:val="20"/>
                <w:szCs w:val="20"/>
                <w:lang w:val="en-US" w:eastAsia="zh-CN"/>
              </w:rPr>
            </w:pPr>
          </w:p>
          <w:p w14:paraId="70952B9A"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23</w:t>
            </w:r>
          </w:p>
        </w:tc>
        <w:tc>
          <w:tcPr>
            <w:tcW w:w="3194" w:type="dxa"/>
            <w:tcBorders>
              <w:top w:val="nil"/>
              <w:left w:val="nil"/>
              <w:bottom w:val="nil"/>
              <w:right w:val="nil"/>
            </w:tcBorders>
            <w:noWrap/>
          </w:tcPr>
          <w:p w14:paraId="25B6A85C" w14:textId="77777777" w:rsidR="00684E3F" w:rsidRPr="00050C0A" w:rsidRDefault="00684E3F" w:rsidP="00050C0A">
            <w:pPr>
              <w:spacing w:before="0" w:after="160"/>
              <w:jc w:val="center"/>
              <w:rPr>
                <w:rFonts w:eastAsia="SimSun" w:cs="Arial"/>
                <w:sz w:val="20"/>
                <w:szCs w:val="20"/>
                <w:lang w:val="en-US" w:eastAsia="zh-CN"/>
              </w:rPr>
            </w:pPr>
          </w:p>
          <w:p w14:paraId="6B659D2C"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5</w:t>
            </w:r>
          </w:p>
        </w:tc>
        <w:tc>
          <w:tcPr>
            <w:tcW w:w="4048" w:type="dxa"/>
            <w:gridSpan w:val="2"/>
            <w:tcBorders>
              <w:top w:val="nil"/>
              <w:left w:val="nil"/>
              <w:bottom w:val="nil"/>
              <w:right w:val="nil"/>
            </w:tcBorders>
            <w:noWrap/>
          </w:tcPr>
          <w:p w14:paraId="344B9353" w14:textId="77777777" w:rsidR="00684E3F" w:rsidRPr="00050C0A" w:rsidRDefault="00684E3F" w:rsidP="00050C0A">
            <w:pPr>
              <w:spacing w:before="0" w:after="160"/>
              <w:jc w:val="center"/>
              <w:rPr>
                <w:rFonts w:eastAsia="SimSun" w:cs="Arial"/>
                <w:sz w:val="20"/>
                <w:szCs w:val="20"/>
                <w:lang w:val="en-US" w:eastAsia="zh-CN"/>
              </w:rPr>
            </w:pPr>
          </w:p>
          <w:p w14:paraId="525FB82F"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FA Level 2</w:t>
            </w:r>
          </w:p>
        </w:tc>
      </w:tr>
      <w:tr w:rsidR="00050C0A" w:rsidRPr="00050C0A" w14:paraId="56F83D7A" w14:textId="77777777" w:rsidTr="00050C0A">
        <w:trPr>
          <w:gridAfter w:val="1"/>
          <w:wAfter w:w="63" w:type="dxa"/>
          <w:trHeight w:val="466"/>
        </w:trPr>
        <w:tc>
          <w:tcPr>
            <w:tcW w:w="1809" w:type="dxa"/>
            <w:tcBorders>
              <w:top w:val="nil"/>
              <w:left w:val="nil"/>
              <w:bottom w:val="nil"/>
              <w:right w:val="nil"/>
            </w:tcBorders>
            <w:noWrap/>
          </w:tcPr>
          <w:p w14:paraId="068BBFD0" w14:textId="77777777" w:rsidR="00684E3F" w:rsidRPr="00050C0A" w:rsidRDefault="00684E3F" w:rsidP="00050C0A">
            <w:pPr>
              <w:spacing w:before="0" w:after="160"/>
              <w:jc w:val="center"/>
              <w:rPr>
                <w:rFonts w:eastAsia="SimSun" w:cs="Arial"/>
                <w:sz w:val="20"/>
                <w:szCs w:val="20"/>
                <w:lang w:val="en-US" w:eastAsia="zh-CN"/>
              </w:rPr>
            </w:pPr>
            <w:bookmarkStart w:id="8" w:name="_Hlk50547619"/>
          </w:p>
          <w:p w14:paraId="3A4A3407"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4</w:t>
            </w:r>
          </w:p>
        </w:tc>
        <w:tc>
          <w:tcPr>
            <w:tcW w:w="1376" w:type="dxa"/>
            <w:tcBorders>
              <w:top w:val="nil"/>
              <w:left w:val="nil"/>
              <w:bottom w:val="nil"/>
              <w:right w:val="nil"/>
            </w:tcBorders>
            <w:noWrap/>
          </w:tcPr>
          <w:p w14:paraId="4BBAC37D" w14:textId="77777777" w:rsidR="00684E3F" w:rsidRPr="00050C0A" w:rsidRDefault="00684E3F" w:rsidP="00050C0A">
            <w:pPr>
              <w:spacing w:before="0" w:after="160"/>
              <w:jc w:val="center"/>
              <w:rPr>
                <w:rFonts w:eastAsia="SimSun" w:cs="Arial"/>
                <w:sz w:val="20"/>
                <w:szCs w:val="20"/>
                <w:lang w:val="en-US" w:eastAsia="zh-CN"/>
              </w:rPr>
            </w:pPr>
          </w:p>
          <w:p w14:paraId="56EA6F2C"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23</w:t>
            </w:r>
          </w:p>
        </w:tc>
        <w:tc>
          <w:tcPr>
            <w:tcW w:w="3194" w:type="dxa"/>
            <w:tcBorders>
              <w:top w:val="nil"/>
              <w:left w:val="nil"/>
              <w:bottom w:val="nil"/>
              <w:right w:val="nil"/>
            </w:tcBorders>
            <w:noWrap/>
          </w:tcPr>
          <w:p w14:paraId="7AB7BFE0" w14:textId="77777777" w:rsidR="00684E3F" w:rsidRPr="00050C0A" w:rsidRDefault="00684E3F" w:rsidP="00050C0A">
            <w:pPr>
              <w:spacing w:before="0" w:after="160"/>
              <w:jc w:val="center"/>
              <w:rPr>
                <w:rFonts w:eastAsia="SimSun" w:cs="Arial"/>
                <w:sz w:val="20"/>
                <w:szCs w:val="20"/>
                <w:lang w:val="en-US" w:eastAsia="zh-CN"/>
              </w:rPr>
            </w:pPr>
          </w:p>
          <w:p w14:paraId="7648ECDB"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3</w:t>
            </w:r>
          </w:p>
        </w:tc>
        <w:tc>
          <w:tcPr>
            <w:tcW w:w="4048" w:type="dxa"/>
            <w:gridSpan w:val="2"/>
            <w:tcBorders>
              <w:top w:val="nil"/>
              <w:left w:val="nil"/>
              <w:bottom w:val="nil"/>
              <w:right w:val="nil"/>
            </w:tcBorders>
            <w:noWrap/>
          </w:tcPr>
          <w:p w14:paraId="66B390C2" w14:textId="77777777" w:rsidR="00684E3F" w:rsidRPr="00050C0A" w:rsidRDefault="00684E3F" w:rsidP="00050C0A">
            <w:pPr>
              <w:spacing w:before="0" w:after="160"/>
              <w:jc w:val="center"/>
              <w:rPr>
                <w:rFonts w:eastAsia="SimSun" w:cs="Arial"/>
                <w:sz w:val="20"/>
                <w:szCs w:val="20"/>
                <w:lang w:val="en-US" w:eastAsia="zh-CN"/>
              </w:rPr>
            </w:pPr>
          </w:p>
          <w:p w14:paraId="11C53E6B"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FA Level 2</w:t>
            </w:r>
          </w:p>
        </w:tc>
        <w:bookmarkEnd w:id="8"/>
      </w:tr>
      <w:tr w:rsidR="00050C0A" w:rsidRPr="00050C0A" w14:paraId="55BCE3BC" w14:textId="77777777" w:rsidTr="00050C0A">
        <w:trPr>
          <w:gridAfter w:val="1"/>
          <w:wAfter w:w="63" w:type="dxa"/>
          <w:trHeight w:val="383"/>
        </w:trPr>
        <w:tc>
          <w:tcPr>
            <w:tcW w:w="1809" w:type="dxa"/>
            <w:tcBorders>
              <w:top w:val="nil"/>
              <w:left w:val="nil"/>
              <w:bottom w:val="nil"/>
              <w:right w:val="nil"/>
            </w:tcBorders>
            <w:noWrap/>
          </w:tcPr>
          <w:p w14:paraId="0C5B4A6A" w14:textId="77777777" w:rsidR="00684E3F" w:rsidRPr="00050C0A" w:rsidRDefault="00684E3F" w:rsidP="00050C0A">
            <w:pPr>
              <w:spacing w:before="0" w:after="160"/>
              <w:jc w:val="center"/>
              <w:rPr>
                <w:rFonts w:eastAsia="SimSun" w:cs="Arial"/>
                <w:sz w:val="20"/>
                <w:szCs w:val="20"/>
                <w:lang w:val="en-US" w:eastAsia="zh-CN"/>
              </w:rPr>
            </w:pPr>
          </w:p>
          <w:p w14:paraId="254276DD"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5</w:t>
            </w:r>
          </w:p>
        </w:tc>
        <w:tc>
          <w:tcPr>
            <w:tcW w:w="1376" w:type="dxa"/>
            <w:tcBorders>
              <w:top w:val="nil"/>
              <w:left w:val="nil"/>
              <w:bottom w:val="nil"/>
              <w:right w:val="nil"/>
            </w:tcBorders>
            <w:noWrap/>
          </w:tcPr>
          <w:p w14:paraId="01D6B22A" w14:textId="77777777" w:rsidR="00684E3F" w:rsidRPr="00050C0A" w:rsidRDefault="00684E3F" w:rsidP="00050C0A">
            <w:pPr>
              <w:spacing w:before="0" w:after="160"/>
              <w:jc w:val="center"/>
              <w:rPr>
                <w:rFonts w:eastAsia="SimSun" w:cs="Arial"/>
                <w:sz w:val="20"/>
                <w:szCs w:val="20"/>
                <w:lang w:val="en-US" w:eastAsia="zh-CN"/>
              </w:rPr>
            </w:pPr>
          </w:p>
          <w:p w14:paraId="247D9960"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33</w:t>
            </w:r>
          </w:p>
        </w:tc>
        <w:tc>
          <w:tcPr>
            <w:tcW w:w="3194" w:type="dxa"/>
            <w:tcBorders>
              <w:top w:val="nil"/>
              <w:left w:val="nil"/>
              <w:bottom w:val="nil"/>
              <w:right w:val="nil"/>
            </w:tcBorders>
            <w:noWrap/>
          </w:tcPr>
          <w:p w14:paraId="0171C07D" w14:textId="77777777" w:rsidR="00684E3F" w:rsidRPr="00050C0A" w:rsidRDefault="00684E3F" w:rsidP="00050C0A">
            <w:pPr>
              <w:spacing w:before="0" w:after="160"/>
              <w:jc w:val="center"/>
              <w:rPr>
                <w:rFonts w:eastAsia="SimSun" w:cs="Arial"/>
                <w:sz w:val="20"/>
                <w:szCs w:val="20"/>
                <w:lang w:val="en-US" w:eastAsia="zh-CN"/>
              </w:rPr>
            </w:pPr>
          </w:p>
          <w:p w14:paraId="03F21FE7"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15</w:t>
            </w:r>
          </w:p>
        </w:tc>
        <w:tc>
          <w:tcPr>
            <w:tcW w:w="4048" w:type="dxa"/>
            <w:gridSpan w:val="2"/>
            <w:tcBorders>
              <w:top w:val="nil"/>
              <w:left w:val="nil"/>
              <w:bottom w:val="nil"/>
              <w:right w:val="nil"/>
            </w:tcBorders>
            <w:noWrap/>
          </w:tcPr>
          <w:p w14:paraId="7ABEA600" w14:textId="77777777" w:rsidR="00684E3F" w:rsidRPr="00050C0A" w:rsidRDefault="00684E3F" w:rsidP="00050C0A">
            <w:pPr>
              <w:spacing w:before="0" w:after="160"/>
              <w:jc w:val="center"/>
              <w:rPr>
                <w:rFonts w:eastAsia="SimSun" w:cs="Arial"/>
                <w:sz w:val="20"/>
                <w:szCs w:val="20"/>
                <w:lang w:val="en-US" w:eastAsia="zh-CN"/>
              </w:rPr>
            </w:pPr>
          </w:p>
          <w:p w14:paraId="7EF34577"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 xml:space="preserve">FA Level 2 </w:t>
            </w:r>
          </w:p>
        </w:tc>
      </w:tr>
      <w:tr w:rsidR="00050C0A" w:rsidRPr="00050C0A" w14:paraId="32A5E58F" w14:textId="77777777" w:rsidTr="00050C0A">
        <w:trPr>
          <w:gridAfter w:val="1"/>
          <w:wAfter w:w="63" w:type="dxa"/>
          <w:trHeight w:val="319"/>
        </w:trPr>
        <w:tc>
          <w:tcPr>
            <w:tcW w:w="1809" w:type="dxa"/>
            <w:tcBorders>
              <w:top w:val="nil"/>
              <w:left w:val="nil"/>
              <w:bottom w:val="nil"/>
              <w:right w:val="nil"/>
            </w:tcBorders>
            <w:noWrap/>
          </w:tcPr>
          <w:p w14:paraId="4A7986BA" w14:textId="77777777" w:rsidR="00684E3F" w:rsidRPr="00050C0A" w:rsidRDefault="00684E3F" w:rsidP="00050C0A">
            <w:pPr>
              <w:spacing w:before="0" w:after="160"/>
              <w:jc w:val="center"/>
              <w:rPr>
                <w:rFonts w:eastAsia="SimSun" w:cs="Arial"/>
                <w:sz w:val="20"/>
                <w:szCs w:val="20"/>
                <w:lang w:val="en-US" w:eastAsia="zh-CN"/>
              </w:rPr>
            </w:pPr>
          </w:p>
          <w:p w14:paraId="333268D6"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6</w:t>
            </w:r>
          </w:p>
        </w:tc>
        <w:tc>
          <w:tcPr>
            <w:tcW w:w="1376" w:type="dxa"/>
            <w:tcBorders>
              <w:top w:val="nil"/>
              <w:left w:val="nil"/>
              <w:bottom w:val="nil"/>
              <w:right w:val="nil"/>
            </w:tcBorders>
            <w:noWrap/>
          </w:tcPr>
          <w:p w14:paraId="2FEC965C" w14:textId="77777777" w:rsidR="00684E3F" w:rsidRPr="00050C0A" w:rsidRDefault="00684E3F" w:rsidP="00050C0A">
            <w:pPr>
              <w:spacing w:before="0" w:after="160"/>
              <w:jc w:val="center"/>
              <w:rPr>
                <w:rFonts w:eastAsia="SimSun" w:cs="Arial"/>
                <w:sz w:val="20"/>
                <w:szCs w:val="20"/>
                <w:lang w:val="en-US" w:eastAsia="zh-CN"/>
              </w:rPr>
            </w:pPr>
          </w:p>
          <w:p w14:paraId="22511F3D"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42</w:t>
            </w:r>
          </w:p>
        </w:tc>
        <w:tc>
          <w:tcPr>
            <w:tcW w:w="3194" w:type="dxa"/>
            <w:tcBorders>
              <w:top w:val="nil"/>
              <w:left w:val="nil"/>
              <w:bottom w:val="nil"/>
              <w:right w:val="nil"/>
            </w:tcBorders>
            <w:noWrap/>
          </w:tcPr>
          <w:p w14:paraId="1D283C82" w14:textId="77777777" w:rsidR="00684E3F" w:rsidRPr="00050C0A" w:rsidRDefault="00684E3F" w:rsidP="00050C0A">
            <w:pPr>
              <w:spacing w:before="0" w:after="160"/>
              <w:jc w:val="center"/>
              <w:rPr>
                <w:rFonts w:eastAsia="SimSun" w:cs="Arial"/>
                <w:sz w:val="20"/>
                <w:szCs w:val="20"/>
                <w:lang w:val="en-US" w:eastAsia="zh-CN"/>
              </w:rPr>
            </w:pPr>
          </w:p>
          <w:p w14:paraId="2BA5F66F"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10</w:t>
            </w:r>
          </w:p>
        </w:tc>
        <w:tc>
          <w:tcPr>
            <w:tcW w:w="4048" w:type="dxa"/>
            <w:gridSpan w:val="2"/>
            <w:tcBorders>
              <w:top w:val="nil"/>
              <w:left w:val="nil"/>
              <w:bottom w:val="nil"/>
              <w:right w:val="nil"/>
            </w:tcBorders>
            <w:noWrap/>
          </w:tcPr>
          <w:p w14:paraId="18EBC470" w14:textId="77777777" w:rsidR="00684E3F" w:rsidRPr="00050C0A" w:rsidRDefault="00684E3F" w:rsidP="00050C0A">
            <w:pPr>
              <w:spacing w:before="0" w:after="160"/>
              <w:jc w:val="center"/>
              <w:rPr>
                <w:rFonts w:eastAsia="SimSun" w:cs="Arial"/>
                <w:sz w:val="20"/>
                <w:szCs w:val="20"/>
                <w:lang w:val="en-US" w:eastAsia="zh-CN"/>
              </w:rPr>
            </w:pPr>
          </w:p>
          <w:p w14:paraId="27DBB470"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FA Level 2</w:t>
            </w:r>
          </w:p>
        </w:tc>
      </w:tr>
      <w:tr w:rsidR="00050C0A" w:rsidRPr="00050C0A" w14:paraId="059E852E" w14:textId="77777777" w:rsidTr="00050C0A">
        <w:trPr>
          <w:gridAfter w:val="1"/>
          <w:wAfter w:w="63" w:type="dxa"/>
          <w:trHeight w:val="211"/>
        </w:trPr>
        <w:tc>
          <w:tcPr>
            <w:tcW w:w="1809" w:type="dxa"/>
            <w:tcBorders>
              <w:top w:val="nil"/>
              <w:left w:val="nil"/>
              <w:bottom w:val="nil"/>
              <w:right w:val="nil"/>
            </w:tcBorders>
            <w:noWrap/>
          </w:tcPr>
          <w:p w14:paraId="2164739F" w14:textId="77777777" w:rsidR="00684E3F" w:rsidRPr="00050C0A" w:rsidRDefault="00684E3F" w:rsidP="00050C0A">
            <w:pPr>
              <w:spacing w:before="0" w:after="160"/>
              <w:jc w:val="center"/>
              <w:rPr>
                <w:rFonts w:eastAsia="SimSun" w:cs="Arial"/>
                <w:sz w:val="20"/>
                <w:szCs w:val="20"/>
                <w:lang w:val="en-US" w:eastAsia="zh-CN"/>
              </w:rPr>
            </w:pPr>
          </w:p>
          <w:p w14:paraId="25B457FB"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7</w:t>
            </w:r>
          </w:p>
        </w:tc>
        <w:tc>
          <w:tcPr>
            <w:tcW w:w="1376" w:type="dxa"/>
            <w:tcBorders>
              <w:top w:val="nil"/>
              <w:left w:val="nil"/>
              <w:bottom w:val="nil"/>
              <w:right w:val="nil"/>
            </w:tcBorders>
            <w:noWrap/>
          </w:tcPr>
          <w:p w14:paraId="129FFB06" w14:textId="77777777" w:rsidR="00684E3F" w:rsidRPr="00050C0A" w:rsidRDefault="00684E3F" w:rsidP="00050C0A">
            <w:pPr>
              <w:spacing w:before="0" w:after="160"/>
              <w:jc w:val="center"/>
              <w:rPr>
                <w:rFonts w:eastAsia="SimSun" w:cs="Arial"/>
                <w:sz w:val="20"/>
                <w:szCs w:val="20"/>
                <w:lang w:val="en-US" w:eastAsia="zh-CN"/>
              </w:rPr>
            </w:pPr>
          </w:p>
          <w:p w14:paraId="1E6DC98F"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23</w:t>
            </w:r>
          </w:p>
        </w:tc>
        <w:tc>
          <w:tcPr>
            <w:tcW w:w="3194" w:type="dxa"/>
            <w:tcBorders>
              <w:top w:val="nil"/>
              <w:left w:val="nil"/>
              <w:bottom w:val="nil"/>
              <w:right w:val="nil"/>
            </w:tcBorders>
            <w:noWrap/>
          </w:tcPr>
          <w:p w14:paraId="74DA2526" w14:textId="77777777" w:rsidR="00684E3F" w:rsidRPr="00050C0A" w:rsidRDefault="00684E3F" w:rsidP="00050C0A">
            <w:pPr>
              <w:spacing w:before="0" w:after="160"/>
              <w:jc w:val="center"/>
              <w:rPr>
                <w:rFonts w:eastAsia="SimSun" w:cs="Arial"/>
                <w:sz w:val="20"/>
                <w:szCs w:val="20"/>
                <w:lang w:val="en-US" w:eastAsia="zh-CN"/>
              </w:rPr>
            </w:pPr>
          </w:p>
          <w:p w14:paraId="6FD01777"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8</w:t>
            </w:r>
          </w:p>
        </w:tc>
        <w:tc>
          <w:tcPr>
            <w:tcW w:w="4048" w:type="dxa"/>
            <w:gridSpan w:val="2"/>
            <w:tcBorders>
              <w:top w:val="nil"/>
              <w:left w:val="nil"/>
              <w:bottom w:val="nil"/>
              <w:right w:val="nil"/>
            </w:tcBorders>
            <w:noWrap/>
          </w:tcPr>
          <w:p w14:paraId="1D212964" w14:textId="77777777" w:rsidR="00684E3F" w:rsidRPr="00050C0A" w:rsidRDefault="00684E3F" w:rsidP="00050C0A">
            <w:pPr>
              <w:spacing w:before="0" w:after="160"/>
              <w:jc w:val="center"/>
              <w:rPr>
                <w:rFonts w:eastAsia="SimSun" w:cs="Arial"/>
                <w:sz w:val="20"/>
                <w:szCs w:val="20"/>
                <w:lang w:val="en-US" w:eastAsia="zh-CN"/>
              </w:rPr>
            </w:pPr>
          </w:p>
          <w:p w14:paraId="1C3DB03B"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UEFA B</w:t>
            </w:r>
          </w:p>
        </w:tc>
      </w:tr>
      <w:tr w:rsidR="00050C0A" w:rsidRPr="00050C0A" w14:paraId="1D21813F" w14:textId="77777777" w:rsidTr="00050C0A">
        <w:trPr>
          <w:gridAfter w:val="1"/>
          <w:wAfter w:w="63" w:type="dxa"/>
          <w:trHeight w:val="503"/>
        </w:trPr>
        <w:tc>
          <w:tcPr>
            <w:tcW w:w="1809" w:type="dxa"/>
            <w:tcBorders>
              <w:top w:val="nil"/>
              <w:left w:val="nil"/>
              <w:bottom w:val="single" w:sz="4" w:space="0" w:color="auto"/>
              <w:right w:val="nil"/>
            </w:tcBorders>
            <w:noWrap/>
          </w:tcPr>
          <w:p w14:paraId="2D67DC9A" w14:textId="77777777" w:rsidR="00684E3F" w:rsidRPr="00050C0A" w:rsidRDefault="00684E3F" w:rsidP="00050C0A">
            <w:pPr>
              <w:spacing w:before="0" w:after="160"/>
              <w:jc w:val="center"/>
              <w:rPr>
                <w:rFonts w:eastAsia="SimSun" w:cs="Arial"/>
                <w:sz w:val="20"/>
                <w:szCs w:val="20"/>
                <w:lang w:val="en-US" w:eastAsia="zh-CN"/>
              </w:rPr>
            </w:pPr>
          </w:p>
          <w:p w14:paraId="0486BDD7"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8</w:t>
            </w:r>
          </w:p>
        </w:tc>
        <w:tc>
          <w:tcPr>
            <w:tcW w:w="1376" w:type="dxa"/>
            <w:tcBorders>
              <w:top w:val="nil"/>
              <w:left w:val="nil"/>
              <w:bottom w:val="single" w:sz="4" w:space="0" w:color="auto"/>
              <w:right w:val="nil"/>
            </w:tcBorders>
            <w:noWrap/>
          </w:tcPr>
          <w:p w14:paraId="402D95EE" w14:textId="77777777" w:rsidR="00684E3F" w:rsidRPr="00050C0A" w:rsidRDefault="00684E3F" w:rsidP="00050C0A">
            <w:pPr>
              <w:spacing w:before="0" w:after="160"/>
              <w:rPr>
                <w:rFonts w:eastAsia="SimSun" w:cs="Arial"/>
                <w:sz w:val="20"/>
                <w:szCs w:val="20"/>
                <w:lang w:val="en-US" w:eastAsia="zh-CN"/>
              </w:rPr>
            </w:pPr>
          </w:p>
          <w:p w14:paraId="2FDDA779"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39</w:t>
            </w:r>
          </w:p>
        </w:tc>
        <w:tc>
          <w:tcPr>
            <w:tcW w:w="3194" w:type="dxa"/>
            <w:tcBorders>
              <w:top w:val="nil"/>
              <w:left w:val="nil"/>
              <w:bottom w:val="single" w:sz="4" w:space="0" w:color="auto"/>
              <w:right w:val="nil"/>
            </w:tcBorders>
            <w:noWrap/>
          </w:tcPr>
          <w:p w14:paraId="656EA8E4" w14:textId="77777777" w:rsidR="00684E3F" w:rsidRPr="00050C0A" w:rsidRDefault="00684E3F" w:rsidP="00050C0A">
            <w:pPr>
              <w:spacing w:before="0" w:after="160"/>
              <w:jc w:val="center"/>
              <w:rPr>
                <w:rFonts w:eastAsia="SimSun" w:cs="Arial"/>
                <w:sz w:val="20"/>
                <w:szCs w:val="20"/>
                <w:lang w:val="en-US" w:eastAsia="zh-CN"/>
              </w:rPr>
            </w:pPr>
          </w:p>
          <w:p w14:paraId="61522E29"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18</w:t>
            </w:r>
          </w:p>
        </w:tc>
        <w:tc>
          <w:tcPr>
            <w:tcW w:w="4048" w:type="dxa"/>
            <w:gridSpan w:val="2"/>
            <w:tcBorders>
              <w:top w:val="nil"/>
              <w:left w:val="nil"/>
              <w:bottom w:val="single" w:sz="4" w:space="0" w:color="auto"/>
              <w:right w:val="nil"/>
            </w:tcBorders>
            <w:noWrap/>
          </w:tcPr>
          <w:p w14:paraId="28C1B3FC" w14:textId="77777777" w:rsidR="00684E3F" w:rsidRPr="00050C0A" w:rsidRDefault="00684E3F" w:rsidP="00050C0A">
            <w:pPr>
              <w:spacing w:before="0" w:after="160"/>
              <w:jc w:val="center"/>
              <w:rPr>
                <w:rFonts w:eastAsia="SimSun" w:cs="Arial"/>
                <w:sz w:val="20"/>
                <w:szCs w:val="20"/>
                <w:lang w:val="en-US" w:eastAsia="zh-CN"/>
              </w:rPr>
            </w:pPr>
          </w:p>
          <w:p w14:paraId="2A22A343" w14:textId="77777777" w:rsidR="00684E3F" w:rsidRPr="00050C0A" w:rsidRDefault="00684E3F" w:rsidP="00050C0A">
            <w:pPr>
              <w:spacing w:before="0" w:after="160"/>
              <w:jc w:val="center"/>
              <w:rPr>
                <w:rFonts w:eastAsia="SimSun" w:cs="Arial"/>
                <w:sz w:val="20"/>
                <w:szCs w:val="20"/>
                <w:lang w:val="en-US" w:eastAsia="zh-CN"/>
              </w:rPr>
            </w:pPr>
            <w:r w:rsidRPr="00050C0A">
              <w:rPr>
                <w:rFonts w:eastAsia="SimSun" w:cs="Arial"/>
                <w:sz w:val="20"/>
                <w:szCs w:val="20"/>
                <w:lang w:val="en-US" w:eastAsia="zh-CN"/>
              </w:rPr>
              <w:t>UEFA A</w:t>
            </w:r>
          </w:p>
          <w:p w14:paraId="0DDE1D94" w14:textId="77777777" w:rsidR="00684E3F" w:rsidRPr="00050C0A" w:rsidRDefault="00684E3F" w:rsidP="00050C0A">
            <w:pPr>
              <w:spacing w:before="0" w:after="160"/>
              <w:jc w:val="center"/>
              <w:rPr>
                <w:rFonts w:eastAsia="SimSun" w:cs="Arial"/>
                <w:sz w:val="20"/>
                <w:szCs w:val="20"/>
                <w:lang w:val="en-US" w:eastAsia="zh-CN"/>
              </w:rPr>
            </w:pPr>
          </w:p>
        </w:tc>
      </w:tr>
    </w:tbl>
    <w:p w14:paraId="3459AB79" w14:textId="77777777" w:rsidR="009E4EE0" w:rsidRPr="00050C0A" w:rsidRDefault="009E4EE0" w:rsidP="00F43304">
      <w:pPr>
        <w:spacing w:before="0" w:after="160" w:line="480" w:lineRule="auto"/>
        <w:ind w:firstLine="454"/>
        <w:rPr>
          <w:rFonts w:eastAsia="Calibri" w:cs="Times New Roman"/>
          <w:szCs w:val="24"/>
        </w:rPr>
      </w:pPr>
    </w:p>
    <w:p w14:paraId="7B3049F6" w14:textId="294338FC" w:rsidR="008B4121" w:rsidRPr="00050C0A" w:rsidRDefault="00CF506B" w:rsidP="005D2276">
      <w:pPr>
        <w:spacing w:line="480" w:lineRule="auto"/>
        <w:rPr>
          <w:lang w:eastAsia="en-GB"/>
        </w:rPr>
      </w:pPr>
      <w:r w:rsidRPr="00050C0A">
        <w:rPr>
          <w:i/>
          <w:iCs/>
          <w:lang w:eastAsia="en-GB"/>
        </w:rPr>
        <w:t>Procedur</w:t>
      </w:r>
      <w:bookmarkEnd w:id="7"/>
      <w:r w:rsidR="008B4121" w:rsidRPr="00050C0A">
        <w:rPr>
          <w:i/>
          <w:iCs/>
          <w:lang w:eastAsia="en-GB"/>
        </w:rPr>
        <w:t>e</w:t>
      </w:r>
    </w:p>
    <w:p w14:paraId="40CEA310" w14:textId="38954AFC" w:rsidR="0094557F" w:rsidRPr="00050C0A" w:rsidRDefault="008B4121" w:rsidP="0094557F">
      <w:pPr>
        <w:spacing w:line="480" w:lineRule="auto"/>
        <w:ind w:firstLine="454"/>
        <w:rPr>
          <w:rFonts w:eastAsia="Calibri" w:cs="Times New Roman"/>
          <w:szCs w:val="24"/>
        </w:rPr>
      </w:pPr>
      <w:r w:rsidRPr="00050C0A">
        <w:rPr>
          <w:lang w:eastAsia="en-GB"/>
        </w:rPr>
        <w:tab/>
      </w:r>
      <w:r w:rsidR="0094557F" w:rsidRPr="00050C0A">
        <w:rPr>
          <w:rFonts w:eastAsia="Calibri" w:cs="Times New Roman"/>
          <w:szCs w:val="24"/>
        </w:rPr>
        <w:t xml:space="preserve">Individual interviews were carried out with each participant </w:t>
      </w:r>
      <w:r w:rsidR="00E91E14" w:rsidRPr="00050C0A">
        <w:rPr>
          <w:rFonts w:eastAsia="Calibri" w:cs="Times New Roman"/>
          <w:szCs w:val="24"/>
        </w:rPr>
        <w:t>via internet telephony.</w:t>
      </w:r>
      <w:r w:rsidR="0094557F" w:rsidRPr="00050C0A">
        <w:rPr>
          <w:rFonts w:eastAsia="Calibri" w:cs="Times New Roman"/>
          <w:szCs w:val="24"/>
        </w:rPr>
        <w:t xml:space="preserve"> A novel semi-structured interview guide (see supplementary information) was used to facilitate each interview. Development of the guide was informed by: (</w:t>
      </w:r>
      <w:proofErr w:type="spellStart"/>
      <w:r w:rsidR="0094557F" w:rsidRPr="00050C0A">
        <w:rPr>
          <w:rFonts w:eastAsia="Calibri" w:cs="Times New Roman"/>
          <w:szCs w:val="24"/>
        </w:rPr>
        <w:t>i</w:t>
      </w:r>
      <w:proofErr w:type="spellEnd"/>
      <w:r w:rsidR="0094557F" w:rsidRPr="00050C0A">
        <w:rPr>
          <w:rFonts w:eastAsia="Calibri" w:cs="Times New Roman"/>
          <w:szCs w:val="24"/>
        </w:rPr>
        <w:t>) relevant theoretical understanding of contemporary learning theories and the organisation of practice activity in youth football</w:t>
      </w:r>
      <w:r w:rsidR="009D0AAD" w:rsidRPr="00050C0A">
        <w:rPr>
          <w:rFonts w:eastAsia="Calibri" w:cs="Times New Roman"/>
          <w:szCs w:val="24"/>
        </w:rPr>
        <w:t>,</w:t>
      </w:r>
      <w:r w:rsidR="00BE4BFD" w:rsidRPr="00050C0A">
        <w:rPr>
          <w:rFonts w:eastAsia="Calibri" w:cs="Times New Roman"/>
          <w:szCs w:val="24"/>
          <w:vertAlign w:val="superscript"/>
        </w:rPr>
        <w:t xml:space="preserve">13, 40 </w:t>
      </w:r>
      <w:r w:rsidR="0094557F" w:rsidRPr="00050C0A">
        <w:rPr>
          <w:rFonts w:eastAsia="Calibri" w:cs="Times New Roman"/>
          <w:szCs w:val="24"/>
        </w:rPr>
        <w:t>(ii) research into the FA’s current approach to coach education</w:t>
      </w:r>
      <w:r w:rsidR="009D0AAD" w:rsidRPr="00050C0A">
        <w:rPr>
          <w:rFonts w:eastAsia="Calibri" w:cs="Times New Roman"/>
          <w:szCs w:val="24"/>
        </w:rPr>
        <w:t>,</w:t>
      </w:r>
      <w:r w:rsidR="00BE4BFD" w:rsidRPr="00050C0A">
        <w:rPr>
          <w:rFonts w:eastAsia="Calibri" w:cs="Times New Roman"/>
          <w:szCs w:val="24"/>
          <w:vertAlign w:val="superscript"/>
        </w:rPr>
        <w:t>8, 38</w:t>
      </w:r>
      <w:r w:rsidR="0094557F" w:rsidRPr="00050C0A">
        <w:rPr>
          <w:rFonts w:eastAsia="Calibri" w:cs="Times New Roman"/>
          <w:szCs w:val="24"/>
        </w:rPr>
        <w:t>(iii) previous investigations into the experiential knowledge of sports coaches</w:t>
      </w:r>
      <w:r w:rsidR="00BE4BFD" w:rsidRPr="00050C0A">
        <w:rPr>
          <w:rFonts w:eastAsia="Calibri" w:cs="Times New Roman"/>
          <w:szCs w:val="24"/>
        </w:rPr>
        <w:t>,</w:t>
      </w:r>
      <w:r w:rsidR="00BE4BFD" w:rsidRPr="00050C0A">
        <w:rPr>
          <w:rFonts w:eastAsia="Calibri" w:cs="Times New Roman"/>
          <w:szCs w:val="24"/>
          <w:vertAlign w:val="superscript"/>
        </w:rPr>
        <w:t xml:space="preserve">35, 43 </w:t>
      </w:r>
      <w:r w:rsidR="0094557F" w:rsidRPr="00050C0A">
        <w:rPr>
          <w:rFonts w:eastAsia="Calibri" w:cs="Times New Roman"/>
          <w:szCs w:val="24"/>
        </w:rPr>
        <w:t xml:space="preserve">and (iv) the author’s experience of applied coaching practice. </w:t>
      </w:r>
    </w:p>
    <w:p w14:paraId="174FAC9D" w14:textId="5E7B2596" w:rsidR="00CE0A9D" w:rsidRPr="00050C0A" w:rsidRDefault="0094557F" w:rsidP="0094557F">
      <w:pPr>
        <w:spacing w:before="0" w:after="160" w:line="480" w:lineRule="auto"/>
        <w:ind w:firstLine="454"/>
        <w:rPr>
          <w:rFonts w:eastAsia="Calibri" w:cs="Times New Roman"/>
          <w:szCs w:val="24"/>
        </w:rPr>
      </w:pPr>
      <w:r w:rsidRPr="00050C0A">
        <w:rPr>
          <w:rFonts w:eastAsia="Calibri" w:cs="Times New Roman"/>
          <w:szCs w:val="24"/>
        </w:rPr>
        <w:t>The interview guide was split into three main sections, comprising of: career history, applied practice</w:t>
      </w:r>
      <w:r w:rsidR="009D0AAD" w:rsidRPr="00050C0A">
        <w:rPr>
          <w:rFonts w:eastAsia="Calibri" w:cs="Times New Roman"/>
          <w:szCs w:val="24"/>
        </w:rPr>
        <w:t>,</w:t>
      </w:r>
      <w:r w:rsidRPr="00050C0A">
        <w:rPr>
          <w:rFonts w:eastAsia="Calibri" w:cs="Times New Roman"/>
          <w:szCs w:val="24"/>
        </w:rPr>
        <w:t xml:space="preserve"> and coach development and learning. The aim of each section was to gain an understanding of different aspects of the coach’s career and discuss sources or experiences that have informed their practice. To assess how successful the interview guide was in achieving this, pilot interviews were run with a separate sample of two participants that had experience in coaching youth football. Following these interviews, minor modifications were made concerning the specificity of questions into the coach’s organisation and practice set-up, as both interviewees highlighted that recounting precise practice techniques was challenging. Each interview was audio recorded and transcribed verbatim for later analysis.</w:t>
      </w:r>
    </w:p>
    <w:p w14:paraId="7E36B2CC" w14:textId="6FF1FB5B" w:rsidR="00CF506B" w:rsidRPr="00050C0A" w:rsidRDefault="00CF506B" w:rsidP="005D2276">
      <w:pPr>
        <w:spacing w:line="480" w:lineRule="auto"/>
        <w:rPr>
          <w:i/>
          <w:iCs/>
          <w:lang w:eastAsia="en-GB"/>
        </w:rPr>
      </w:pPr>
      <w:bookmarkStart w:id="9" w:name="_Toc13755078"/>
      <w:r w:rsidRPr="00050C0A">
        <w:rPr>
          <w:i/>
          <w:iCs/>
          <w:lang w:eastAsia="en-GB"/>
        </w:rPr>
        <w:t>Data Analysis</w:t>
      </w:r>
      <w:bookmarkEnd w:id="9"/>
    </w:p>
    <w:p w14:paraId="1AA594AB" w14:textId="688DAD60" w:rsidR="00887FCC" w:rsidRPr="00050C0A" w:rsidRDefault="00CF506B" w:rsidP="00093853">
      <w:pPr>
        <w:spacing w:line="480" w:lineRule="auto"/>
        <w:ind w:firstLine="454"/>
        <w:rPr>
          <w:rFonts w:eastAsia="Calibri" w:cs="Times New Roman"/>
          <w:szCs w:val="24"/>
        </w:rPr>
      </w:pPr>
      <w:r w:rsidRPr="00050C0A">
        <w:rPr>
          <w:rFonts w:eastAsia="Times New Roman" w:cs="Times New Roman"/>
          <w:szCs w:val="24"/>
          <w:lang w:eastAsia="en-GB"/>
        </w:rPr>
        <w:tab/>
      </w:r>
      <w:bookmarkStart w:id="10" w:name="_Toc13755079"/>
      <w:r w:rsidR="00093853" w:rsidRPr="00050C0A">
        <w:rPr>
          <w:rFonts w:eastAsia="Calibri" w:cs="Times New Roman"/>
          <w:szCs w:val="24"/>
        </w:rPr>
        <w:t>Interviews ranged from 35 minutes to 55 minutes in duration (</w:t>
      </w:r>
      <w:r w:rsidR="00093853" w:rsidRPr="00050C0A">
        <w:rPr>
          <w:rFonts w:eastAsia="Calibri" w:cs="Times New Roman"/>
          <w:i/>
          <w:iCs/>
          <w:szCs w:val="24"/>
        </w:rPr>
        <w:t>M =</w:t>
      </w:r>
      <w:r w:rsidR="00093853" w:rsidRPr="00050C0A">
        <w:rPr>
          <w:rFonts w:eastAsia="Calibri" w:cs="Times New Roman"/>
          <w:szCs w:val="24"/>
        </w:rPr>
        <w:t xml:space="preserve"> 41 minutes, </w:t>
      </w:r>
      <w:r w:rsidR="00093853" w:rsidRPr="00050C0A">
        <w:rPr>
          <w:rFonts w:eastAsia="Calibri" w:cs="Times New Roman"/>
          <w:i/>
          <w:iCs/>
          <w:szCs w:val="24"/>
        </w:rPr>
        <w:t>SD</w:t>
      </w:r>
      <w:r w:rsidR="00093853" w:rsidRPr="00050C0A">
        <w:rPr>
          <w:rFonts w:eastAsia="Calibri" w:cs="Times New Roman"/>
          <w:szCs w:val="24"/>
        </w:rPr>
        <w:t xml:space="preserve"> = 8 minutes). To analyse the data, thematic analysis was selected due to its suitability </w:t>
      </w:r>
      <w:r w:rsidR="009D0AAD" w:rsidRPr="00050C0A">
        <w:rPr>
          <w:rFonts w:eastAsia="Calibri" w:cs="Times New Roman"/>
          <w:szCs w:val="24"/>
        </w:rPr>
        <w:t>for</w:t>
      </w:r>
      <w:r w:rsidR="00093853" w:rsidRPr="00050C0A">
        <w:rPr>
          <w:rFonts w:eastAsia="Calibri" w:cs="Times New Roman"/>
          <w:szCs w:val="24"/>
        </w:rPr>
        <w:t xml:space="preserve"> extracting rich descriptive accounts and identifying common themes across cases</w:t>
      </w:r>
      <w:r w:rsidR="00C816E8" w:rsidRPr="00050C0A">
        <w:rPr>
          <w:rFonts w:eastAsia="Calibri" w:cs="Times New Roman"/>
          <w:szCs w:val="24"/>
        </w:rPr>
        <w:t>.</w:t>
      </w:r>
      <w:r w:rsidR="00C816E8" w:rsidRPr="00050C0A">
        <w:rPr>
          <w:rFonts w:eastAsia="Calibri" w:cs="Times New Roman"/>
          <w:szCs w:val="24"/>
          <w:vertAlign w:val="superscript"/>
        </w:rPr>
        <w:t xml:space="preserve">46, 47 </w:t>
      </w:r>
      <w:r w:rsidR="00093853" w:rsidRPr="00050C0A">
        <w:rPr>
          <w:rFonts w:eastAsia="Calibri" w:cs="Times New Roman"/>
          <w:szCs w:val="24"/>
        </w:rPr>
        <w:t>Accepting that the experiences of the coaches could differ significantly from one another, an inductive approach was taken. In line with Braun and Clarke’s framework for conducting thematic analysis,</w:t>
      </w:r>
      <w:r w:rsidR="00C816E8" w:rsidRPr="00050C0A">
        <w:rPr>
          <w:rFonts w:eastAsia="Calibri" w:cs="Times New Roman"/>
          <w:szCs w:val="24"/>
          <w:vertAlign w:val="superscript"/>
        </w:rPr>
        <w:t>46</w:t>
      </w:r>
      <w:r w:rsidR="00093853" w:rsidRPr="00050C0A">
        <w:rPr>
          <w:rFonts w:eastAsia="Calibri" w:cs="Times New Roman"/>
          <w:szCs w:val="24"/>
        </w:rPr>
        <w:t xml:space="preserve"> the first stage of this approach involved the lead author </w:t>
      </w:r>
      <w:r w:rsidR="009D0AAD" w:rsidRPr="00050C0A">
        <w:rPr>
          <w:rFonts w:eastAsia="Calibri" w:cs="Times New Roman"/>
          <w:szCs w:val="24"/>
        </w:rPr>
        <w:t xml:space="preserve">becoming </w:t>
      </w:r>
      <w:r w:rsidR="00093853" w:rsidRPr="00050C0A">
        <w:rPr>
          <w:rFonts w:eastAsia="Calibri" w:cs="Times New Roman"/>
          <w:szCs w:val="24"/>
        </w:rPr>
        <w:t>familiar with the transcripts, before working systematically through the data set to generate initial codes. These codes were then sorted into potential themes and represented visually in the form of a thematic map, which encouraged the lead author to think vertically and horizontally about the data</w:t>
      </w:r>
      <w:r w:rsidR="00321D16" w:rsidRPr="00050C0A">
        <w:rPr>
          <w:rFonts w:eastAsia="Calibri" w:cs="Times New Roman"/>
          <w:szCs w:val="24"/>
        </w:rPr>
        <w:t>.</w:t>
      </w:r>
      <w:r w:rsidR="00321D16" w:rsidRPr="00050C0A">
        <w:rPr>
          <w:rFonts w:eastAsia="Calibri" w:cs="Times New Roman"/>
          <w:szCs w:val="24"/>
          <w:vertAlign w:val="superscript"/>
        </w:rPr>
        <w:t xml:space="preserve">48 </w:t>
      </w:r>
      <w:r w:rsidR="00093853" w:rsidRPr="00050C0A">
        <w:rPr>
          <w:rFonts w:eastAsia="Calibri" w:cs="Times New Roman"/>
          <w:szCs w:val="24"/>
        </w:rPr>
        <w:t xml:space="preserve">Following this, the themes were reviewed and refined by the lead researcher before being presented to the co-authors, who acted as critical friends by questioning and challenging the suitability of the derived themes. Once a consensus was reached on the accuracy with which the themes represented the data, the themes were defined and named. </w:t>
      </w:r>
    </w:p>
    <w:p w14:paraId="46539247" w14:textId="6DEE4234" w:rsidR="00CF506B" w:rsidRPr="00050C0A" w:rsidRDefault="003E183B" w:rsidP="00537380">
      <w:pPr>
        <w:rPr>
          <w:i/>
          <w:iCs/>
          <w:lang w:eastAsia="en-GB"/>
        </w:rPr>
      </w:pPr>
      <w:r w:rsidRPr="00050C0A">
        <w:rPr>
          <w:i/>
          <w:iCs/>
          <w:lang w:eastAsia="en-GB"/>
        </w:rPr>
        <w:t>Methodological</w:t>
      </w:r>
      <w:r w:rsidR="00F75883" w:rsidRPr="00050C0A">
        <w:rPr>
          <w:i/>
          <w:iCs/>
          <w:lang w:eastAsia="en-GB"/>
        </w:rPr>
        <w:t xml:space="preserve"> </w:t>
      </w:r>
      <w:r w:rsidR="00CF506B" w:rsidRPr="00050C0A">
        <w:rPr>
          <w:i/>
          <w:iCs/>
          <w:lang w:eastAsia="en-GB"/>
        </w:rPr>
        <w:t>Rigour</w:t>
      </w:r>
      <w:bookmarkEnd w:id="10"/>
    </w:p>
    <w:p w14:paraId="017C88CF" w14:textId="36CF2E84" w:rsidR="00537380" w:rsidRPr="00050C0A" w:rsidRDefault="00CF506B" w:rsidP="00093853">
      <w:pPr>
        <w:spacing w:line="480" w:lineRule="auto"/>
        <w:ind w:firstLine="454"/>
        <w:rPr>
          <w:rFonts w:eastAsia="Calibri" w:cs="Times New Roman"/>
          <w:szCs w:val="24"/>
        </w:rPr>
      </w:pPr>
      <w:r w:rsidRPr="00050C0A">
        <w:rPr>
          <w:rFonts w:eastAsia="Times New Roman" w:cs="Times New Roman"/>
          <w:szCs w:val="24"/>
          <w:lang w:eastAsia="en-GB"/>
        </w:rPr>
        <w:tab/>
      </w:r>
      <w:bookmarkStart w:id="11" w:name="_Toc13755080"/>
      <w:r w:rsidR="00093853" w:rsidRPr="00050C0A">
        <w:rPr>
          <w:rFonts w:eastAsia="Calibri" w:cs="Times New Roman"/>
          <w:szCs w:val="24"/>
        </w:rPr>
        <w:t>Methodological rigour was conceptualised from a relativist position meaning techniques specific to the project’s a</w:t>
      </w:r>
      <w:r w:rsidR="00114CEB" w:rsidRPr="00050C0A">
        <w:rPr>
          <w:rFonts w:eastAsia="Calibri" w:cs="Times New Roman"/>
          <w:szCs w:val="24"/>
        </w:rPr>
        <w:t>ims and design were chosen</w:t>
      </w:r>
      <w:r w:rsidR="00093853" w:rsidRPr="00050C0A">
        <w:rPr>
          <w:rFonts w:eastAsia="Calibri" w:cs="Times New Roman"/>
          <w:szCs w:val="24"/>
        </w:rPr>
        <w:t>.</w:t>
      </w:r>
      <w:r w:rsidR="00114CEB" w:rsidRPr="00050C0A">
        <w:rPr>
          <w:rFonts w:eastAsia="Calibri" w:cs="Times New Roman"/>
          <w:szCs w:val="24"/>
          <w:vertAlign w:val="superscript"/>
        </w:rPr>
        <w:t>49, 50</w:t>
      </w:r>
      <w:r w:rsidR="00093853" w:rsidRPr="00050C0A">
        <w:rPr>
          <w:rFonts w:eastAsia="Calibri" w:cs="Times New Roman"/>
          <w:szCs w:val="24"/>
        </w:rPr>
        <w:t xml:space="preserve"> First, purposeful sampling with specific criteria (e.g., current employment and coaching qualifications) was used to ensure participants had sufficient experience to fully satisf</w:t>
      </w:r>
      <w:r w:rsidR="00D6480B" w:rsidRPr="00050C0A">
        <w:rPr>
          <w:rFonts w:eastAsia="Calibri" w:cs="Times New Roman"/>
          <w:szCs w:val="24"/>
        </w:rPr>
        <w:t>y the research question</w:t>
      </w:r>
      <w:r w:rsidR="00093853" w:rsidRPr="00050C0A">
        <w:rPr>
          <w:rFonts w:eastAsia="Calibri" w:cs="Times New Roman"/>
          <w:szCs w:val="24"/>
        </w:rPr>
        <w:t>.</w:t>
      </w:r>
      <w:r w:rsidR="00D6480B" w:rsidRPr="00050C0A">
        <w:rPr>
          <w:rFonts w:eastAsia="Calibri" w:cs="Times New Roman"/>
          <w:szCs w:val="24"/>
          <w:vertAlign w:val="superscript"/>
        </w:rPr>
        <w:t>51</w:t>
      </w:r>
      <w:r w:rsidR="00093853" w:rsidRPr="00050C0A">
        <w:rPr>
          <w:rFonts w:eastAsia="Calibri" w:cs="Times New Roman"/>
          <w:szCs w:val="24"/>
        </w:rPr>
        <w:t xml:space="preserve"> Accepting that the lead author’s experiences of youth football coaching were inextricably linked to the research process and interpretation of the data, the co-authors also acted as critical friends by encouraging reflexivity about the lead author’s own biases for conducting the research (i.e., as a practising youth football coach) and alternative explanations of the f</w:t>
      </w:r>
      <w:r w:rsidR="00D6480B" w:rsidRPr="00050C0A">
        <w:rPr>
          <w:rFonts w:eastAsia="Calibri" w:cs="Times New Roman"/>
          <w:szCs w:val="24"/>
        </w:rPr>
        <w:t>indings</w:t>
      </w:r>
      <w:r w:rsidR="00093853" w:rsidRPr="00050C0A">
        <w:rPr>
          <w:rFonts w:eastAsia="Calibri" w:cs="Times New Roman"/>
          <w:szCs w:val="24"/>
        </w:rPr>
        <w:t>.</w:t>
      </w:r>
      <w:r w:rsidR="00D6480B" w:rsidRPr="00050C0A">
        <w:rPr>
          <w:rFonts w:eastAsia="Calibri" w:cs="Times New Roman"/>
          <w:szCs w:val="24"/>
          <w:vertAlign w:val="superscript"/>
        </w:rPr>
        <w:t>50</w:t>
      </w:r>
      <w:r w:rsidR="00093853" w:rsidRPr="00050C0A">
        <w:rPr>
          <w:rFonts w:eastAsia="Calibri" w:cs="Times New Roman"/>
          <w:szCs w:val="24"/>
        </w:rPr>
        <w:t xml:space="preserve"> Although the prior experiences of working in youth football are undoubtably tied to the research project, it is hoped that the lead author’s knowledge of skill acquisition, representative design, and applied coaching practice has served to enrich the interpretation of findings </w:t>
      </w:r>
      <w:r w:rsidR="00F53CBE" w:rsidRPr="00050C0A">
        <w:rPr>
          <w:rFonts w:eastAsia="Calibri" w:cs="Times New Roman"/>
          <w:szCs w:val="24"/>
        </w:rPr>
        <w:t>rather than</w:t>
      </w:r>
      <w:r w:rsidR="00093853" w:rsidRPr="00050C0A">
        <w:rPr>
          <w:rFonts w:eastAsia="Calibri" w:cs="Times New Roman"/>
          <w:szCs w:val="24"/>
        </w:rPr>
        <w:t xml:space="preserve"> compromis</w:t>
      </w:r>
      <w:r w:rsidR="00F53CBE" w:rsidRPr="00050C0A">
        <w:rPr>
          <w:rFonts w:eastAsia="Calibri" w:cs="Times New Roman"/>
          <w:szCs w:val="24"/>
        </w:rPr>
        <w:t>ing</w:t>
      </w:r>
      <w:r w:rsidR="00D6480B" w:rsidRPr="00050C0A">
        <w:rPr>
          <w:rFonts w:eastAsia="Calibri" w:cs="Times New Roman"/>
          <w:szCs w:val="24"/>
        </w:rPr>
        <w:t xml:space="preserve"> them</w:t>
      </w:r>
      <w:r w:rsidR="00E657F6" w:rsidRPr="00050C0A">
        <w:rPr>
          <w:rFonts w:eastAsia="Calibri" w:cs="Times New Roman"/>
          <w:szCs w:val="24"/>
        </w:rPr>
        <w:t>.</w:t>
      </w:r>
      <w:r w:rsidR="00D6480B" w:rsidRPr="00050C0A">
        <w:rPr>
          <w:rFonts w:eastAsia="Calibri" w:cs="Times New Roman"/>
          <w:szCs w:val="24"/>
          <w:vertAlign w:val="superscript"/>
        </w:rPr>
        <w:t>52</w:t>
      </w:r>
      <w:r w:rsidR="00093853" w:rsidRPr="00050C0A">
        <w:rPr>
          <w:rFonts w:eastAsia="Calibri" w:cs="Times New Roman"/>
          <w:szCs w:val="24"/>
        </w:rPr>
        <w:t xml:space="preserve"> The authors have attempted to demonstrate sincerity by acknowledging, accepting and being transparent a</w:t>
      </w:r>
      <w:r w:rsidR="00D6480B" w:rsidRPr="00050C0A">
        <w:rPr>
          <w:rFonts w:eastAsia="Calibri" w:cs="Times New Roman"/>
          <w:szCs w:val="24"/>
        </w:rPr>
        <w:t xml:space="preserve">bout </w:t>
      </w:r>
      <w:r w:rsidR="00F86B65" w:rsidRPr="00050C0A">
        <w:rPr>
          <w:rFonts w:eastAsia="Calibri" w:cs="Times New Roman"/>
          <w:i/>
          <w:iCs/>
          <w:szCs w:val="24"/>
        </w:rPr>
        <w:t>a priori</w:t>
      </w:r>
      <w:r w:rsidR="00F86B65" w:rsidRPr="00050C0A">
        <w:rPr>
          <w:rFonts w:eastAsia="Calibri" w:cs="Times New Roman"/>
          <w:szCs w:val="24"/>
        </w:rPr>
        <w:t xml:space="preserve"> knowledge of the subject area</w:t>
      </w:r>
      <w:r w:rsidR="00D6480B" w:rsidRPr="00050C0A">
        <w:rPr>
          <w:rFonts w:eastAsia="Calibri" w:cs="Times New Roman"/>
          <w:szCs w:val="24"/>
        </w:rPr>
        <w:t>.</w:t>
      </w:r>
      <w:r w:rsidR="00D6480B" w:rsidRPr="00050C0A">
        <w:rPr>
          <w:rFonts w:eastAsia="Calibri" w:cs="Times New Roman"/>
          <w:szCs w:val="24"/>
          <w:vertAlign w:val="superscript"/>
        </w:rPr>
        <w:t>53</w:t>
      </w:r>
      <w:r w:rsidR="00093853" w:rsidRPr="00050C0A">
        <w:rPr>
          <w:rFonts w:eastAsia="Calibri" w:cs="Times New Roman"/>
          <w:szCs w:val="24"/>
        </w:rPr>
        <w:t xml:space="preserve"> Member reflections were carried out with three of the participants, providing a practical opportunity to explore any differences concerning the researcher’s </w:t>
      </w:r>
      <w:r w:rsidR="009F09E0" w:rsidRPr="00050C0A">
        <w:rPr>
          <w:rFonts w:eastAsia="Calibri" w:cs="Times New Roman"/>
          <w:szCs w:val="24"/>
        </w:rPr>
        <w:t>interpretation of the results</w:t>
      </w:r>
      <w:r w:rsidR="00093853" w:rsidRPr="00050C0A">
        <w:rPr>
          <w:rFonts w:eastAsia="Calibri" w:cs="Times New Roman"/>
          <w:szCs w:val="24"/>
        </w:rPr>
        <w:t>.</w:t>
      </w:r>
      <w:r w:rsidR="009F09E0" w:rsidRPr="00050C0A">
        <w:rPr>
          <w:rFonts w:eastAsia="Calibri" w:cs="Times New Roman"/>
          <w:szCs w:val="24"/>
          <w:vertAlign w:val="superscript"/>
        </w:rPr>
        <w:t>54</w:t>
      </w:r>
      <w:r w:rsidR="00093853" w:rsidRPr="00050C0A">
        <w:rPr>
          <w:rFonts w:eastAsia="Calibri" w:cs="Times New Roman"/>
          <w:szCs w:val="24"/>
        </w:rPr>
        <w:t xml:space="preserve"> This involved participants being sent a copy of their transcript and summary of the results, before being given an opportunity to feedback on any similarities or contradictions they had with the findings. No changes were made following these reflections.</w:t>
      </w:r>
    </w:p>
    <w:p w14:paraId="77564900" w14:textId="77777777" w:rsidR="00093853" w:rsidRPr="00050C0A" w:rsidRDefault="00CF506B" w:rsidP="00093853">
      <w:pPr>
        <w:pStyle w:val="NoSpacing"/>
        <w:spacing w:line="480" w:lineRule="auto"/>
        <w:rPr>
          <w:u w:val="single"/>
          <w:lang w:eastAsia="en-GB"/>
        </w:rPr>
      </w:pPr>
      <w:r w:rsidRPr="00050C0A">
        <w:rPr>
          <w:u w:val="single"/>
          <w:lang w:eastAsia="en-GB"/>
        </w:rPr>
        <w:t>Results and Discussion</w:t>
      </w:r>
      <w:bookmarkEnd w:id="11"/>
    </w:p>
    <w:p w14:paraId="4463A9B6" w14:textId="77777777" w:rsidR="00093853" w:rsidRPr="00050C0A" w:rsidRDefault="00CF506B" w:rsidP="00093853">
      <w:pPr>
        <w:spacing w:line="480" w:lineRule="auto"/>
        <w:ind w:firstLine="454"/>
        <w:rPr>
          <w:rFonts w:eastAsia="Calibri" w:cs="Times New Roman"/>
          <w:szCs w:val="24"/>
        </w:rPr>
      </w:pPr>
      <w:r w:rsidRPr="00050C0A">
        <w:rPr>
          <w:rFonts w:eastAsia="Times New Roman" w:cs="Times New Roman"/>
          <w:b/>
          <w:szCs w:val="24"/>
          <w:lang w:eastAsia="en-GB"/>
        </w:rPr>
        <w:tab/>
      </w:r>
      <w:r w:rsidRPr="00050C0A">
        <w:rPr>
          <w:rFonts w:eastAsia="Times New Roman" w:cs="Times New Roman"/>
          <w:szCs w:val="24"/>
          <w:lang w:eastAsia="en-GB"/>
        </w:rPr>
        <w:t xml:space="preserve"> </w:t>
      </w:r>
      <w:r w:rsidR="00093853" w:rsidRPr="00050C0A">
        <w:rPr>
          <w:rFonts w:eastAsia="Calibri" w:cs="Times New Roman"/>
          <w:szCs w:val="24"/>
        </w:rPr>
        <w:t xml:space="preserve">Inductive analysis of the data identified 8 higher order themes (Figure 1), which were categorised into 3 dimensions: approaches to player learning, the coaching environment, and opportunities for learning and development. These dimensions reflected the aims of the study by first presenting coaches’ approaches to player learning within the context of contemporary pedagogical evidence, before considering the range of experiences that shape this approach. The three dimensions are discussed as separate subsections, with key quotes from the coaches used to illustrate each of the higher order themes. </w:t>
      </w:r>
    </w:p>
    <w:p w14:paraId="099847F4" w14:textId="3E7295BE" w:rsidR="00CF506B" w:rsidRPr="00050C0A" w:rsidRDefault="00CF506B" w:rsidP="00093853">
      <w:pPr>
        <w:pStyle w:val="NoSpacing"/>
        <w:spacing w:line="480" w:lineRule="auto"/>
        <w:rPr>
          <w:u w:val="single"/>
          <w:lang w:eastAsia="en-GB"/>
        </w:rPr>
      </w:pPr>
    </w:p>
    <w:p w14:paraId="5B96E8F8" w14:textId="77777777" w:rsidR="00B670BF" w:rsidRPr="00050C0A" w:rsidRDefault="00B670BF" w:rsidP="002007F4">
      <w:pPr>
        <w:pStyle w:val="NoSpacing"/>
        <w:spacing w:line="480" w:lineRule="auto"/>
        <w:rPr>
          <w:i/>
          <w:iCs/>
          <w:lang w:eastAsia="en-GB"/>
        </w:rPr>
      </w:pPr>
      <w:bookmarkStart w:id="12" w:name="_Toc13755081"/>
    </w:p>
    <w:p w14:paraId="3FBC874D" w14:textId="77777777" w:rsidR="00B670BF" w:rsidRPr="00050C0A" w:rsidRDefault="00B670BF" w:rsidP="002007F4">
      <w:pPr>
        <w:pStyle w:val="NoSpacing"/>
        <w:spacing w:line="480" w:lineRule="auto"/>
        <w:rPr>
          <w:i/>
          <w:iCs/>
          <w:lang w:eastAsia="en-GB"/>
        </w:rPr>
      </w:pPr>
    </w:p>
    <w:p w14:paraId="5BFF8781" w14:textId="58245320" w:rsidR="00B670BF" w:rsidRPr="00050C0A" w:rsidRDefault="00B670BF" w:rsidP="002007F4">
      <w:pPr>
        <w:pStyle w:val="NoSpacing"/>
        <w:spacing w:line="480" w:lineRule="auto"/>
        <w:rPr>
          <w:i/>
          <w:iCs/>
          <w:lang w:eastAsia="en-GB"/>
        </w:rPr>
      </w:pPr>
    </w:p>
    <w:p w14:paraId="0495CA25" w14:textId="02306F5F" w:rsidR="00190653" w:rsidRPr="00050C0A" w:rsidRDefault="00190653" w:rsidP="002007F4">
      <w:pPr>
        <w:pStyle w:val="NoSpacing"/>
        <w:spacing w:line="480" w:lineRule="auto"/>
        <w:rPr>
          <w:i/>
          <w:iCs/>
          <w:lang w:eastAsia="en-GB"/>
        </w:rPr>
      </w:pPr>
    </w:p>
    <w:p w14:paraId="172D3DD2" w14:textId="15027810" w:rsidR="00190653" w:rsidRPr="00050C0A" w:rsidRDefault="00190653" w:rsidP="002007F4">
      <w:pPr>
        <w:pStyle w:val="NoSpacing"/>
        <w:spacing w:line="480" w:lineRule="auto"/>
        <w:rPr>
          <w:i/>
          <w:iCs/>
          <w:lang w:eastAsia="en-GB"/>
        </w:rPr>
      </w:pPr>
    </w:p>
    <w:p w14:paraId="1AC4AF31" w14:textId="373987B4" w:rsidR="00190653" w:rsidRPr="00050C0A" w:rsidRDefault="00190653" w:rsidP="002007F4">
      <w:pPr>
        <w:pStyle w:val="NoSpacing"/>
        <w:spacing w:line="480" w:lineRule="auto"/>
        <w:rPr>
          <w:i/>
          <w:iCs/>
          <w:lang w:eastAsia="en-GB"/>
        </w:rPr>
      </w:pPr>
    </w:p>
    <w:p w14:paraId="3517E174" w14:textId="6054407E" w:rsidR="00093853" w:rsidRPr="00050C0A" w:rsidRDefault="00093853" w:rsidP="002007F4">
      <w:pPr>
        <w:pStyle w:val="NoSpacing"/>
        <w:spacing w:line="480" w:lineRule="auto"/>
        <w:rPr>
          <w:noProof/>
          <w:lang w:eastAsia="en-GB"/>
        </w:rPr>
      </w:pPr>
    </w:p>
    <w:p w14:paraId="1B3AFF36" w14:textId="71643EF0" w:rsidR="0041742B" w:rsidRPr="00050C0A" w:rsidRDefault="0041742B" w:rsidP="002007F4">
      <w:pPr>
        <w:pStyle w:val="NoSpacing"/>
        <w:spacing w:line="480" w:lineRule="auto"/>
        <w:rPr>
          <w:noProof/>
          <w:lang w:eastAsia="en-GB"/>
        </w:rPr>
      </w:pPr>
    </w:p>
    <w:p w14:paraId="2DCF6CFB" w14:textId="7A4B3351" w:rsidR="0041742B" w:rsidRPr="00050C0A" w:rsidRDefault="0041742B" w:rsidP="002007F4">
      <w:pPr>
        <w:pStyle w:val="NoSpacing"/>
        <w:spacing w:line="480" w:lineRule="auto"/>
        <w:rPr>
          <w:noProof/>
          <w:lang w:eastAsia="en-GB"/>
        </w:rPr>
      </w:pPr>
    </w:p>
    <w:p w14:paraId="31FCAC21" w14:textId="220FE6E3" w:rsidR="0041742B" w:rsidRPr="00050C0A" w:rsidRDefault="0041742B" w:rsidP="002007F4">
      <w:pPr>
        <w:pStyle w:val="NoSpacing"/>
        <w:spacing w:line="480" w:lineRule="auto"/>
        <w:rPr>
          <w:noProof/>
          <w:lang w:eastAsia="en-GB"/>
        </w:rPr>
      </w:pPr>
    </w:p>
    <w:p w14:paraId="57195599" w14:textId="01B1A557" w:rsidR="0041742B" w:rsidRPr="00050C0A" w:rsidRDefault="0041742B" w:rsidP="002007F4">
      <w:pPr>
        <w:pStyle w:val="NoSpacing"/>
        <w:spacing w:line="480" w:lineRule="auto"/>
        <w:rPr>
          <w:noProof/>
          <w:lang w:eastAsia="en-GB"/>
        </w:rPr>
      </w:pPr>
    </w:p>
    <w:p w14:paraId="1720B9C6" w14:textId="7FB53E83" w:rsidR="0041742B" w:rsidRPr="00050C0A" w:rsidRDefault="0041742B" w:rsidP="002007F4">
      <w:pPr>
        <w:pStyle w:val="NoSpacing"/>
        <w:spacing w:line="480" w:lineRule="auto"/>
        <w:rPr>
          <w:noProof/>
          <w:lang w:eastAsia="en-GB"/>
        </w:rPr>
      </w:pPr>
    </w:p>
    <w:p w14:paraId="672C229F" w14:textId="49F6D834" w:rsidR="0041742B" w:rsidRPr="00050C0A" w:rsidRDefault="0041742B" w:rsidP="002007F4">
      <w:pPr>
        <w:pStyle w:val="NoSpacing"/>
        <w:spacing w:line="480" w:lineRule="auto"/>
        <w:rPr>
          <w:noProof/>
          <w:lang w:eastAsia="en-GB"/>
        </w:rPr>
      </w:pPr>
    </w:p>
    <w:p w14:paraId="1DD12174" w14:textId="4C3FEE6F" w:rsidR="0041742B" w:rsidRPr="00050C0A" w:rsidRDefault="0041742B" w:rsidP="002007F4">
      <w:pPr>
        <w:pStyle w:val="NoSpacing"/>
        <w:spacing w:line="480" w:lineRule="auto"/>
        <w:rPr>
          <w:noProof/>
          <w:lang w:eastAsia="en-GB"/>
        </w:rPr>
      </w:pPr>
    </w:p>
    <w:p w14:paraId="4BAAEEA4" w14:textId="60EC8474" w:rsidR="0041742B" w:rsidRPr="00050C0A" w:rsidRDefault="0041742B" w:rsidP="002007F4">
      <w:pPr>
        <w:pStyle w:val="NoSpacing"/>
        <w:spacing w:line="480" w:lineRule="auto"/>
        <w:rPr>
          <w:noProof/>
          <w:lang w:eastAsia="en-GB"/>
        </w:rPr>
      </w:pPr>
    </w:p>
    <w:p w14:paraId="6CA23AC4" w14:textId="708E0644" w:rsidR="0041742B" w:rsidRPr="00050C0A" w:rsidRDefault="0041742B" w:rsidP="002007F4">
      <w:pPr>
        <w:pStyle w:val="NoSpacing"/>
        <w:spacing w:line="480" w:lineRule="auto"/>
        <w:rPr>
          <w:noProof/>
          <w:lang w:eastAsia="en-GB"/>
        </w:rPr>
      </w:pPr>
    </w:p>
    <w:p w14:paraId="1393595D" w14:textId="4F2B4A1E" w:rsidR="0041742B" w:rsidRPr="00050C0A" w:rsidRDefault="0041742B" w:rsidP="002007F4">
      <w:pPr>
        <w:pStyle w:val="NoSpacing"/>
        <w:spacing w:line="480" w:lineRule="auto"/>
        <w:rPr>
          <w:noProof/>
          <w:lang w:eastAsia="en-GB"/>
        </w:rPr>
      </w:pPr>
    </w:p>
    <w:p w14:paraId="4AC73292" w14:textId="0E8EDCA5" w:rsidR="0041742B" w:rsidRPr="00050C0A" w:rsidRDefault="0041742B" w:rsidP="002007F4">
      <w:pPr>
        <w:pStyle w:val="NoSpacing"/>
        <w:spacing w:line="480" w:lineRule="auto"/>
        <w:rPr>
          <w:noProof/>
          <w:lang w:eastAsia="en-GB"/>
        </w:rPr>
      </w:pPr>
    </w:p>
    <w:p w14:paraId="19B3517A" w14:textId="6D9E5A8A" w:rsidR="0041742B" w:rsidRPr="00050C0A" w:rsidRDefault="0041742B" w:rsidP="002007F4">
      <w:pPr>
        <w:pStyle w:val="NoSpacing"/>
        <w:spacing w:line="480" w:lineRule="auto"/>
        <w:rPr>
          <w:noProof/>
          <w:lang w:eastAsia="en-GB"/>
        </w:rPr>
      </w:pPr>
    </w:p>
    <w:p w14:paraId="6F044429" w14:textId="3EE3AB63" w:rsidR="0041742B" w:rsidRPr="00050C0A" w:rsidRDefault="0041742B" w:rsidP="002007F4">
      <w:pPr>
        <w:pStyle w:val="NoSpacing"/>
        <w:spacing w:line="480" w:lineRule="auto"/>
        <w:rPr>
          <w:noProof/>
          <w:lang w:eastAsia="en-GB"/>
        </w:rPr>
      </w:pPr>
    </w:p>
    <w:p w14:paraId="075427E5" w14:textId="67B992DA" w:rsidR="0041742B" w:rsidRPr="00050C0A" w:rsidRDefault="0041742B" w:rsidP="002007F4">
      <w:pPr>
        <w:pStyle w:val="NoSpacing"/>
        <w:spacing w:line="480" w:lineRule="auto"/>
        <w:rPr>
          <w:i/>
          <w:iCs/>
          <w:lang w:eastAsia="en-GB"/>
        </w:rPr>
      </w:pPr>
      <w:r w:rsidRPr="00050C0A">
        <w:rPr>
          <w:noProof/>
        </w:rPr>
        <w:drawing>
          <wp:inline distT="0" distB="0" distL="0" distR="0" wp14:anchorId="3D7FFB66" wp14:editId="70A3C62C">
            <wp:extent cx="5505233" cy="77247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899" cy="7743951"/>
                    </a:xfrm>
                    <a:prstGeom prst="rect">
                      <a:avLst/>
                    </a:prstGeom>
                    <a:noFill/>
                    <a:ln>
                      <a:noFill/>
                    </a:ln>
                  </pic:spPr>
                </pic:pic>
              </a:graphicData>
            </a:graphic>
          </wp:inline>
        </w:drawing>
      </w:r>
    </w:p>
    <w:p w14:paraId="689D2AFA" w14:textId="76ED47A4" w:rsidR="00093853" w:rsidRPr="00050C0A" w:rsidRDefault="00093853" w:rsidP="00093853">
      <w:pPr>
        <w:spacing w:before="0" w:after="160" w:line="480" w:lineRule="auto"/>
        <w:rPr>
          <w:rFonts w:eastAsia="Calibri" w:cs="Times New Roman"/>
          <w:szCs w:val="24"/>
        </w:rPr>
      </w:pPr>
      <w:r w:rsidRPr="00050C0A">
        <w:rPr>
          <w:rFonts w:eastAsia="Calibri" w:cs="Times New Roman"/>
          <w:szCs w:val="24"/>
        </w:rPr>
        <w:t>Figure 1.</w:t>
      </w:r>
      <w:r w:rsidRPr="00050C0A">
        <w:rPr>
          <w:rFonts w:eastAsia="Calibri" w:cs="Times New Roman"/>
          <w:b/>
          <w:bCs/>
          <w:szCs w:val="24"/>
        </w:rPr>
        <w:t xml:space="preserve"> </w:t>
      </w:r>
      <w:r w:rsidRPr="00050C0A">
        <w:rPr>
          <w:rFonts w:eastAsia="Calibri" w:cs="Times New Roman"/>
          <w:szCs w:val="24"/>
        </w:rPr>
        <w:t xml:space="preserve">Thematic map displaying the lower order themes, higher order themes, and dimensions of the data set. </w:t>
      </w:r>
    </w:p>
    <w:bookmarkEnd w:id="12"/>
    <w:p w14:paraId="518468D2" w14:textId="629A197F" w:rsidR="00093853" w:rsidRPr="00050C0A" w:rsidRDefault="00093853" w:rsidP="00E8058B">
      <w:pPr>
        <w:spacing w:after="200" w:line="480" w:lineRule="auto"/>
        <w:rPr>
          <w:rFonts w:eastAsia="Times New Roman" w:cs="Times New Roman"/>
          <w:b/>
          <w:bCs/>
          <w:i/>
          <w:iCs/>
          <w:szCs w:val="24"/>
          <w:lang w:eastAsia="en-GB"/>
        </w:rPr>
      </w:pPr>
      <w:r w:rsidRPr="00050C0A">
        <w:rPr>
          <w:rFonts w:eastAsia="Times New Roman" w:cs="Times New Roman"/>
          <w:b/>
          <w:bCs/>
          <w:i/>
          <w:iCs/>
          <w:szCs w:val="24"/>
          <w:lang w:eastAsia="en-GB"/>
        </w:rPr>
        <w:t xml:space="preserve">Approaches to </w:t>
      </w:r>
      <w:r w:rsidR="00F53CBE" w:rsidRPr="00050C0A">
        <w:rPr>
          <w:rFonts w:eastAsia="Times New Roman" w:cs="Times New Roman"/>
          <w:b/>
          <w:bCs/>
          <w:i/>
          <w:iCs/>
          <w:szCs w:val="24"/>
          <w:lang w:eastAsia="en-GB"/>
        </w:rPr>
        <w:t>P</w:t>
      </w:r>
      <w:r w:rsidRPr="00050C0A">
        <w:rPr>
          <w:rFonts w:eastAsia="Times New Roman" w:cs="Times New Roman"/>
          <w:b/>
          <w:bCs/>
          <w:i/>
          <w:iCs/>
          <w:szCs w:val="24"/>
          <w:lang w:eastAsia="en-GB"/>
        </w:rPr>
        <w:t xml:space="preserve">layer </w:t>
      </w:r>
      <w:r w:rsidR="00F53CBE" w:rsidRPr="00050C0A">
        <w:rPr>
          <w:rFonts w:eastAsia="Times New Roman" w:cs="Times New Roman"/>
          <w:b/>
          <w:bCs/>
          <w:i/>
          <w:iCs/>
          <w:szCs w:val="24"/>
          <w:lang w:eastAsia="en-GB"/>
        </w:rPr>
        <w:t>L</w:t>
      </w:r>
      <w:r w:rsidRPr="00050C0A">
        <w:rPr>
          <w:rFonts w:eastAsia="Times New Roman" w:cs="Times New Roman"/>
          <w:b/>
          <w:bCs/>
          <w:i/>
          <w:iCs/>
          <w:szCs w:val="24"/>
          <w:lang w:eastAsia="en-GB"/>
        </w:rPr>
        <w:t xml:space="preserve">earning </w:t>
      </w:r>
    </w:p>
    <w:p w14:paraId="579700EA" w14:textId="54A6FF14" w:rsidR="00093853" w:rsidRPr="00050C0A" w:rsidRDefault="00CF506B" w:rsidP="00093853">
      <w:pPr>
        <w:spacing w:line="480" w:lineRule="auto"/>
        <w:rPr>
          <w:rFonts w:eastAsia="Calibri" w:cs="Times New Roman"/>
          <w:szCs w:val="24"/>
        </w:rPr>
      </w:pPr>
      <w:r w:rsidRPr="00050C0A">
        <w:rPr>
          <w:rFonts w:eastAsia="Times New Roman" w:cs="Times New Roman"/>
          <w:szCs w:val="24"/>
          <w:lang w:eastAsia="en-GB"/>
        </w:rPr>
        <w:tab/>
      </w:r>
      <w:bookmarkStart w:id="13" w:name="_Hlk57820078"/>
      <w:r w:rsidR="00093853" w:rsidRPr="00050C0A">
        <w:rPr>
          <w:rFonts w:eastAsia="Calibri" w:cs="Times New Roman"/>
          <w:szCs w:val="24"/>
        </w:rPr>
        <w:t xml:space="preserve">Within </w:t>
      </w:r>
      <w:r w:rsidR="00424EC0" w:rsidRPr="00050C0A">
        <w:rPr>
          <w:rFonts w:eastAsia="Calibri" w:cs="Times New Roman"/>
          <w:szCs w:val="24"/>
        </w:rPr>
        <w:t xml:space="preserve">this dimension, coaches’ views on their </w:t>
      </w:r>
      <w:r w:rsidR="00093853" w:rsidRPr="00050C0A">
        <w:rPr>
          <w:rFonts w:eastAsia="Calibri" w:cs="Times New Roman"/>
          <w:szCs w:val="24"/>
        </w:rPr>
        <w:t>approaches to player learning</w:t>
      </w:r>
      <w:r w:rsidR="00424EC0" w:rsidRPr="00050C0A">
        <w:rPr>
          <w:rFonts w:eastAsia="Calibri" w:cs="Times New Roman"/>
          <w:szCs w:val="24"/>
        </w:rPr>
        <w:t xml:space="preserve"> are presented.  T</w:t>
      </w:r>
      <w:r w:rsidR="00093853" w:rsidRPr="00050C0A">
        <w:rPr>
          <w:rFonts w:eastAsia="Calibri" w:cs="Times New Roman"/>
          <w:szCs w:val="24"/>
        </w:rPr>
        <w:t>wo higher order themes of traditional and contemporary methods</w:t>
      </w:r>
      <w:r w:rsidR="00424EC0" w:rsidRPr="00050C0A">
        <w:rPr>
          <w:rFonts w:eastAsia="Calibri" w:cs="Times New Roman"/>
          <w:szCs w:val="24"/>
        </w:rPr>
        <w:t>, specifically related to skill acquisition principles,</w:t>
      </w:r>
      <w:r w:rsidR="00093853" w:rsidRPr="00050C0A">
        <w:rPr>
          <w:rFonts w:eastAsia="Calibri" w:cs="Times New Roman"/>
          <w:szCs w:val="24"/>
        </w:rPr>
        <w:t xml:space="preserve"> were identified</w:t>
      </w:r>
      <w:bookmarkEnd w:id="13"/>
      <w:r w:rsidR="00093853" w:rsidRPr="00050C0A">
        <w:rPr>
          <w:rFonts w:eastAsia="Calibri" w:cs="Times New Roman"/>
          <w:szCs w:val="24"/>
        </w:rPr>
        <w:t xml:space="preserve">. </w:t>
      </w:r>
    </w:p>
    <w:p w14:paraId="437A863B" w14:textId="189F5C71" w:rsidR="00093853" w:rsidRPr="00050C0A" w:rsidRDefault="00093853" w:rsidP="00E8058B">
      <w:pPr>
        <w:spacing w:after="200" w:line="480" w:lineRule="auto"/>
        <w:rPr>
          <w:rFonts w:eastAsia="Times New Roman" w:cs="Times New Roman"/>
          <w:i/>
          <w:iCs/>
          <w:szCs w:val="24"/>
          <w:lang w:eastAsia="en-GB"/>
        </w:rPr>
      </w:pPr>
      <w:r w:rsidRPr="00050C0A">
        <w:rPr>
          <w:rFonts w:eastAsia="Times New Roman" w:cs="Times New Roman"/>
          <w:i/>
          <w:iCs/>
          <w:szCs w:val="24"/>
          <w:lang w:eastAsia="en-GB"/>
        </w:rPr>
        <w:t xml:space="preserve">Traditional Methods </w:t>
      </w:r>
    </w:p>
    <w:p w14:paraId="210EDA0A" w14:textId="5FF4DE3C" w:rsidR="00093853" w:rsidRPr="00050C0A" w:rsidRDefault="00093853" w:rsidP="00CC3F57">
      <w:pPr>
        <w:spacing w:before="0" w:after="160" w:line="480" w:lineRule="auto"/>
        <w:ind w:firstLine="720"/>
        <w:rPr>
          <w:rFonts w:eastAsia="Calibri" w:cs="Times New Roman"/>
          <w:szCs w:val="24"/>
        </w:rPr>
      </w:pPr>
      <w:r w:rsidRPr="00050C0A">
        <w:rPr>
          <w:rFonts w:eastAsia="Calibri" w:cs="Times New Roman"/>
          <w:szCs w:val="24"/>
        </w:rPr>
        <w:t>In line with previous re</w:t>
      </w:r>
      <w:r w:rsidR="008F62B6" w:rsidRPr="00050C0A">
        <w:rPr>
          <w:rFonts w:eastAsia="Calibri" w:cs="Times New Roman"/>
          <w:szCs w:val="24"/>
        </w:rPr>
        <w:t>search</w:t>
      </w:r>
      <w:r w:rsidRPr="00050C0A">
        <w:rPr>
          <w:rFonts w:eastAsia="Calibri" w:cs="Times New Roman"/>
          <w:szCs w:val="24"/>
        </w:rPr>
        <w:t>,</w:t>
      </w:r>
      <w:r w:rsidR="008F62B6" w:rsidRPr="00050C0A">
        <w:rPr>
          <w:rFonts w:eastAsia="Calibri" w:cs="Times New Roman"/>
          <w:szCs w:val="24"/>
          <w:vertAlign w:val="superscript"/>
        </w:rPr>
        <w:t>55</w:t>
      </w:r>
      <w:r w:rsidRPr="00050C0A">
        <w:rPr>
          <w:rFonts w:eastAsia="Calibri" w:cs="Times New Roman"/>
          <w:szCs w:val="24"/>
        </w:rPr>
        <w:t xml:space="preserve"> traditional pedagogical approaches were still common within coaching practice. This was evidenced through coaches’ desire to teach fundamental movements and skills through isolated, technical drills. </w:t>
      </w:r>
      <w:r w:rsidR="007A2BF9" w:rsidRPr="00050C0A">
        <w:rPr>
          <w:rFonts w:eastAsia="Calibri" w:cs="Times New Roman"/>
          <w:szCs w:val="24"/>
        </w:rPr>
        <w:t>The c</w:t>
      </w:r>
      <w:r w:rsidRPr="00050C0A">
        <w:rPr>
          <w:rFonts w:eastAsia="Calibri" w:cs="Times New Roman"/>
          <w:szCs w:val="24"/>
        </w:rPr>
        <w:t>oaches</w:t>
      </w:r>
      <w:r w:rsidR="007A2BF9" w:rsidRPr="00050C0A">
        <w:rPr>
          <w:rFonts w:eastAsia="Calibri" w:cs="Times New Roman"/>
          <w:szCs w:val="24"/>
        </w:rPr>
        <w:t xml:space="preserve"> interviewed in this study</w:t>
      </w:r>
      <w:r w:rsidRPr="00050C0A">
        <w:rPr>
          <w:rFonts w:eastAsia="Calibri" w:cs="Times New Roman"/>
          <w:szCs w:val="24"/>
        </w:rPr>
        <w:t xml:space="preserve"> reported that technical drills often form an introductory activity to progress from when looking to practice specific skills or themes during a session: </w:t>
      </w:r>
    </w:p>
    <w:p w14:paraId="51CF62B6" w14:textId="77777777" w:rsidR="00093853" w:rsidRPr="00050C0A" w:rsidRDefault="00093853" w:rsidP="00093853">
      <w:pPr>
        <w:spacing w:before="0" w:after="160" w:line="480" w:lineRule="auto"/>
        <w:ind w:left="567" w:right="567"/>
        <w:jc w:val="both"/>
        <w:rPr>
          <w:rFonts w:eastAsia="Calibri" w:cs="Times New Roman"/>
          <w:szCs w:val="24"/>
        </w:rPr>
      </w:pPr>
      <w:r w:rsidRPr="00050C0A">
        <w:rPr>
          <w:rFonts w:eastAsia="Calibri" w:cs="Times New Roman"/>
          <w:szCs w:val="24"/>
        </w:rPr>
        <w:t xml:space="preserve">“My session will always be a basic warm-up with lots of movement and unopposed ball work, then 15-20 minutes of technical work, before taking that into a tactical practice and ending with a small-sided game” (Coach 5). </w:t>
      </w:r>
    </w:p>
    <w:p w14:paraId="1C0AB8FC" w14:textId="4AE53782" w:rsidR="00093853" w:rsidRPr="00050C0A" w:rsidRDefault="00093853" w:rsidP="00CC3F57">
      <w:pPr>
        <w:spacing w:before="0" w:after="160" w:line="480" w:lineRule="auto"/>
        <w:ind w:firstLine="720"/>
        <w:rPr>
          <w:rFonts w:eastAsia="Calibri" w:cs="Times New Roman"/>
          <w:szCs w:val="24"/>
        </w:rPr>
      </w:pPr>
      <w:r w:rsidRPr="00050C0A">
        <w:rPr>
          <w:rFonts w:eastAsia="Calibri" w:cs="Times New Roman"/>
          <w:szCs w:val="24"/>
        </w:rPr>
        <w:t>This highlights how coaches look to build their session from simplistic fundamental movements and skills</w:t>
      </w:r>
      <w:r w:rsidR="00E407E5" w:rsidRPr="00050C0A">
        <w:rPr>
          <w:rFonts w:eastAsia="Calibri" w:cs="Times New Roman"/>
          <w:szCs w:val="24"/>
        </w:rPr>
        <w:t>,</w:t>
      </w:r>
      <w:r w:rsidRPr="00050C0A">
        <w:rPr>
          <w:rFonts w:eastAsia="Calibri" w:cs="Times New Roman"/>
          <w:szCs w:val="24"/>
        </w:rPr>
        <w:t xml:space="preserve"> before integrating tactical information or games-based methods. Adopting a less dichotomous approach that facilitates the development </w:t>
      </w:r>
      <w:r w:rsidR="00BD2BFF" w:rsidRPr="00050C0A">
        <w:rPr>
          <w:rFonts w:eastAsia="Calibri" w:cs="Times New Roman"/>
          <w:szCs w:val="24"/>
        </w:rPr>
        <w:t xml:space="preserve">of </w:t>
      </w:r>
      <w:r w:rsidRPr="00050C0A">
        <w:rPr>
          <w:rFonts w:eastAsia="Calibri" w:cs="Times New Roman"/>
          <w:szCs w:val="24"/>
        </w:rPr>
        <w:t>technique under conditions representative of actual gameplay would be more effective in promoting efficient transfer of these technical skills, whilst also encouraging the development of fundamental game skills (e.g., decision mak</w:t>
      </w:r>
      <w:r w:rsidR="003D4DCE" w:rsidRPr="00050C0A">
        <w:rPr>
          <w:rFonts w:eastAsia="Calibri" w:cs="Times New Roman"/>
          <w:szCs w:val="24"/>
        </w:rPr>
        <w:t>ing and anticipation)</w:t>
      </w:r>
      <w:r w:rsidRPr="00050C0A">
        <w:rPr>
          <w:rFonts w:eastAsia="Calibri" w:cs="Times New Roman"/>
          <w:szCs w:val="24"/>
        </w:rPr>
        <w:t>.</w:t>
      </w:r>
      <w:r w:rsidR="003D4DCE" w:rsidRPr="00050C0A">
        <w:rPr>
          <w:rFonts w:eastAsia="Calibri" w:cs="Times New Roman"/>
          <w:szCs w:val="24"/>
          <w:vertAlign w:val="superscript"/>
        </w:rPr>
        <w:t>56-58</w:t>
      </w:r>
      <w:r w:rsidRPr="00050C0A">
        <w:rPr>
          <w:rFonts w:eastAsia="Calibri" w:cs="Times New Roman"/>
          <w:szCs w:val="24"/>
        </w:rPr>
        <w:t xml:space="preserve"> However, coaches believed that technical drills provided an opportunity to repeat and refine skills that could be transferred into game situations:</w:t>
      </w:r>
    </w:p>
    <w:p w14:paraId="62675F5B" w14:textId="77777777" w:rsidR="00093853" w:rsidRPr="00050C0A" w:rsidRDefault="00093853" w:rsidP="00355760">
      <w:pPr>
        <w:spacing w:before="0" w:after="160" w:line="480" w:lineRule="auto"/>
        <w:ind w:left="567" w:right="567"/>
        <w:jc w:val="both"/>
        <w:rPr>
          <w:rFonts w:eastAsia="Calibri" w:cs="Times New Roman"/>
          <w:szCs w:val="24"/>
        </w:rPr>
      </w:pPr>
      <w:r w:rsidRPr="00050C0A">
        <w:rPr>
          <w:rFonts w:eastAsia="Calibri" w:cs="Times New Roman"/>
          <w:szCs w:val="24"/>
        </w:rPr>
        <w:t>“</w:t>
      </w:r>
      <w:bookmarkStart w:id="14" w:name="_Hlk51945194"/>
      <w:r w:rsidRPr="00050C0A">
        <w:rPr>
          <w:rFonts w:eastAsia="Calibri" w:cs="Times New Roman"/>
          <w:szCs w:val="24"/>
        </w:rPr>
        <w:t>I’ll do a passing rotation… and what you’re looking at is the details, movement in and out to receive, checking your shoulder. I know every time I’m passing to the same place, but I’m repeating and repeating it because when we go into possession or games you are then in the habit of making those movements</w:t>
      </w:r>
      <w:bookmarkEnd w:id="14"/>
      <w:r w:rsidRPr="00050C0A">
        <w:rPr>
          <w:rFonts w:eastAsia="Calibri" w:cs="Times New Roman"/>
          <w:szCs w:val="24"/>
        </w:rPr>
        <w:t xml:space="preserve">” (Coach 7). </w:t>
      </w:r>
    </w:p>
    <w:p w14:paraId="32C20EA9" w14:textId="71954BE8" w:rsidR="00093853" w:rsidRPr="00050C0A" w:rsidRDefault="00093853" w:rsidP="00CC3F57">
      <w:pPr>
        <w:spacing w:before="0" w:after="160" w:line="480" w:lineRule="auto"/>
        <w:ind w:firstLine="720"/>
        <w:rPr>
          <w:rFonts w:eastAsia="Calibri" w:cs="Times New Roman"/>
          <w:szCs w:val="24"/>
        </w:rPr>
      </w:pPr>
      <w:r w:rsidRPr="00050C0A">
        <w:rPr>
          <w:rFonts w:eastAsia="Calibri" w:cs="Times New Roman"/>
          <w:szCs w:val="24"/>
        </w:rPr>
        <w:t>Despite this belief, drill-based activities can fail to accurately sample key specifying information available in the performance environment and constrain the decision-making pro</w:t>
      </w:r>
      <w:r w:rsidR="003D4DCE" w:rsidRPr="00050C0A">
        <w:rPr>
          <w:rFonts w:eastAsia="Calibri" w:cs="Times New Roman"/>
          <w:szCs w:val="24"/>
        </w:rPr>
        <w:t>cesses of the learner</w:t>
      </w:r>
      <w:r w:rsidRPr="00050C0A">
        <w:rPr>
          <w:rFonts w:eastAsia="Calibri" w:cs="Times New Roman"/>
          <w:szCs w:val="24"/>
        </w:rPr>
        <w:t>.</w:t>
      </w:r>
      <w:r w:rsidR="003D4DCE" w:rsidRPr="00050C0A">
        <w:rPr>
          <w:rFonts w:eastAsia="Calibri" w:cs="Times New Roman"/>
          <w:szCs w:val="24"/>
          <w:vertAlign w:val="superscript"/>
        </w:rPr>
        <w:t>18, 22</w:t>
      </w:r>
      <w:r w:rsidRPr="00050C0A">
        <w:rPr>
          <w:rFonts w:eastAsia="Calibri" w:cs="Times New Roman"/>
          <w:szCs w:val="24"/>
        </w:rPr>
        <w:t xml:space="preserve"> Consequently, the transfer of skills</w:t>
      </w:r>
      <w:r w:rsidR="003D4DCE" w:rsidRPr="00050C0A">
        <w:rPr>
          <w:rFonts w:eastAsia="Calibri" w:cs="Times New Roman"/>
          <w:szCs w:val="24"/>
        </w:rPr>
        <w:t xml:space="preserve"> is likely to be limited</w:t>
      </w:r>
      <w:r w:rsidRPr="00050C0A">
        <w:rPr>
          <w:rFonts w:eastAsia="Calibri" w:cs="Times New Roman"/>
          <w:szCs w:val="24"/>
        </w:rPr>
        <w:t>.</w:t>
      </w:r>
      <w:r w:rsidR="003D4DCE" w:rsidRPr="00050C0A">
        <w:rPr>
          <w:rFonts w:eastAsia="Calibri" w:cs="Times New Roman"/>
          <w:szCs w:val="24"/>
          <w:vertAlign w:val="superscript"/>
        </w:rPr>
        <w:t>17, 59</w:t>
      </w:r>
      <w:r w:rsidRPr="00050C0A">
        <w:rPr>
          <w:rFonts w:eastAsia="Calibri" w:cs="Times New Roman"/>
          <w:szCs w:val="24"/>
        </w:rPr>
        <w:t xml:space="preserve"> </w:t>
      </w:r>
      <w:r w:rsidR="00365948" w:rsidRPr="00050C0A">
        <w:rPr>
          <w:rFonts w:eastAsia="Calibri" w:cs="Times New Roman"/>
          <w:szCs w:val="24"/>
        </w:rPr>
        <w:t xml:space="preserve">Whilst </w:t>
      </w:r>
      <w:r w:rsidRPr="00050C0A">
        <w:rPr>
          <w:rFonts w:eastAsia="Calibri" w:cs="Times New Roman"/>
          <w:szCs w:val="24"/>
        </w:rPr>
        <w:t xml:space="preserve">the acquisition of technical skills </w:t>
      </w:r>
      <w:r w:rsidR="00365948" w:rsidRPr="00050C0A">
        <w:rPr>
          <w:rFonts w:eastAsia="Calibri" w:cs="Times New Roman"/>
          <w:szCs w:val="24"/>
        </w:rPr>
        <w:t xml:space="preserve">may be </w:t>
      </w:r>
      <w:r w:rsidRPr="00050C0A">
        <w:rPr>
          <w:rFonts w:eastAsia="Calibri" w:cs="Times New Roman"/>
          <w:szCs w:val="24"/>
        </w:rPr>
        <w:t>importan</w:t>
      </w:r>
      <w:r w:rsidR="004B73EB" w:rsidRPr="00050C0A">
        <w:rPr>
          <w:rFonts w:eastAsia="Calibri" w:cs="Times New Roman"/>
          <w:szCs w:val="24"/>
        </w:rPr>
        <w:t>t</w:t>
      </w:r>
      <w:r w:rsidRPr="00050C0A">
        <w:rPr>
          <w:rFonts w:eastAsia="Calibri" w:cs="Times New Roman"/>
          <w:szCs w:val="24"/>
        </w:rPr>
        <w:t>,</w:t>
      </w:r>
      <w:r w:rsidR="003D4DCE" w:rsidRPr="00050C0A">
        <w:rPr>
          <w:rFonts w:eastAsia="Calibri" w:cs="Times New Roman"/>
          <w:szCs w:val="24"/>
          <w:vertAlign w:val="superscript"/>
        </w:rPr>
        <w:t>58</w:t>
      </w:r>
      <w:r w:rsidRPr="00050C0A">
        <w:rPr>
          <w:rFonts w:eastAsia="Calibri" w:cs="Times New Roman"/>
          <w:szCs w:val="24"/>
        </w:rPr>
        <w:t xml:space="preserve"> </w:t>
      </w:r>
      <w:r w:rsidR="00310767" w:rsidRPr="00050C0A">
        <w:rPr>
          <w:rFonts w:eastAsia="Calibri" w:cs="Times New Roman"/>
          <w:szCs w:val="24"/>
        </w:rPr>
        <w:t>and research is emerging to highlight potential motivational benefits of practising under less challenging conditions</w:t>
      </w:r>
      <w:r w:rsidR="00310767" w:rsidRPr="00050C0A">
        <w:rPr>
          <w:rFonts w:eastAsia="Calibri" w:cs="Times New Roman"/>
          <w:szCs w:val="24"/>
          <w:vertAlign w:val="superscript"/>
        </w:rPr>
        <w:t>60</w:t>
      </w:r>
      <w:r w:rsidR="00310767" w:rsidRPr="00050C0A">
        <w:rPr>
          <w:rFonts w:eastAsia="Calibri" w:cs="Times New Roman"/>
          <w:szCs w:val="24"/>
        </w:rPr>
        <w:t xml:space="preserve">, </w:t>
      </w:r>
      <w:r w:rsidR="00FC5A68" w:rsidRPr="00050C0A">
        <w:rPr>
          <w:rFonts w:eastAsia="Calibri" w:cs="Times New Roman"/>
          <w:szCs w:val="24"/>
        </w:rPr>
        <w:t>it is important that skills are not taught using only non-representative tasks to ensure coaches do not risk limiting the development of their players, and transfer of skills to competitive environments (Cushion et al., 2012; Pinder et al., 2011).</w:t>
      </w:r>
      <w:r w:rsidR="00FC5A68" w:rsidRPr="00050C0A">
        <w:rPr>
          <w:rFonts w:eastAsia="Calibri" w:cs="Times New Roman"/>
          <w:szCs w:val="24"/>
          <w:vertAlign w:val="superscript"/>
        </w:rPr>
        <w:t xml:space="preserve"> </w:t>
      </w:r>
      <w:r w:rsidR="00FC5A68" w:rsidRPr="00050C0A">
        <w:rPr>
          <w:rFonts w:eastAsia="Calibri" w:cs="Times New Roman"/>
          <w:szCs w:val="24"/>
        </w:rPr>
        <w:t>As is presented and discussed in the following theme, coaches do not tend to operate solely within either a ‘traditional’ or ‘contemporary’ framework, however the types of activity employed remain fairly distinct within their sessions.</w:t>
      </w:r>
      <w:r w:rsidRPr="00050C0A">
        <w:rPr>
          <w:rFonts w:eastAsia="Calibri" w:cs="Times New Roman"/>
          <w:szCs w:val="24"/>
        </w:rPr>
        <w:t xml:space="preserve"> </w:t>
      </w:r>
      <w:r w:rsidR="00664980" w:rsidRPr="00050C0A">
        <w:rPr>
          <w:rFonts w:eastAsia="Calibri" w:cs="Times New Roman"/>
          <w:szCs w:val="24"/>
        </w:rPr>
        <w:t xml:space="preserve">Perhaps most important therefore is looking to address the epistemological gap </w:t>
      </w:r>
      <w:r w:rsidRPr="00050C0A">
        <w:rPr>
          <w:rFonts w:eastAsia="Calibri" w:cs="Times New Roman"/>
          <w:szCs w:val="24"/>
        </w:rPr>
        <w:t>in coaches’ understanding of the relationship between practice activities and player learning outcomes, coach educators must continue to prioritise educat</w:t>
      </w:r>
      <w:r w:rsidR="00894FD3" w:rsidRPr="00050C0A">
        <w:rPr>
          <w:rFonts w:eastAsia="Calibri" w:cs="Times New Roman"/>
          <w:szCs w:val="24"/>
        </w:rPr>
        <w:t>ion of</w:t>
      </w:r>
      <w:r w:rsidRPr="00050C0A">
        <w:rPr>
          <w:rFonts w:eastAsia="Calibri" w:cs="Times New Roman"/>
          <w:szCs w:val="24"/>
        </w:rPr>
        <w:t xml:space="preserve"> youth football coaches </w:t>
      </w:r>
      <w:r w:rsidR="00894FD3" w:rsidRPr="00050C0A">
        <w:rPr>
          <w:rFonts w:eastAsia="Calibri" w:cs="Times New Roman"/>
          <w:szCs w:val="24"/>
        </w:rPr>
        <w:t>about</w:t>
      </w:r>
      <w:r w:rsidR="001F402C" w:rsidRPr="00050C0A">
        <w:rPr>
          <w:rFonts w:eastAsia="Calibri" w:cs="Times New Roman"/>
          <w:szCs w:val="24"/>
        </w:rPr>
        <w:t xml:space="preserve"> </w:t>
      </w:r>
      <w:r w:rsidRPr="00050C0A">
        <w:rPr>
          <w:rFonts w:eastAsia="Calibri" w:cs="Times New Roman"/>
          <w:szCs w:val="24"/>
        </w:rPr>
        <w:t xml:space="preserve">what representative practice looks like, why it is important, and perhaps more importantly, provide practical resources for how to implement these methods into progressive, technically focused </w:t>
      </w:r>
      <w:r w:rsidR="003D4DCE" w:rsidRPr="00050C0A">
        <w:rPr>
          <w:rFonts w:eastAsia="Calibri" w:cs="Times New Roman"/>
          <w:szCs w:val="24"/>
        </w:rPr>
        <w:t>sessions</w:t>
      </w:r>
      <w:r w:rsidRPr="00050C0A">
        <w:rPr>
          <w:rFonts w:eastAsia="Calibri" w:cs="Times New Roman"/>
          <w:szCs w:val="24"/>
        </w:rPr>
        <w:t>.</w:t>
      </w:r>
      <w:r w:rsidR="003D4DCE" w:rsidRPr="00050C0A">
        <w:rPr>
          <w:rFonts w:eastAsia="Calibri" w:cs="Times New Roman"/>
          <w:szCs w:val="24"/>
          <w:vertAlign w:val="superscript"/>
        </w:rPr>
        <w:t>3, 24, 39, 43</w:t>
      </w:r>
      <w:r w:rsidRPr="00050C0A">
        <w:rPr>
          <w:rFonts w:eastAsia="Calibri" w:cs="Times New Roman"/>
          <w:szCs w:val="24"/>
        </w:rPr>
        <w:t xml:space="preserve"> This process must be supported by ongoing research that not only provides recommendations for practice, but also meaningful and digestible frameworks to imple</w:t>
      </w:r>
      <w:r w:rsidR="00E33D08" w:rsidRPr="00050C0A">
        <w:rPr>
          <w:rFonts w:eastAsia="Calibri" w:cs="Times New Roman"/>
          <w:szCs w:val="24"/>
        </w:rPr>
        <w:t>ment key learning principles</w:t>
      </w:r>
      <w:r w:rsidRPr="00050C0A">
        <w:rPr>
          <w:rFonts w:eastAsia="Calibri" w:cs="Times New Roman"/>
          <w:szCs w:val="24"/>
        </w:rPr>
        <w:t>.</w:t>
      </w:r>
      <w:r w:rsidR="00E33D08" w:rsidRPr="00050C0A">
        <w:rPr>
          <w:rFonts w:eastAsia="Calibri" w:cs="Times New Roman"/>
          <w:szCs w:val="24"/>
          <w:vertAlign w:val="superscript"/>
        </w:rPr>
        <w:t>6</w:t>
      </w:r>
      <w:r w:rsidR="00542BD4">
        <w:rPr>
          <w:rFonts w:eastAsia="Calibri" w:cs="Times New Roman"/>
          <w:szCs w:val="24"/>
          <w:vertAlign w:val="superscript"/>
        </w:rPr>
        <w:t>1</w:t>
      </w:r>
      <w:r w:rsidRPr="00050C0A">
        <w:rPr>
          <w:rFonts w:eastAsia="Calibri" w:cs="Times New Roman"/>
          <w:szCs w:val="24"/>
        </w:rPr>
        <w:t xml:space="preserve"> </w:t>
      </w:r>
    </w:p>
    <w:p w14:paraId="27BC0279" w14:textId="0643E4B9" w:rsidR="00CF506B" w:rsidRPr="00050C0A" w:rsidRDefault="00355760" w:rsidP="00355760">
      <w:pPr>
        <w:spacing w:line="480" w:lineRule="auto"/>
        <w:ind w:right="170"/>
        <w:rPr>
          <w:rFonts w:eastAsia="Times New Roman" w:cs="Times New Roman"/>
          <w:i/>
          <w:iCs/>
          <w:szCs w:val="24"/>
          <w:lang w:eastAsia="en-GB"/>
        </w:rPr>
      </w:pPr>
      <w:r w:rsidRPr="00050C0A">
        <w:rPr>
          <w:rFonts w:eastAsia="Times New Roman" w:cs="Times New Roman"/>
          <w:i/>
          <w:iCs/>
          <w:szCs w:val="24"/>
          <w:lang w:eastAsia="en-GB"/>
        </w:rPr>
        <w:t xml:space="preserve">Contemporary Methods </w:t>
      </w:r>
      <w:r w:rsidR="00CF506B" w:rsidRPr="00050C0A">
        <w:rPr>
          <w:rFonts w:eastAsia="Times New Roman" w:cs="Times New Roman"/>
          <w:szCs w:val="24"/>
          <w:lang w:eastAsia="en-GB"/>
        </w:rPr>
        <w:t xml:space="preserve"> </w:t>
      </w:r>
    </w:p>
    <w:p w14:paraId="72B7ACCD" w14:textId="1AEEAEA0" w:rsidR="00CF506B" w:rsidRPr="00050C0A" w:rsidRDefault="00CF506B" w:rsidP="00355760">
      <w:pPr>
        <w:spacing w:line="480" w:lineRule="auto"/>
        <w:ind w:firstLine="454"/>
        <w:rPr>
          <w:rFonts w:eastAsia="Calibri" w:cs="Times New Roman"/>
          <w:szCs w:val="24"/>
        </w:rPr>
      </w:pPr>
      <w:r w:rsidRPr="00050C0A">
        <w:rPr>
          <w:rFonts w:eastAsia="Times New Roman" w:cs="Times New Roman"/>
          <w:szCs w:val="24"/>
          <w:lang w:eastAsia="en-GB"/>
        </w:rPr>
        <w:tab/>
      </w:r>
      <w:r w:rsidR="00355760" w:rsidRPr="00050C0A">
        <w:rPr>
          <w:rFonts w:eastAsia="Calibri" w:cs="Times New Roman"/>
          <w:szCs w:val="24"/>
        </w:rPr>
        <w:t>The coaches highlighted how they used a range of contemporary learning principles within their practice. For the most part these were not explicitly referenced in regard to theory, however training methods that align to principles of player centred, nonlinear, and representative learning design, and to ecological dynami</w:t>
      </w:r>
      <w:r w:rsidR="00E33D08" w:rsidRPr="00050C0A">
        <w:rPr>
          <w:rFonts w:eastAsia="Calibri" w:cs="Times New Roman"/>
          <w:szCs w:val="24"/>
        </w:rPr>
        <w:t>cs were expressed</w:t>
      </w:r>
      <w:r w:rsidR="00355760" w:rsidRPr="00050C0A">
        <w:rPr>
          <w:rFonts w:eastAsia="Calibri" w:cs="Times New Roman"/>
          <w:szCs w:val="24"/>
        </w:rPr>
        <w:t>.</w:t>
      </w:r>
      <w:r w:rsidR="00E33D08" w:rsidRPr="00050C0A">
        <w:rPr>
          <w:rFonts w:eastAsia="Calibri" w:cs="Times New Roman"/>
          <w:szCs w:val="24"/>
          <w:vertAlign w:val="superscript"/>
        </w:rPr>
        <w:t>22, 29</w:t>
      </w:r>
      <w:r w:rsidR="00355760" w:rsidRPr="00050C0A">
        <w:rPr>
          <w:rFonts w:eastAsia="Calibri" w:cs="Times New Roman"/>
          <w:szCs w:val="24"/>
        </w:rPr>
        <w:t xml:space="preserve"> One coach detailed the importance of allowing players </w:t>
      </w:r>
      <w:r w:rsidR="00E454E4" w:rsidRPr="00050C0A">
        <w:rPr>
          <w:rFonts w:eastAsia="Calibri" w:cs="Times New Roman"/>
          <w:szCs w:val="24"/>
        </w:rPr>
        <w:t>t</w:t>
      </w:r>
      <w:r w:rsidR="00355760" w:rsidRPr="00050C0A">
        <w:rPr>
          <w:rFonts w:eastAsia="Calibri" w:cs="Times New Roman"/>
          <w:szCs w:val="24"/>
        </w:rPr>
        <w:t xml:space="preserve">o learn independently: </w:t>
      </w:r>
    </w:p>
    <w:p w14:paraId="52A3DC91" w14:textId="77777777" w:rsidR="00355760" w:rsidRPr="00050C0A" w:rsidRDefault="00CF506B" w:rsidP="00355760">
      <w:pPr>
        <w:spacing w:after="200" w:line="480" w:lineRule="auto"/>
        <w:ind w:left="709" w:right="1088" w:hanging="709"/>
        <w:jc w:val="both"/>
        <w:rPr>
          <w:rFonts w:eastAsia="Times New Roman" w:cs="Times New Roman"/>
          <w:szCs w:val="24"/>
          <w:lang w:eastAsia="en-GB"/>
        </w:rPr>
      </w:pPr>
      <w:r w:rsidRPr="00050C0A">
        <w:rPr>
          <w:rFonts w:eastAsia="Times New Roman" w:cs="Times New Roman"/>
          <w:szCs w:val="24"/>
          <w:lang w:eastAsia="en-GB"/>
        </w:rPr>
        <w:tab/>
      </w:r>
      <w:r w:rsidR="00355760" w:rsidRPr="00050C0A">
        <w:rPr>
          <w:rFonts w:eastAsia="Times New Roman" w:cs="Times New Roman"/>
          <w:szCs w:val="24"/>
          <w:lang w:eastAsia="en-GB"/>
        </w:rPr>
        <w:t xml:space="preserve">“They don’t have to be taught like robots, if you give them a challenging task and a couple of things to focus on, they can learn themselves by playing. They’ll pick things up if you give them one thing and don’t just spoon-feed them” (Coach 3). </w:t>
      </w:r>
    </w:p>
    <w:p w14:paraId="59EFEBC0" w14:textId="6E2F9ABC" w:rsidR="00355760" w:rsidRPr="00050C0A" w:rsidRDefault="00CF506B" w:rsidP="00355760">
      <w:pPr>
        <w:spacing w:after="200" w:line="480" w:lineRule="auto"/>
        <w:rPr>
          <w:rFonts w:eastAsia="Times New Roman" w:cs="Times New Roman"/>
          <w:szCs w:val="24"/>
          <w:lang w:eastAsia="en-GB"/>
        </w:rPr>
      </w:pPr>
      <w:r w:rsidRPr="00050C0A">
        <w:rPr>
          <w:rFonts w:eastAsia="Times New Roman" w:cs="Times New Roman"/>
          <w:szCs w:val="24"/>
          <w:lang w:eastAsia="en-GB"/>
        </w:rPr>
        <w:tab/>
      </w:r>
      <w:r w:rsidR="00355760" w:rsidRPr="00050C0A">
        <w:rPr>
          <w:rFonts w:eastAsia="Times New Roman" w:cs="Times New Roman"/>
          <w:szCs w:val="24"/>
          <w:lang w:eastAsia="en-GB"/>
        </w:rPr>
        <w:t>Adopting a player-centred approach to learning led coaches to accept that learning can be an inherently nonlinear and messy process as players explore solutions to challeng</w:t>
      </w:r>
      <w:r w:rsidR="00E33D08" w:rsidRPr="00050C0A">
        <w:rPr>
          <w:rFonts w:eastAsia="Times New Roman" w:cs="Times New Roman"/>
          <w:szCs w:val="24"/>
          <w:lang w:eastAsia="en-GB"/>
        </w:rPr>
        <w:t>es during a session</w:t>
      </w:r>
      <w:r w:rsidR="00E33D08" w:rsidRPr="00050C0A">
        <w:rPr>
          <w:rFonts w:eastAsia="Times New Roman" w:cs="Times New Roman"/>
          <w:szCs w:val="24"/>
          <w:vertAlign w:val="superscript"/>
          <w:lang w:eastAsia="en-GB"/>
        </w:rPr>
        <w:t>26</w:t>
      </w:r>
      <w:r w:rsidR="00355760" w:rsidRPr="00050C0A">
        <w:rPr>
          <w:rFonts w:eastAsia="Times New Roman" w:cs="Times New Roman"/>
          <w:szCs w:val="24"/>
          <w:lang w:eastAsia="en-GB"/>
        </w:rPr>
        <w:t xml:space="preserve">: </w:t>
      </w:r>
    </w:p>
    <w:p w14:paraId="64340E9F" w14:textId="77777777" w:rsidR="00355760" w:rsidRPr="00050C0A" w:rsidRDefault="00355760" w:rsidP="00355760">
      <w:pPr>
        <w:spacing w:after="200" w:line="480" w:lineRule="auto"/>
        <w:ind w:left="567" w:right="567"/>
        <w:jc w:val="both"/>
        <w:rPr>
          <w:rFonts w:eastAsia="Times New Roman" w:cs="Times New Roman"/>
          <w:szCs w:val="24"/>
          <w:lang w:eastAsia="en-GB"/>
        </w:rPr>
      </w:pPr>
      <w:r w:rsidRPr="00050C0A">
        <w:rPr>
          <w:rFonts w:eastAsia="Times New Roman" w:cs="Times New Roman"/>
          <w:szCs w:val="24"/>
          <w:lang w:eastAsia="en-GB"/>
        </w:rPr>
        <w:t xml:space="preserve">“It’s like learning to ride a bike, you might fall off but then eventually you get it…You’ve got to go through that learning process where they don’t do it, and it doesn’t quite come off” (Coach 6). </w:t>
      </w:r>
    </w:p>
    <w:p w14:paraId="3C21DCDA" w14:textId="66C0378F" w:rsidR="00355760" w:rsidRPr="00050C0A" w:rsidRDefault="00355760" w:rsidP="00355760">
      <w:pPr>
        <w:spacing w:after="200" w:line="480" w:lineRule="auto"/>
        <w:ind w:firstLine="720"/>
        <w:rPr>
          <w:rFonts w:eastAsia="Times New Roman" w:cs="Times New Roman"/>
          <w:szCs w:val="24"/>
          <w:lang w:eastAsia="en-GB"/>
        </w:rPr>
      </w:pPr>
      <w:r w:rsidRPr="00050C0A">
        <w:rPr>
          <w:rFonts w:eastAsia="Times New Roman" w:cs="Times New Roman"/>
          <w:szCs w:val="24"/>
          <w:lang w:eastAsia="en-GB"/>
        </w:rPr>
        <w:t>Adjusting activities to account for differences in learning did not involve over simplifying or completely changing the task, but subtly adjusting environmental or task c</w:t>
      </w:r>
      <w:r w:rsidR="00E33D08" w:rsidRPr="00050C0A">
        <w:rPr>
          <w:rFonts w:eastAsia="Times New Roman" w:cs="Times New Roman"/>
          <w:szCs w:val="24"/>
          <w:lang w:eastAsia="en-GB"/>
        </w:rPr>
        <w:t>onstraints</w:t>
      </w:r>
      <w:r w:rsidRPr="00050C0A">
        <w:rPr>
          <w:rFonts w:eastAsia="Times New Roman" w:cs="Times New Roman"/>
          <w:szCs w:val="24"/>
          <w:lang w:eastAsia="en-GB"/>
        </w:rPr>
        <w:t>.</w:t>
      </w:r>
      <w:r w:rsidR="00E33D08" w:rsidRPr="00050C0A">
        <w:rPr>
          <w:rFonts w:eastAsia="Times New Roman" w:cs="Times New Roman"/>
          <w:szCs w:val="24"/>
          <w:vertAlign w:val="superscript"/>
          <w:lang w:eastAsia="en-GB"/>
        </w:rPr>
        <w:t xml:space="preserve">32 </w:t>
      </w:r>
      <w:r w:rsidRPr="00050C0A">
        <w:rPr>
          <w:rFonts w:eastAsia="Times New Roman" w:cs="Times New Roman"/>
          <w:szCs w:val="24"/>
          <w:lang w:eastAsia="en-GB"/>
        </w:rPr>
        <w:t xml:space="preserve">This meant </w:t>
      </w:r>
      <w:r w:rsidR="00894FD3" w:rsidRPr="00050C0A">
        <w:rPr>
          <w:rFonts w:eastAsia="Times New Roman" w:cs="Times New Roman"/>
          <w:szCs w:val="24"/>
          <w:lang w:eastAsia="en-GB"/>
        </w:rPr>
        <w:t xml:space="preserve">that </w:t>
      </w:r>
      <w:r w:rsidRPr="00050C0A">
        <w:rPr>
          <w:rFonts w:eastAsia="Times New Roman" w:cs="Times New Roman"/>
          <w:szCs w:val="24"/>
          <w:lang w:eastAsia="en-GB"/>
        </w:rPr>
        <w:t xml:space="preserve">once </w:t>
      </w:r>
      <w:r w:rsidR="00894FD3" w:rsidRPr="00050C0A">
        <w:rPr>
          <w:rFonts w:eastAsia="Times New Roman" w:cs="Times New Roman"/>
          <w:szCs w:val="24"/>
          <w:lang w:eastAsia="en-GB"/>
        </w:rPr>
        <w:t xml:space="preserve">they were </w:t>
      </w:r>
      <w:r w:rsidRPr="00050C0A">
        <w:rPr>
          <w:rFonts w:eastAsia="Times New Roman" w:cs="Times New Roman"/>
          <w:szCs w:val="24"/>
          <w:lang w:eastAsia="en-GB"/>
        </w:rPr>
        <w:t xml:space="preserve">using </w:t>
      </w:r>
      <w:r w:rsidR="00894FD3" w:rsidRPr="00050C0A">
        <w:rPr>
          <w:rFonts w:eastAsia="Times New Roman" w:cs="Times New Roman"/>
          <w:szCs w:val="24"/>
          <w:lang w:eastAsia="en-GB"/>
        </w:rPr>
        <w:t xml:space="preserve">a </w:t>
      </w:r>
      <w:r w:rsidRPr="00050C0A">
        <w:rPr>
          <w:rFonts w:eastAsia="Times New Roman" w:cs="Times New Roman"/>
          <w:szCs w:val="24"/>
          <w:lang w:eastAsia="en-GB"/>
        </w:rPr>
        <w:t>games-based approach coaches could adapt the nature of the task without over compromising its structure, or likeness to a match. Whilst this did not mean that isolated technical practices were absent from sessions (see previous sub-theme), several coaches were able to identify the potential benefits of games-based activity:</w:t>
      </w:r>
    </w:p>
    <w:p w14:paraId="7A227108" w14:textId="77777777" w:rsidR="00355760" w:rsidRPr="00050C0A" w:rsidRDefault="00355760" w:rsidP="00355760">
      <w:pPr>
        <w:spacing w:after="200" w:line="480" w:lineRule="auto"/>
        <w:ind w:left="567" w:right="567"/>
        <w:jc w:val="both"/>
        <w:rPr>
          <w:rFonts w:eastAsia="Times New Roman" w:cs="Times New Roman"/>
          <w:szCs w:val="24"/>
          <w:lang w:eastAsia="en-GB"/>
        </w:rPr>
      </w:pPr>
      <w:r w:rsidRPr="00050C0A">
        <w:rPr>
          <w:rFonts w:eastAsia="Times New Roman" w:cs="Times New Roman"/>
          <w:szCs w:val="24"/>
          <w:lang w:eastAsia="en-GB"/>
        </w:rPr>
        <w:t xml:space="preserve">“For me, I like games because they are relevant to a match. That means I can get across the coaching points I want to make for a game on the weekend, and the kids can picture how everything relates” (Coach 2). </w:t>
      </w:r>
    </w:p>
    <w:p w14:paraId="4952C174" w14:textId="3FA3B09C" w:rsidR="00CF506B" w:rsidRPr="00050C0A" w:rsidRDefault="00355760" w:rsidP="00883C32">
      <w:pPr>
        <w:spacing w:after="200" w:line="480" w:lineRule="auto"/>
        <w:ind w:firstLine="720"/>
        <w:rPr>
          <w:rFonts w:eastAsia="Times New Roman" w:cs="Times New Roman"/>
          <w:szCs w:val="24"/>
          <w:lang w:eastAsia="en-GB"/>
        </w:rPr>
      </w:pPr>
      <w:r w:rsidRPr="00050C0A">
        <w:rPr>
          <w:rFonts w:eastAsia="Times New Roman" w:cs="Times New Roman"/>
          <w:szCs w:val="24"/>
          <w:lang w:eastAsia="en-GB"/>
        </w:rPr>
        <w:t xml:space="preserve"> This aligns with an ecological dynamics perspective of skill acquisition, and highlights that coaches have some awareness that developing a functional performer-environment relationship is a nonlinear process, influenced b</w:t>
      </w:r>
      <w:r w:rsidR="00E33D08" w:rsidRPr="00050C0A">
        <w:rPr>
          <w:rFonts w:eastAsia="Times New Roman" w:cs="Times New Roman"/>
          <w:szCs w:val="24"/>
          <w:lang w:eastAsia="en-GB"/>
        </w:rPr>
        <w:t>y interacting constraints</w:t>
      </w:r>
      <w:r w:rsidRPr="00050C0A">
        <w:rPr>
          <w:rFonts w:eastAsia="Times New Roman" w:cs="Times New Roman"/>
          <w:szCs w:val="24"/>
          <w:lang w:eastAsia="en-GB"/>
        </w:rPr>
        <w:t>.</w:t>
      </w:r>
      <w:r w:rsidR="00E33D08" w:rsidRPr="00050C0A">
        <w:rPr>
          <w:rFonts w:eastAsia="Times New Roman" w:cs="Times New Roman"/>
          <w:szCs w:val="24"/>
          <w:vertAlign w:val="superscript"/>
          <w:lang w:eastAsia="en-GB"/>
        </w:rPr>
        <w:t>13, 17</w:t>
      </w:r>
      <w:r w:rsidRPr="00050C0A">
        <w:rPr>
          <w:rFonts w:eastAsia="Times New Roman" w:cs="Times New Roman"/>
          <w:szCs w:val="24"/>
          <w:lang w:eastAsia="en-GB"/>
        </w:rPr>
        <w:t xml:space="preserve"> Furthermore, coaches advocated the use of games due to their relevance in match situations. By embracing match-relevant games during sessions, coaches provide players with opportunities to acquire and transfer both technical and decision-making skills into matches more effective</w:t>
      </w:r>
      <w:r w:rsidR="00883C32" w:rsidRPr="00050C0A">
        <w:rPr>
          <w:rFonts w:eastAsia="Times New Roman" w:cs="Times New Roman"/>
          <w:szCs w:val="24"/>
          <w:lang w:eastAsia="en-GB"/>
        </w:rPr>
        <w:t>ly</w:t>
      </w:r>
      <w:r w:rsidRPr="00050C0A">
        <w:rPr>
          <w:rFonts w:eastAsia="Times New Roman" w:cs="Times New Roman"/>
          <w:szCs w:val="24"/>
          <w:lang w:eastAsia="en-GB"/>
        </w:rPr>
        <w:t>.</w:t>
      </w:r>
      <w:r w:rsidR="00883C32" w:rsidRPr="00050C0A">
        <w:rPr>
          <w:rFonts w:eastAsia="Times New Roman" w:cs="Times New Roman"/>
          <w:szCs w:val="24"/>
          <w:vertAlign w:val="superscript"/>
          <w:lang w:eastAsia="en-GB"/>
        </w:rPr>
        <w:t>17, 29-30</w:t>
      </w:r>
      <w:r w:rsidRPr="00050C0A">
        <w:rPr>
          <w:rFonts w:eastAsia="Times New Roman" w:cs="Times New Roman"/>
          <w:szCs w:val="24"/>
          <w:lang w:eastAsia="en-GB"/>
        </w:rPr>
        <w:t xml:space="preserve"> Although more explicit conceptual understanding could be beneficial in helping coaches to consistently implement</w:t>
      </w:r>
      <w:r w:rsidR="00883C32" w:rsidRPr="00050C0A">
        <w:rPr>
          <w:rFonts w:eastAsia="Times New Roman" w:cs="Times New Roman"/>
          <w:szCs w:val="24"/>
          <w:lang w:eastAsia="en-GB"/>
        </w:rPr>
        <w:t xml:space="preserve"> these approaches</w:t>
      </w:r>
      <w:r w:rsidRPr="00050C0A">
        <w:rPr>
          <w:rFonts w:eastAsia="Times New Roman" w:cs="Times New Roman"/>
          <w:szCs w:val="24"/>
          <w:lang w:eastAsia="en-GB"/>
        </w:rPr>
        <w:t>,</w:t>
      </w:r>
      <w:r w:rsidR="00883C32" w:rsidRPr="00050C0A">
        <w:rPr>
          <w:rFonts w:eastAsia="Times New Roman" w:cs="Times New Roman"/>
          <w:szCs w:val="24"/>
          <w:vertAlign w:val="superscript"/>
          <w:lang w:eastAsia="en-GB"/>
        </w:rPr>
        <w:t>41</w:t>
      </w:r>
      <w:r w:rsidRPr="00050C0A">
        <w:rPr>
          <w:rFonts w:eastAsia="Times New Roman" w:cs="Times New Roman"/>
          <w:szCs w:val="24"/>
          <w:lang w:eastAsia="en-GB"/>
        </w:rPr>
        <w:t xml:space="preserve"> these findings are somewhat encouraging.</w:t>
      </w:r>
    </w:p>
    <w:p w14:paraId="0471E7A5" w14:textId="44E1FAC4" w:rsidR="00355760" w:rsidRPr="00050C0A" w:rsidRDefault="00355760" w:rsidP="00E8058B">
      <w:pPr>
        <w:spacing w:after="200" w:line="480" w:lineRule="auto"/>
        <w:rPr>
          <w:rFonts w:eastAsia="Times New Roman" w:cs="Times New Roman"/>
          <w:b/>
          <w:bCs/>
          <w:i/>
          <w:szCs w:val="24"/>
          <w:lang w:eastAsia="en-GB"/>
        </w:rPr>
      </w:pPr>
      <w:r w:rsidRPr="00050C0A">
        <w:rPr>
          <w:rFonts w:eastAsia="Times New Roman" w:cs="Times New Roman"/>
          <w:b/>
          <w:bCs/>
          <w:i/>
          <w:szCs w:val="24"/>
          <w:lang w:eastAsia="en-GB"/>
        </w:rPr>
        <w:t xml:space="preserve">The Coaching Environment </w:t>
      </w:r>
    </w:p>
    <w:p w14:paraId="2C5DFE28" w14:textId="4C398508" w:rsidR="00355760" w:rsidRPr="00050C0A" w:rsidRDefault="00355760" w:rsidP="00355760">
      <w:pPr>
        <w:spacing w:before="0" w:after="160" w:line="480" w:lineRule="auto"/>
        <w:ind w:firstLine="720"/>
        <w:rPr>
          <w:rFonts w:eastAsia="Calibri" w:cs="Times New Roman"/>
          <w:szCs w:val="24"/>
        </w:rPr>
      </w:pPr>
      <w:r w:rsidRPr="00050C0A">
        <w:rPr>
          <w:rFonts w:eastAsia="Calibri" w:cs="Times New Roman"/>
          <w:szCs w:val="24"/>
        </w:rPr>
        <w:t xml:space="preserve">Within this dimension, coaches’ experiences of factors that shape their approach to player learning from within their own coaching environment are presented. Three higher order themes of club philosophies, player characteristics, and setting and learning requirements were identified. </w:t>
      </w:r>
    </w:p>
    <w:p w14:paraId="58423E6B" w14:textId="17AFE587" w:rsidR="00355760" w:rsidRPr="00050C0A" w:rsidRDefault="00355760" w:rsidP="00E8058B">
      <w:pPr>
        <w:spacing w:after="200" w:line="480" w:lineRule="auto"/>
        <w:rPr>
          <w:rFonts w:eastAsia="Times New Roman" w:cs="Times New Roman"/>
          <w:i/>
          <w:szCs w:val="24"/>
          <w:lang w:eastAsia="en-GB"/>
        </w:rPr>
      </w:pPr>
      <w:r w:rsidRPr="00050C0A">
        <w:rPr>
          <w:rFonts w:eastAsia="Times New Roman" w:cs="Times New Roman"/>
          <w:i/>
          <w:szCs w:val="24"/>
          <w:lang w:eastAsia="en-GB"/>
        </w:rPr>
        <w:t xml:space="preserve">Club Philosophies </w:t>
      </w:r>
    </w:p>
    <w:p w14:paraId="08D35D92" w14:textId="77777777" w:rsidR="00355760" w:rsidRPr="00050C0A" w:rsidRDefault="00CF506B" w:rsidP="00355760">
      <w:pPr>
        <w:spacing w:line="480" w:lineRule="auto"/>
        <w:ind w:firstLine="454"/>
        <w:rPr>
          <w:rFonts w:eastAsia="Calibri" w:cs="Times New Roman"/>
          <w:szCs w:val="24"/>
        </w:rPr>
      </w:pPr>
      <w:r w:rsidRPr="00050C0A">
        <w:rPr>
          <w:rFonts w:eastAsia="Times New Roman" w:cs="Times New Roman"/>
          <w:szCs w:val="24"/>
          <w:lang w:eastAsia="en-GB"/>
        </w:rPr>
        <w:tab/>
      </w:r>
      <w:r w:rsidR="00355760" w:rsidRPr="00050C0A">
        <w:rPr>
          <w:rFonts w:eastAsia="Calibri" w:cs="Times New Roman"/>
          <w:szCs w:val="24"/>
        </w:rPr>
        <w:t xml:space="preserve">Coaches expressed how the philosophy of the club they worked at contributed to the focus and design of their sessions. Whereas some coaches worked independently, others worked at clubs that encouraged the coaches to design sessions in specific ways, or focus on the development of certain technical skills, as one coach alluded to: </w:t>
      </w:r>
    </w:p>
    <w:p w14:paraId="2FB9708C" w14:textId="77777777" w:rsidR="00355760" w:rsidRPr="00050C0A" w:rsidRDefault="00355760" w:rsidP="00355760">
      <w:pPr>
        <w:spacing w:before="0" w:after="160" w:line="480" w:lineRule="auto"/>
        <w:ind w:left="567" w:right="567"/>
        <w:jc w:val="both"/>
        <w:rPr>
          <w:rFonts w:eastAsia="Calibri" w:cs="Times New Roman"/>
          <w:szCs w:val="24"/>
        </w:rPr>
      </w:pPr>
      <w:r w:rsidRPr="00050C0A">
        <w:rPr>
          <w:rFonts w:eastAsia="Calibri" w:cs="Times New Roman"/>
          <w:szCs w:val="24"/>
        </w:rPr>
        <w:t>“At the club where we coach, our main focus is dribbling from the youngest age groups up. That will be ball at their feet, can they beat as many players as possible, can they do skills using different parts of the feet” (Coach 1).</w:t>
      </w:r>
    </w:p>
    <w:p w14:paraId="781F81C6" w14:textId="77777777" w:rsidR="00355760" w:rsidRPr="00050C0A" w:rsidRDefault="00355760" w:rsidP="00CC3F57">
      <w:pPr>
        <w:spacing w:before="0" w:after="160" w:line="480" w:lineRule="auto"/>
        <w:ind w:firstLine="720"/>
        <w:rPr>
          <w:rFonts w:eastAsia="Calibri" w:cs="Times New Roman"/>
          <w:szCs w:val="24"/>
        </w:rPr>
      </w:pPr>
      <w:r w:rsidRPr="00050C0A">
        <w:rPr>
          <w:rFonts w:eastAsia="Calibri" w:cs="Times New Roman"/>
          <w:szCs w:val="24"/>
        </w:rPr>
        <w:t xml:space="preserve">Where clubs had implemented a specific philosophy, the coaches suggested that they adopted it as their own. This was particularly evident when working in more elite environments: </w:t>
      </w:r>
    </w:p>
    <w:p w14:paraId="6BC27DBE" w14:textId="77777777" w:rsidR="00355760" w:rsidRPr="00050C0A" w:rsidRDefault="00355760" w:rsidP="00355760">
      <w:pPr>
        <w:spacing w:before="0" w:after="160" w:line="480" w:lineRule="auto"/>
        <w:ind w:left="567" w:right="567"/>
        <w:jc w:val="both"/>
        <w:rPr>
          <w:rFonts w:eastAsia="Calibri" w:cs="Times New Roman"/>
          <w:szCs w:val="24"/>
        </w:rPr>
      </w:pPr>
      <w:r w:rsidRPr="00050C0A">
        <w:rPr>
          <w:rFonts w:eastAsia="Calibri" w:cs="Times New Roman"/>
          <w:szCs w:val="24"/>
        </w:rPr>
        <w:t>“</w:t>
      </w:r>
      <w:bookmarkStart w:id="15" w:name="_Hlk51936784"/>
      <w:r w:rsidRPr="00050C0A">
        <w:rPr>
          <w:rFonts w:eastAsia="Calibri" w:cs="Times New Roman"/>
          <w:szCs w:val="24"/>
        </w:rPr>
        <w:t>At the Cat(</w:t>
      </w:r>
      <w:proofErr w:type="spellStart"/>
      <w:r w:rsidRPr="00050C0A">
        <w:rPr>
          <w:rFonts w:eastAsia="Calibri" w:cs="Times New Roman"/>
          <w:szCs w:val="24"/>
        </w:rPr>
        <w:t>egory</w:t>
      </w:r>
      <w:proofErr w:type="spellEnd"/>
      <w:r w:rsidRPr="00050C0A">
        <w:rPr>
          <w:rFonts w:eastAsia="Calibri" w:cs="Times New Roman"/>
          <w:szCs w:val="24"/>
        </w:rPr>
        <w:t>) 1 and Cat(</w:t>
      </w:r>
      <w:proofErr w:type="spellStart"/>
      <w:r w:rsidRPr="00050C0A">
        <w:rPr>
          <w:rFonts w:eastAsia="Calibri" w:cs="Times New Roman"/>
          <w:szCs w:val="24"/>
        </w:rPr>
        <w:t>egory</w:t>
      </w:r>
      <w:proofErr w:type="spellEnd"/>
      <w:r w:rsidRPr="00050C0A">
        <w:rPr>
          <w:rFonts w:eastAsia="Calibri" w:cs="Times New Roman"/>
          <w:szCs w:val="24"/>
        </w:rPr>
        <w:t>) 2 academies, of course they expect you to plan and develop sessions independently, but you’re very much working towards their guidelines in terms of player development</w:t>
      </w:r>
      <w:bookmarkEnd w:id="15"/>
      <w:r w:rsidRPr="00050C0A">
        <w:rPr>
          <w:rFonts w:eastAsia="Calibri" w:cs="Times New Roman"/>
          <w:szCs w:val="24"/>
        </w:rPr>
        <w:t xml:space="preserve">” (Coach 8). </w:t>
      </w:r>
    </w:p>
    <w:p w14:paraId="3AD34182" w14:textId="13BA67B8" w:rsidR="00CF506B" w:rsidRPr="00050C0A" w:rsidRDefault="00355760" w:rsidP="00CC3F57">
      <w:pPr>
        <w:spacing w:before="0" w:after="160" w:line="480" w:lineRule="auto"/>
        <w:ind w:firstLine="720"/>
        <w:rPr>
          <w:rFonts w:eastAsia="Calibri" w:cs="Times New Roman"/>
          <w:szCs w:val="24"/>
        </w:rPr>
      </w:pPr>
      <w:r w:rsidRPr="00050C0A">
        <w:rPr>
          <w:rFonts w:eastAsia="Calibri" w:cs="Times New Roman"/>
          <w:szCs w:val="24"/>
        </w:rPr>
        <w:t>By implementing a framework for coaches to adhere to, club philosophies play an important role in determining how learning environments are created for young players. This illustrates the importance of socio-cultural constraints on the d</w:t>
      </w:r>
      <w:r w:rsidR="009832F2" w:rsidRPr="00050C0A">
        <w:rPr>
          <w:rFonts w:eastAsia="Calibri" w:cs="Times New Roman"/>
          <w:szCs w:val="24"/>
        </w:rPr>
        <w:t>evelopment of athlete learning,</w:t>
      </w:r>
      <w:r w:rsidR="009832F2" w:rsidRPr="00050C0A">
        <w:rPr>
          <w:rFonts w:eastAsia="Calibri" w:cs="Times New Roman"/>
          <w:szCs w:val="24"/>
          <w:vertAlign w:val="superscript"/>
        </w:rPr>
        <w:t>6</w:t>
      </w:r>
      <w:r w:rsidR="00662610">
        <w:rPr>
          <w:rFonts w:eastAsia="Calibri" w:cs="Times New Roman"/>
          <w:szCs w:val="24"/>
          <w:vertAlign w:val="superscript"/>
        </w:rPr>
        <w:t>2</w:t>
      </w:r>
      <w:r w:rsidRPr="00050C0A">
        <w:rPr>
          <w:rFonts w:eastAsia="Calibri" w:cs="Times New Roman"/>
          <w:szCs w:val="24"/>
        </w:rPr>
        <w:t xml:space="preserve"> and is consistent with</w:t>
      </w:r>
      <w:r w:rsidR="009832F2" w:rsidRPr="00050C0A">
        <w:rPr>
          <w:rFonts w:eastAsia="Calibri" w:cs="Times New Roman"/>
          <w:szCs w:val="24"/>
        </w:rPr>
        <w:t xml:space="preserve"> Cushion and Partington’s</w:t>
      </w:r>
      <w:r w:rsidR="00E657F6" w:rsidRPr="00050C0A">
        <w:rPr>
          <w:rFonts w:eastAsia="Calibri" w:cs="Times New Roman"/>
          <w:szCs w:val="24"/>
        </w:rPr>
        <w:t xml:space="preserve"> </w:t>
      </w:r>
      <w:r w:rsidR="009832F2" w:rsidRPr="00050C0A">
        <w:rPr>
          <w:rFonts w:eastAsia="Calibri" w:cs="Times New Roman"/>
          <w:szCs w:val="24"/>
          <w:vertAlign w:val="superscript"/>
        </w:rPr>
        <w:t>6</w:t>
      </w:r>
      <w:r w:rsidR="004310F7">
        <w:rPr>
          <w:rFonts w:eastAsia="Calibri" w:cs="Times New Roman"/>
          <w:szCs w:val="24"/>
          <w:vertAlign w:val="superscript"/>
        </w:rPr>
        <w:t>3</w:t>
      </w:r>
      <w:r w:rsidRPr="00050C0A">
        <w:rPr>
          <w:rFonts w:eastAsia="Calibri" w:cs="Times New Roman"/>
          <w:szCs w:val="24"/>
        </w:rPr>
        <w:t xml:space="preserve"> notion that coaching approaches are not underpinned solely by the agency of the coach but influenced by the social structure in which they operate. Although the coaches interviewed had not experienced a situation where they strongly opposed a coaching philosophy implemented by their club, it is important to consider that club philosophies can act as a reinforcer of traditional norms that coaches can find difficult to de</w:t>
      </w:r>
      <w:r w:rsidR="009832F2" w:rsidRPr="00050C0A">
        <w:rPr>
          <w:rFonts w:eastAsia="Calibri" w:cs="Times New Roman"/>
          <w:szCs w:val="24"/>
        </w:rPr>
        <w:t>viate from</w:t>
      </w:r>
      <w:r w:rsidRPr="00050C0A">
        <w:rPr>
          <w:rFonts w:eastAsia="Calibri" w:cs="Times New Roman"/>
          <w:szCs w:val="24"/>
        </w:rPr>
        <w:t>.</w:t>
      </w:r>
      <w:r w:rsidR="009832F2" w:rsidRPr="00050C0A">
        <w:rPr>
          <w:rFonts w:eastAsia="Calibri" w:cs="Times New Roman"/>
          <w:szCs w:val="24"/>
          <w:vertAlign w:val="superscript"/>
        </w:rPr>
        <w:t>14, 6</w:t>
      </w:r>
      <w:r w:rsidR="00A47E69">
        <w:rPr>
          <w:rFonts w:eastAsia="Calibri" w:cs="Times New Roman"/>
          <w:szCs w:val="24"/>
          <w:vertAlign w:val="superscript"/>
        </w:rPr>
        <w:t>4</w:t>
      </w:r>
      <w:r w:rsidR="009832F2" w:rsidRPr="00050C0A">
        <w:rPr>
          <w:rFonts w:eastAsia="Calibri" w:cs="Times New Roman"/>
          <w:szCs w:val="24"/>
          <w:vertAlign w:val="superscript"/>
        </w:rPr>
        <w:t>-6</w:t>
      </w:r>
      <w:r w:rsidR="00A47E69">
        <w:rPr>
          <w:rFonts w:eastAsia="Calibri" w:cs="Times New Roman"/>
          <w:szCs w:val="24"/>
          <w:vertAlign w:val="superscript"/>
        </w:rPr>
        <w:t>5</w:t>
      </w:r>
      <w:r w:rsidRPr="00050C0A">
        <w:rPr>
          <w:rFonts w:eastAsia="Calibri" w:cs="Times New Roman"/>
          <w:szCs w:val="24"/>
        </w:rPr>
        <w:t xml:space="preserve"> Combined, these findings highlight the need to consider clubs as significant contributors to coaches’ approaches to player learning. As such, coach educators must consider how the philosophies of clubs align with their principles for practice (e.g., the England DNA</w:t>
      </w:r>
      <w:r w:rsidR="009832F2" w:rsidRPr="00050C0A">
        <w:rPr>
          <w:rFonts w:eastAsia="Calibri" w:cs="Times New Roman"/>
          <w:szCs w:val="24"/>
        </w:rPr>
        <w:t>)</w:t>
      </w:r>
      <w:r w:rsidR="009832F2" w:rsidRPr="00050C0A">
        <w:rPr>
          <w:rFonts w:eastAsia="Calibri" w:cs="Times New Roman"/>
          <w:szCs w:val="24"/>
          <w:vertAlign w:val="superscript"/>
        </w:rPr>
        <w:t>10</w:t>
      </w:r>
      <w:r w:rsidRPr="00050C0A">
        <w:rPr>
          <w:rFonts w:eastAsia="Calibri" w:cs="Times New Roman"/>
          <w:szCs w:val="24"/>
        </w:rPr>
        <w:t xml:space="preserve"> when looking to integrate contemporary pedagogical principles.</w:t>
      </w:r>
    </w:p>
    <w:p w14:paraId="1F4017E1" w14:textId="77777777" w:rsidR="00355760" w:rsidRPr="00050C0A" w:rsidRDefault="00355760" w:rsidP="00E8058B">
      <w:pPr>
        <w:spacing w:after="200" w:line="480" w:lineRule="auto"/>
        <w:rPr>
          <w:rFonts w:eastAsia="Times New Roman" w:cs="Times New Roman"/>
          <w:i/>
          <w:szCs w:val="24"/>
          <w:lang w:eastAsia="en-GB"/>
        </w:rPr>
      </w:pPr>
      <w:r w:rsidRPr="00050C0A">
        <w:rPr>
          <w:rFonts w:eastAsia="Times New Roman" w:cs="Times New Roman"/>
          <w:i/>
          <w:szCs w:val="24"/>
          <w:lang w:eastAsia="en-GB"/>
        </w:rPr>
        <w:t xml:space="preserve">Player Characteristics </w:t>
      </w:r>
    </w:p>
    <w:p w14:paraId="43F1DFDC" w14:textId="1081B79A" w:rsidR="00355760" w:rsidRPr="00050C0A" w:rsidRDefault="00CF506B" w:rsidP="00355760">
      <w:pPr>
        <w:spacing w:line="480" w:lineRule="auto"/>
        <w:ind w:firstLine="454"/>
        <w:rPr>
          <w:rFonts w:eastAsia="Calibri" w:cs="Times New Roman"/>
          <w:szCs w:val="24"/>
        </w:rPr>
      </w:pPr>
      <w:r w:rsidRPr="00050C0A">
        <w:rPr>
          <w:rFonts w:eastAsia="Times New Roman" w:cs="Times New Roman"/>
          <w:szCs w:val="24"/>
          <w:lang w:eastAsia="en-GB"/>
        </w:rPr>
        <w:tab/>
      </w:r>
      <w:r w:rsidR="00355760" w:rsidRPr="00050C0A">
        <w:rPr>
          <w:rFonts w:eastAsia="Calibri" w:cs="Times New Roman"/>
          <w:szCs w:val="24"/>
        </w:rPr>
        <w:t>Coaches approached their sessions differently depend</w:t>
      </w:r>
      <w:r w:rsidR="000014BA" w:rsidRPr="00050C0A">
        <w:rPr>
          <w:rFonts w:eastAsia="Calibri" w:cs="Times New Roman"/>
          <w:szCs w:val="24"/>
        </w:rPr>
        <w:t>ing</w:t>
      </w:r>
      <w:r w:rsidR="00355760" w:rsidRPr="00050C0A">
        <w:rPr>
          <w:rFonts w:eastAsia="Calibri" w:cs="Times New Roman"/>
          <w:szCs w:val="24"/>
        </w:rPr>
        <w:t xml:space="preserve"> on the characteristics (e.g., age or skill level) of the group that they were coaching. These characteristics were important considerations when planning sessions, as one coach explained:</w:t>
      </w:r>
    </w:p>
    <w:p w14:paraId="3125E565" w14:textId="77777777" w:rsidR="00355760" w:rsidRPr="00050C0A" w:rsidRDefault="00355760" w:rsidP="00355760">
      <w:pPr>
        <w:spacing w:before="0" w:after="160" w:line="480" w:lineRule="auto"/>
        <w:ind w:left="567" w:right="567"/>
        <w:jc w:val="both"/>
        <w:rPr>
          <w:rFonts w:eastAsia="Calibri" w:cs="Times New Roman"/>
          <w:szCs w:val="24"/>
        </w:rPr>
      </w:pPr>
      <w:r w:rsidRPr="00050C0A">
        <w:rPr>
          <w:rFonts w:eastAsia="Calibri" w:cs="Times New Roman"/>
          <w:szCs w:val="24"/>
        </w:rPr>
        <w:t>“So, the ability level and age particularly make a difference. You need to adapt the session depending on that and that is the first thing I consider before structuring my sessions” (Coach 7).</w:t>
      </w:r>
    </w:p>
    <w:p w14:paraId="15DE31CE" w14:textId="77777777" w:rsidR="00355760" w:rsidRPr="00050C0A" w:rsidRDefault="00355760" w:rsidP="00CC3F57">
      <w:pPr>
        <w:spacing w:before="0" w:after="160" w:line="480" w:lineRule="auto"/>
        <w:ind w:firstLine="720"/>
        <w:rPr>
          <w:rFonts w:eastAsia="Calibri" w:cs="Times New Roman"/>
          <w:szCs w:val="24"/>
        </w:rPr>
      </w:pPr>
      <w:r w:rsidRPr="00050C0A">
        <w:rPr>
          <w:rFonts w:eastAsia="Calibri" w:cs="Times New Roman"/>
          <w:szCs w:val="24"/>
        </w:rPr>
        <w:t xml:space="preserve">With younger age groups, the sessions became more focused around the development of technical skills over tactical understanding: </w:t>
      </w:r>
    </w:p>
    <w:p w14:paraId="082964B6" w14:textId="71A94DD6" w:rsidR="00355760" w:rsidRPr="00050C0A" w:rsidRDefault="00355760" w:rsidP="00355760">
      <w:pPr>
        <w:spacing w:before="0" w:after="160" w:line="480" w:lineRule="auto"/>
        <w:ind w:left="567" w:right="567"/>
        <w:jc w:val="both"/>
        <w:rPr>
          <w:rFonts w:eastAsia="Calibri" w:cs="Times New Roman"/>
          <w:szCs w:val="24"/>
        </w:rPr>
      </w:pPr>
      <w:r w:rsidRPr="00050C0A">
        <w:rPr>
          <w:rFonts w:eastAsia="Calibri" w:cs="Times New Roman"/>
          <w:szCs w:val="24"/>
        </w:rPr>
        <w:t>“As they grow older it needs to change from a more technical focus to tactical. So being able to switch from when they are 8 and 9 years old it’s all technical, then every year you add a bit more tactical sense in, that is the challenge” (Coach 1).</w:t>
      </w:r>
    </w:p>
    <w:p w14:paraId="3709486C" w14:textId="77777777" w:rsidR="00355760" w:rsidRPr="00050C0A" w:rsidRDefault="00355760" w:rsidP="00CC3F57">
      <w:pPr>
        <w:spacing w:before="0" w:after="160" w:line="480" w:lineRule="auto"/>
        <w:ind w:firstLine="720"/>
        <w:rPr>
          <w:rFonts w:eastAsia="Calibri" w:cs="Times New Roman"/>
          <w:szCs w:val="24"/>
        </w:rPr>
      </w:pPr>
      <w:r w:rsidRPr="00050C0A">
        <w:rPr>
          <w:rFonts w:eastAsia="Calibri" w:cs="Times New Roman"/>
          <w:szCs w:val="24"/>
        </w:rPr>
        <w:t xml:space="preserve">Similarly, more simplistic technically focused practises were viewed as important when working with players of lesser abilities: </w:t>
      </w:r>
    </w:p>
    <w:p w14:paraId="7A2C3AD0" w14:textId="77777777" w:rsidR="00355760" w:rsidRPr="00050C0A" w:rsidRDefault="00355760" w:rsidP="00355760">
      <w:pPr>
        <w:spacing w:before="0" w:after="160" w:line="480" w:lineRule="auto"/>
        <w:ind w:left="567" w:right="567"/>
        <w:jc w:val="both"/>
        <w:rPr>
          <w:rFonts w:eastAsia="Calibri" w:cs="Times New Roman"/>
          <w:szCs w:val="24"/>
        </w:rPr>
      </w:pPr>
      <w:r w:rsidRPr="00050C0A">
        <w:rPr>
          <w:rFonts w:eastAsia="Calibri" w:cs="Times New Roman"/>
          <w:szCs w:val="24"/>
        </w:rPr>
        <w:t>“</w:t>
      </w:r>
      <w:bookmarkStart w:id="16" w:name="_Hlk51855672"/>
      <w:r w:rsidRPr="00050C0A">
        <w:rPr>
          <w:rFonts w:eastAsia="Calibri" w:cs="Times New Roman"/>
          <w:szCs w:val="24"/>
        </w:rPr>
        <w:t>With my boys now, I could try and work on transition in defence to attack. Great, set up a phase of play or complex practice. But some of them will struggle because they don’t have the basic technical skills like passing range, first touch, movement and stuff. So, we need to work on that first</w:t>
      </w:r>
      <w:bookmarkEnd w:id="16"/>
      <w:r w:rsidRPr="00050C0A">
        <w:rPr>
          <w:rFonts w:eastAsia="Calibri" w:cs="Times New Roman"/>
          <w:szCs w:val="24"/>
        </w:rPr>
        <w:t>” (Coach 4).</w:t>
      </w:r>
    </w:p>
    <w:p w14:paraId="578C1792" w14:textId="2D705553" w:rsidR="00CF506B" w:rsidRPr="00050C0A" w:rsidRDefault="00355760" w:rsidP="00A358D3">
      <w:pPr>
        <w:spacing w:before="0" w:after="160" w:line="480" w:lineRule="auto"/>
        <w:ind w:firstLine="720"/>
        <w:rPr>
          <w:rFonts w:eastAsia="Calibri" w:cs="Times New Roman"/>
          <w:szCs w:val="24"/>
        </w:rPr>
      </w:pPr>
      <w:r w:rsidRPr="00050C0A">
        <w:rPr>
          <w:rFonts w:eastAsia="Calibri" w:cs="Times New Roman"/>
          <w:szCs w:val="24"/>
        </w:rPr>
        <w:t xml:space="preserve">As </w:t>
      </w:r>
      <w:r w:rsidR="00A358D3" w:rsidRPr="00050C0A">
        <w:rPr>
          <w:rFonts w:eastAsia="Calibri" w:cs="Times New Roman"/>
          <w:szCs w:val="24"/>
        </w:rPr>
        <w:t>researchers</w:t>
      </w:r>
      <w:r w:rsidRPr="00050C0A">
        <w:rPr>
          <w:rFonts w:eastAsia="Calibri" w:cs="Times New Roman"/>
          <w:szCs w:val="24"/>
        </w:rPr>
        <w:t xml:space="preserve"> ha</w:t>
      </w:r>
      <w:r w:rsidR="00A358D3" w:rsidRPr="00050C0A">
        <w:rPr>
          <w:rFonts w:eastAsia="Calibri" w:cs="Times New Roman"/>
          <w:szCs w:val="24"/>
        </w:rPr>
        <w:t>ve</w:t>
      </w:r>
      <w:r w:rsidRPr="00050C0A">
        <w:rPr>
          <w:rFonts w:eastAsia="Calibri" w:cs="Times New Roman"/>
          <w:szCs w:val="24"/>
        </w:rPr>
        <w:t xml:space="preserve"> suggested,</w:t>
      </w:r>
      <w:r w:rsidR="00A358D3" w:rsidRPr="00050C0A">
        <w:rPr>
          <w:rFonts w:eastAsia="Calibri" w:cs="Times New Roman"/>
          <w:szCs w:val="24"/>
          <w:vertAlign w:val="superscript"/>
        </w:rPr>
        <w:t xml:space="preserve">59 </w:t>
      </w:r>
      <w:r w:rsidRPr="00050C0A">
        <w:rPr>
          <w:rFonts w:eastAsia="Calibri" w:cs="Times New Roman"/>
          <w:szCs w:val="24"/>
        </w:rPr>
        <w:t>adopting a less binary approach that accepts the complementary relationship between the development of technique and tactical understanding can be beneficial. Perhaps most notably, this could encourage coaches to create sessions that promote technical development whilst acknowledging the need to train these skills using activities that facilitate decision-making, development of tactical awareness, and the transfer of learning into the competition environment</w:t>
      </w:r>
      <w:r w:rsidR="00A358D3" w:rsidRPr="00050C0A">
        <w:rPr>
          <w:rFonts w:eastAsia="Calibri" w:cs="Times New Roman"/>
          <w:szCs w:val="24"/>
        </w:rPr>
        <w:t>.</w:t>
      </w:r>
      <w:r w:rsidR="00A358D3" w:rsidRPr="00050C0A">
        <w:rPr>
          <w:rFonts w:eastAsia="Calibri" w:cs="Times New Roman"/>
          <w:szCs w:val="24"/>
          <w:vertAlign w:val="superscript"/>
        </w:rPr>
        <w:t xml:space="preserve">16-17, 39 </w:t>
      </w:r>
      <w:r w:rsidRPr="00050C0A">
        <w:rPr>
          <w:rFonts w:eastAsia="Calibri" w:cs="Times New Roman"/>
          <w:szCs w:val="24"/>
        </w:rPr>
        <w:t>This approach to player learning and practice design requires an awareness of task simplification over task fractionation or decomposition, in the sense that practises must preserve the complexity of the activity to maintain the coupling between information and movement, and thus transfer of skills.</w:t>
      </w:r>
      <w:r w:rsidR="00A358D3" w:rsidRPr="00050C0A">
        <w:rPr>
          <w:rFonts w:eastAsia="Calibri" w:cs="Times New Roman"/>
          <w:szCs w:val="24"/>
          <w:vertAlign w:val="superscript"/>
        </w:rPr>
        <w:t>6</w:t>
      </w:r>
      <w:r w:rsidR="00E84DF1">
        <w:rPr>
          <w:rFonts w:eastAsia="Calibri" w:cs="Times New Roman"/>
          <w:szCs w:val="24"/>
          <w:vertAlign w:val="superscript"/>
        </w:rPr>
        <w:t>6</w:t>
      </w:r>
      <w:r w:rsidRPr="00050C0A">
        <w:rPr>
          <w:rFonts w:eastAsia="Calibri" w:cs="Times New Roman"/>
          <w:szCs w:val="24"/>
        </w:rPr>
        <w:t xml:space="preserve"> Coach educators must be sensitive to this and ensure that coaches are equipped with the necessary understanding to utilise and apply contemporary methods at grass roots and foundational levels.</w:t>
      </w:r>
      <w:r w:rsidR="00922298" w:rsidRPr="00050C0A">
        <w:rPr>
          <w:rFonts w:eastAsia="Calibri" w:cs="Times New Roman"/>
          <w:szCs w:val="24"/>
          <w:vertAlign w:val="superscript"/>
        </w:rPr>
        <w:t>6</w:t>
      </w:r>
      <w:r w:rsidR="00910B0B">
        <w:rPr>
          <w:rFonts w:eastAsia="Calibri" w:cs="Times New Roman"/>
          <w:szCs w:val="24"/>
          <w:vertAlign w:val="superscript"/>
        </w:rPr>
        <w:t>7</w:t>
      </w:r>
      <w:r w:rsidR="00A02916" w:rsidRPr="00050C0A">
        <w:rPr>
          <w:rFonts w:eastAsia="Calibri" w:cs="Times New Roman"/>
          <w:szCs w:val="24"/>
          <w:vertAlign w:val="superscript"/>
        </w:rPr>
        <w:t>-</w:t>
      </w:r>
      <w:r w:rsidR="00922298" w:rsidRPr="00050C0A">
        <w:rPr>
          <w:rFonts w:eastAsia="Calibri" w:cs="Times New Roman"/>
          <w:szCs w:val="24"/>
          <w:vertAlign w:val="superscript"/>
        </w:rPr>
        <w:t>6</w:t>
      </w:r>
      <w:r w:rsidR="00D059E5">
        <w:rPr>
          <w:rFonts w:eastAsia="Calibri" w:cs="Times New Roman"/>
          <w:szCs w:val="24"/>
          <w:vertAlign w:val="superscript"/>
        </w:rPr>
        <w:t>8</w:t>
      </w:r>
      <w:r w:rsidRPr="00050C0A">
        <w:rPr>
          <w:rFonts w:eastAsia="Calibri" w:cs="Times New Roman"/>
          <w:szCs w:val="24"/>
        </w:rPr>
        <w:t xml:space="preserve"> </w:t>
      </w:r>
    </w:p>
    <w:p w14:paraId="706155EB" w14:textId="01C01057" w:rsidR="00CF506B" w:rsidRPr="00050C0A" w:rsidRDefault="006C1F94" w:rsidP="00E8058B">
      <w:pPr>
        <w:spacing w:after="200" w:line="480" w:lineRule="auto"/>
        <w:rPr>
          <w:rFonts w:eastAsia="Times New Roman" w:cs="Times New Roman"/>
          <w:i/>
          <w:szCs w:val="24"/>
          <w:lang w:eastAsia="en-GB"/>
        </w:rPr>
      </w:pPr>
      <w:r w:rsidRPr="00050C0A">
        <w:rPr>
          <w:rFonts w:eastAsia="Times New Roman" w:cs="Times New Roman"/>
          <w:i/>
          <w:szCs w:val="24"/>
          <w:lang w:eastAsia="en-GB"/>
        </w:rPr>
        <w:t>S</w:t>
      </w:r>
      <w:r w:rsidR="00355760" w:rsidRPr="00050C0A">
        <w:rPr>
          <w:rFonts w:eastAsia="Times New Roman" w:cs="Times New Roman"/>
          <w:i/>
          <w:szCs w:val="24"/>
          <w:lang w:eastAsia="en-GB"/>
        </w:rPr>
        <w:t xml:space="preserve">etting and Learning Requirements </w:t>
      </w:r>
    </w:p>
    <w:p w14:paraId="63A66B8E" w14:textId="77777777" w:rsidR="00355760" w:rsidRPr="00050C0A" w:rsidRDefault="00CF506B" w:rsidP="00355760">
      <w:pPr>
        <w:spacing w:line="480" w:lineRule="auto"/>
        <w:ind w:firstLine="454"/>
        <w:rPr>
          <w:rFonts w:eastAsia="Calibri" w:cs="Times New Roman"/>
          <w:szCs w:val="24"/>
        </w:rPr>
      </w:pPr>
      <w:r w:rsidRPr="00050C0A">
        <w:rPr>
          <w:rFonts w:eastAsia="Times New Roman" w:cs="Times New Roman"/>
          <w:szCs w:val="24"/>
          <w:lang w:eastAsia="en-GB"/>
        </w:rPr>
        <w:tab/>
      </w:r>
      <w:r w:rsidR="00355760" w:rsidRPr="00050C0A">
        <w:rPr>
          <w:rFonts w:eastAsia="Calibri" w:cs="Times New Roman"/>
          <w:szCs w:val="24"/>
        </w:rPr>
        <w:t xml:space="preserve">The coaches expressed how they may often work in different settings whereby their approaches to learning had to be sensitive to changing learning requirements. Whilst working with their teams, the aims of the session would often revolve around team-based principles relating to either previous performances or tactical development, as one coach explained: </w:t>
      </w:r>
    </w:p>
    <w:p w14:paraId="02791B54" w14:textId="77777777" w:rsidR="00355760" w:rsidRPr="00050C0A" w:rsidRDefault="00355760" w:rsidP="00355760">
      <w:pPr>
        <w:spacing w:before="0" w:after="160" w:line="480" w:lineRule="auto"/>
        <w:ind w:left="567" w:right="567"/>
        <w:jc w:val="both"/>
        <w:rPr>
          <w:rFonts w:eastAsia="Calibri" w:cs="Times New Roman"/>
          <w:szCs w:val="24"/>
        </w:rPr>
      </w:pPr>
      <w:r w:rsidRPr="00050C0A">
        <w:rPr>
          <w:rFonts w:eastAsia="Calibri" w:cs="Times New Roman"/>
          <w:szCs w:val="24"/>
        </w:rPr>
        <w:t xml:space="preserve">“This season in training I’d set one team up in a 4-3-3 as a lot of teams play that, then coach a team by letting them play against them in that formation. </w:t>
      </w:r>
      <w:bookmarkStart w:id="17" w:name="_Hlk51249528"/>
      <w:r w:rsidRPr="00050C0A">
        <w:rPr>
          <w:rFonts w:eastAsia="Calibri" w:cs="Times New Roman"/>
          <w:szCs w:val="24"/>
        </w:rPr>
        <w:t>We’d focus on the positions they need to take up, how we attack, and how we defend against it</w:t>
      </w:r>
      <w:bookmarkEnd w:id="17"/>
      <w:r w:rsidRPr="00050C0A">
        <w:rPr>
          <w:rFonts w:eastAsia="Calibri" w:cs="Times New Roman"/>
          <w:szCs w:val="24"/>
        </w:rPr>
        <w:t>” (Coach 3).</w:t>
      </w:r>
    </w:p>
    <w:p w14:paraId="7B1A18D7" w14:textId="77777777" w:rsidR="00355760" w:rsidRPr="00050C0A" w:rsidRDefault="00355760" w:rsidP="00CC3F57">
      <w:pPr>
        <w:spacing w:before="0" w:after="160" w:line="480" w:lineRule="auto"/>
        <w:ind w:firstLine="720"/>
        <w:rPr>
          <w:rFonts w:eastAsia="Calibri" w:cs="Times New Roman"/>
          <w:szCs w:val="24"/>
        </w:rPr>
      </w:pPr>
      <w:r w:rsidRPr="00050C0A">
        <w:rPr>
          <w:rFonts w:eastAsia="Calibri" w:cs="Times New Roman"/>
          <w:szCs w:val="24"/>
        </w:rPr>
        <w:t xml:space="preserve">However, when working with players on a one-to-one basis, learning moved towards the development of technical skills that met the specific needs of that individual: </w:t>
      </w:r>
    </w:p>
    <w:p w14:paraId="3337DA35" w14:textId="564A6CDA" w:rsidR="00355760" w:rsidRPr="00050C0A" w:rsidRDefault="00355760" w:rsidP="00355760">
      <w:pPr>
        <w:spacing w:before="0" w:after="160" w:line="480" w:lineRule="auto"/>
        <w:ind w:left="567" w:right="567"/>
        <w:jc w:val="both"/>
        <w:rPr>
          <w:rFonts w:eastAsia="Calibri" w:cs="Times New Roman"/>
          <w:szCs w:val="24"/>
        </w:rPr>
      </w:pPr>
      <w:r w:rsidRPr="00050C0A">
        <w:rPr>
          <w:rFonts w:eastAsia="Calibri" w:cs="Times New Roman"/>
          <w:szCs w:val="24"/>
        </w:rPr>
        <w:t>“</w:t>
      </w:r>
      <w:bookmarkStart w:id="18" w:name="_Hlk51941084"/>
      <w:r w:rsidRPr="00050C0A">
        <w:rPr>
          <w:rFonts w:eastAsia="Calibri" w:cs="Times New Roman"/>
          <w:szCs w:val="24"/>
        </w:rPr>
        <w:t>I do a lot of one</w:t>
      </w:r>
      <w:r w:rsidR="000014BA" w:rsidRPr="00050C0A">
        <w:rPr>
          <w:rFonts w:eastAsia="Calibri" w:cs="Times New Roman"/>
          <w:szCs w:val="24"/>
        </w:rPr>
        <w:t>-</w:t>
      </w:r>
      <w:r w:rsidRPr="00050C0A">
        <w:rPr>
          <w:rFonts w:eastAsia="Calibri" w:cs="Times New Roman"/>
          <w:szCs w:val="24"/>
        </w:rPr>
        <w:t>to</w:t>
      </w:r>
      <w:r w:rsidR="000014BA" w:rsidRPr="00050C0A">
        <w:rPr>
          <w:rFonts w:eastAsia="Calibri" w:cs="Times New Roman"/>
          <w:szCs w:val="24"/>
        </w:rPr>
        <w:t>-</w:t>
      </w:r>
      <w:r w:rsidRPr="00050C0A">
        <w:rPr>
          <w:rFonts w:eastAsia="Calibri" w:cs="Times New Roman"/>
          <w:szCs w:val="24"/>
        </w:rPr>
        <w:t>one bits with pretty talented kids, but it’s great because you can really notice, break down and then improve those technical elements of their game that might not be quite up to speed</w:t>
      </w:r>
      <w:bookmarkEnd w:id="18"/>
      <w:r w:rsidRPr="00050C0A">
        <w:rPr>
          <w:rFonts w:eastAsia="Calibri" w:cs="Times New Roman"/>
          <w:szCs w:val="24"/>
        </w:rPr>
        <w:t xml:space="preserve">” (Coach 8). </w:t>
      </w:r>
    </w:p>
    <w:p w14:paraId="00BAF59B" w14:textId="77777777" w:rsidR="00355760" w:rsidRPr="00050C0A" w:rsidRDefault="00355760" w:rsidP="00CC3F57">
      <w:pPr>
        <w:spacing w:before="0" w:after="160" w:line="480" w:lineRule="auto"/>
        <w:ind w:firstLine="720"/>
        <w:rPr>
          <w:rFonts w:eastAsia="Calibri" w:cs="Times New Roman"/>
          <w:szCs w:val="24"/>
        </w:rPr>
      </w:pPr>
      <w:r w:rsidRPr="00050C0A">
        <w:rPr>
          <w:rFonts w:eastAsia="Calibri" w:cs="Times New Roman"/>
          <w:szCs w:val="24"/>
        </w:rPr>
        <w:t xml:space="preserve">A focus on individual improvement was also commonly reported by coaches who had worked within school systems, where despite coaching in groups, the success of their session was determined by the ability to facilitate positive learning outcomes for each learner: </w:t>
      </w:r>
    </w:p>
    <w:p w14:paraId="1F6CE053" w14:textId="77777777" w:rsidR="00355760" w:rsidRPr="00050C0A" w:rsidRDefault="00355760" w:rsidP="00CC3F57">
      <w:pPr>
        <w:spacing w:before="0" w:after="160" w:line="480" w:lineRule="auto"/>
        <w:ind w:left="567" w:right="567"/>
        <w:jc w:val="both"/>
        <w:rPr>
          <w:rFonts w:eastAsia="Calibri" w:cs="Times New Roman"/>
          <w:szCs w:val="24"/>
        </w:rPr>
      </w:pPr>
      <w:r w:rsidRPr="00050C0A">
        <w:rPr>
          <w:rFonts w:eastAsia="Calibri" w:cs="Times New Roman"/>
          <w:szCs w:val="24"/>
        </w:rPr>
        <w:t xml:space="preserve">“That’s (schools) where you need everyone to participate and enjoy it because the levels are so varied. It can be difficult to adapt because what you need to do is challenge the kids who are really good but help the kids who are really struggling so they both get positive outcomes” (Coach 2). </w:t>
      </w:r>
    </w:p>
    <w:p w14:paraId="2DF3D9CA" w14:textId="62B901C6" w:rsidR="00B3093F" w:rsidRPr="00050C0A" w:rsidRDefault="00355760" w:rsidP="00CC3F57">
      <w:pPr>
        <w:spacing w:before="0" w:after="160" w:line="480" w:lineRule="auto"/>
        <w:ind w:firstLine="720"/>
        <w:rPr>
          <w:rFonts w:eastAsia="Calibri" w:cs="Times New Roman"/>
          <w:szCs w:val="24"/>
        </w:rPr>
      </w:pPr>
      <w:r w:rsidRPr="00050C0A">
        <w:rPr>
          <w:rFonts w:eastAsia="Calibri" w:cs="Times New Roman"/>
          <w:szCs w:val="24"/>
        </w:rPr>
        <w:t>Despite coaches’ views that one to one coaching provides an important source of information regarding specific technique and weaknesses, to facilitate successful learning and improvement from these sessions</w:t>
      </w:r>
      <w:r w:rsidR="00A51574" w:rsidRPr="00050C0A">
        <w:rPr>
          <w:rFonts w:eastAsia="Calibri" w:cs="Times New Roman"/>
          <w:szCs w:val="24"/>
        </w:rPr>
        <w:t>,</w:t>
      </w:r>
      <w:r w:rsidRPr="00050C0A">
        <w:rPr>
          <w:rFonts w:eastAsia="Calibri" w:cs="Times New Roman"/>
          <w:szCs w:val="24"/>
        </w:rPr>
        <w:t xml:space="preserve"> coaches must allow learner</w:t>
      </w:r>
      <w:r w:rsidR="00281772" w:rsidRPr="00050C0A">
        <w:rPr>
          <w:rFonts w:eastAsia="Calibri" w:cs="Times New Roman"/>
          <w:szCs w:val="24"/>
        </w:rPr>
        <w:t>s</w:t>
      </w:r>
      <w:r w:rsidRPr="00050C0A">
        <w:rPr>
          <w:rFonts w:eastAsia="Calibri" w:cs="Times New Roman"/>
          <w:szCs w:val="24"/>
        </w:rPr>
        <w:t xml:space="preserve"> to explore solutions to challenges under representative conditions as opposed to fragmented or heavily broken down technical drills.</w:t>
      </w:r>
      <w:r w:rsidR="00922298" w:rsidRPr="00050C0A">
        <w:rPr>
          <w:rFonts w:eastAsia="Calibri" w:cs="Times New Roman"/>
          <w:szCs w:val="24"/>
          <w:vertAlign w:val="superscript"/>
        </w:rPr>
        <w:t>17, 6</w:t>
      </w:r>
      <w:r w:rsidR="00E84DF1">
        <w:rPr>
          <w:rFonts w:eastAsia="Calibri" w:cs="Times New Roman"/>
          <w:szCs w:val="24"/>
          <w:vertAlign w:val="superscript"/>
        </w:rPr>
        <w:t>6</w:t>
      </w:r>
      <w:r w:rsidRPr="00050C0A">
        <w:rPr>
          <w:rFonts w:eastAsia="Calibri" w:cs="Times New Roman"/>
          <w:szCs w:val="24"/>
        </w:rPr>
        <w:t xml:space="preserve"> Interestingly, working in school systems encouraged coaches to think critically about how to achieve individual improvement through maintaining suitable levels of challenge for each learner within a group session (e.g., Challenge Point Framework</w:t>
      </w:r>
      <w:r w:rsidR="00922298" w:rsidRPr="00050C0A">
        <w:rPr>
          <w:rFonts w:eastAsia="Calibri" w:cs="Times New Roman"/>
          <w:szCs w:val="24"/>
          <w:vertAlign w:val="superscript"/>
        </w:rPr>
        <w:t>6</w:t>
      </w:r>
      <w:r w:rsidR="00AC534E">
        <w:rPr>
          <w:rFonts w:eastAsia="Calibri" w:cs="Times New Roman"/>
          <w:szCs w:val="24"/>
          <w:vertAlign w:val="superscript"/>
        </w:rPr>
        <w:t>9</w:t>
      </w:r>
      <w:r w:rsidR="00922298" w:rsidRPr="00050C0A">
        <w:rPr>
          <w:rFonts w:eastAsia="Calibri" w:cs="Times New Roman"/>
          <w:szCs w:val="24"/>
        </w:rPr>
        <w:t>)</w:t>
      </w:r>
      <w:r w:rsidRPr="00050C0A">
        <w:rPr>
          <w:rFonts w:eastAsia="Calibri" w:cs="Times New Roman"/>
          <w:szCs w:val="24"/>
        </w:rPr>
        <w:t xml:space="preserve">. Taken in combination with the previous themes within this dimension, it is </w:t>
      </w:r>
      <w:r w:rsidR="00192A96" w:rsidRPr="00050C0A">
        <w:rPr>
          <w:rFonts w:eastAsia="Calibri" w:cs="Times New Roman"/>
          <w:szCs w:val="24"/>
        </w:rPr>
        <w:t>evident</w:t>
      </w:r>
      <w:r w:rsidRPr="00050C0A">
        <w:rPr>
          <w:rFonts w:eastAsia="Calibri" w:cs="Times New Roman"/>
          <w:szCs w:val="24"/>
        </w:rPr>
        <w:t xml:space="preserve"> that coaching, and consequently approaches to player learning, are complex and influenced by a multitude of social, contextual and situational factors</w:t>
      </w:r>
      <w:r w:rsidR="00A02916" w:rsidRPr="00050C0A">
        <w:rPr>
          <w:rFonts w:eastAsia="Calibri" w:cs="Times New Roman"/>
          <w:szCs w:val="24"/>
        </w:rPr>
        <w:t>.</w:t>
      </w:r>
      <w:r w:rsidR="00B03FF4">
        <w:rPr>
          <w:rFonts w:eastAsia="Calibri" w:cs="Times New Roman"/>
          <w:szCs w:val="24"/>
          <w:vertAlign w:val="superscript"/>
        </w:rPr>
        <w:t>70</w:t>
      </w:r>
      <w:r w:rsidR="00A02916" w:rsidRPr="00050C0A">
        <w:rPr>
          <w:rFonts w:eastAsia="Calibri" w:cs="Times New Roman"/>
          <w:szCs w:val="24"/>
          <w:vertAlign w:val="superscript"/>
        </w:rPr>
        <w:t>-7</w:t>
      </w:r>
      <w:r w:rsidR="0048517C">
        <w:rPr>
          <w:rFonts w:eastAsia="Calibri" w:cs="Times New Roman"/>
          <w:szCs w:val="24"/>
          <w:vertAlign w:val="superscript"/>
        </w:rPr>
        <w:t>1</w:t>
      </w:r>
      <w:r w:rsidRPr="00050C0A">
        <w:rPr>
          <w:rFonts w:eastAsia="Calibri" w:cs="Times New Roman"/>
          <w:szCs w:val="24"/>
        </w:rPr>
        <w:t xml:space="preserve"> </w:t>
      </w:r>
    </w:p>
    <w:p w14:paraId="001AC042" w14:textId="77777777" w:rsidR="00CC3F57" w:rsidRPr="00050C0A" w:rsidRDefault="00CC3F57" w:rsidP="006A623B">
      <w:pPr>
        <w:pStyle w:val="NoSpacing"/>
        <w:spacing w:line="480" w:lineRule="auto"/>
        <w:rPr>
          <w:b/>
          <w:bCs/>
          <w:i/>
          <w:iCs/>
          <w:lang w:eastAsia="en-GB"/>
        </w:rPr>
      </w:pPr>
      <w:r w:rsidRPr="00050C0A">
        <w:rPr>
          <w:b/>
          <w:bCs/>
          <w:i/>
          <w:iCs/>
          <w:lang w:eastAsia="en-GB"/>
        </w:rPr>
        <w:t xml:space="preserve">Opportunities for Learning and Development </w:t>
      </w:r>
    </w:p>
    <w:p w14:paraId="4F679E6C" w14:textId="3430AF6B" w:rsidR="00CC3F57" w:rsidRPr="00050C0A" w:rsidRDefault="00F83D4A" w:rsidP="00CC3F57">
      <w:pPr>
        <w:spacing w:line="480" w:lineRule="auto"/>
        <w:ind w:firstLine="454"/>
        <w:rPr>
          <w:rFonts w:eastAsia="Calibri" w:cs="Times New Roman"/>
          <w:szCs w:val="24"/>
        </w:rPr>
      </w:pPr>
      <w:r w:rsidRPr="00050C0A">
        <w:tab/>
      </w:r>
      <w:r w:rsidR="00CC3F57" w:rsidRPr="00050C0A">
        <w:rPr>
          <w:rFonts w:eastAsia="Calibri" w:cs="Times New Roman"/>
          <w:szCs w:val="24"/>
        </w:rPr>
        <w:t xml:space="preserve">Within this dimension, coaches’ experiences of how different learning and developmental opportunities have shaped their approach to player learning are discussed. Three higher order themes of self-development, experiences of FA education, and role of other coaches were identified. </w:t>
      </w:r>
    </w:p>
    <w:p w14:paraId="55356435" w14:textId="7A3861DD" w:rsidR="00CC3F57" w:rsidRPr="00050C0A" w:rsidRDefault="00CC3F57" w:rsidP="00CC3F57">
      <w:pPr>
        <w:spacing w:before="0" w:after="160" w:line="480" w:lineRule="auto"/>
        <w:rPr>
          <w:rFonts w:eastAsia="Calibri" w:cs="Times New Roman"/>
          <w:i/>
          <w:iCs/>
          <w:szCs w:val="24"/>
        </w:rPr>
      </w:pPr>
      <w:r w:rsidRPr="00050C0A">
        <w:rPr>
          <w:rFonts w:eastAsia="Calibri" w:cs="Times New Roman"/>
          <w:i/>
          <w:iCs/>
          <w:szCs w:val="24"/>
        </w:rPr>
        <w:t xml:space="preserve">Self-Development </w:t>
      </w:r>
    </w:p>
    <w:p w14:paraId="7C523053" w14:textId="77777777" w:rsidR="00CC3F57" w:rsidRPr="00050C0A" w:rsidRDefault="00CC3F57" w:rsidP="00CC3F57">
      <w:pPr>
        <w:spacing w:before="0" w:after="160" w:line="480" w:lineRule="auto"/>
        <w:ind w:firstLine="454"/>
        <w:rPr>
          <w:rFonts w:eastAsia="Calibri" w:cs="Times New Roman"/>
          <w:szCs w:val="24"/>
        </w:rPr>
      </w:pPr>
      <w:r w:rsidRPr="00050C0A">
        <w:rPr>
          <w:rFonts w:eastAsia="Calibri" w:cs="Times New Roman"/>
          <w:szCs w:val="24"/>
        </w:rPr>
        <w:t xml:space="preserve">The participants voiced how continually looking to improve as a coach was an important part of their practice: </w:t>
      </w:r>
    </w:p>
    <w:p w14:paraId="7814CFA4" w14:textId="77777777" w:rsidR="00CC3F57" w:rsidRPr="00050C0A" w:rsidRDefault="00CC3F57" w:rsidP="00CC3F57">
      <w:pPr>
        <w:spacing w:before="0" w:after="160" w:line="480" w:lineRule="auto"/>
        <w:ind w:left="567" w:right="567"/>
        <w:jc w:val="both"/>
        <w:rPr>
          <w:rFonts w:eastAsia="Calibri" w:cs="Times New Roman"/>
          <w:szCs w:val="24"/>
        </w:rPr>
      </w:pPr>
      <w:r w:rsidRPr="00050C0A">
        <w:rPr>
          <w:rFonts w:eastAsia="Calibri" w:cs="Times New Roman"/>
          <w:szCs w:val="24"/>
        </w:rPr>
        <w:t xml:space="preserve">“A massive thing for me throughout my coaching career or professional life is ‘who do I learn from?’, ‘how do I get better?’” (Coach 6). </w:t>
      </w:r>
    </w:p>
    <w:p w14:paraId="516ED192" w14:textId="272BEF55" w:rsidR="00CC3F57" w:rsidRPr="00050C0A" w:rsidRDefault="00CC3F57" w:rsidP="00CC3F57">
      <w:pPr>
        <w:spacing w:before="0" w:after="160" w:line="480" w:lineRule="auto"/>
        <w:ind w:firstLine="454"/>
        <w:rPr>
          <w:rFonts w:eastAsia="Calibri" w:cs="Times New Roman"/>
          <w:szCs w:val="24"/>
        </w:rPr>
      </w:pPr>
      <w:r w:rsidRPr="00050C0A">
        <w:rPr>
          <w:rFonts w:eastAsia="Calibri" w:cs="Times New Roman"/>
          <w:szCs w:val="24"/>
        </w:rPr>
        <w:t>Wh</w:t>
      </w:r>
      <w:r w:rsidR="00F26921" w:rsidRPr="00050C0A">
        <w:rPr>
          <w:rFonts w:eastAsia="Calibri" w:cs="Times New Roman"/>
          <w:szCs w:val="24"/>
        </w:rPr>
        <w:t>ilst</w:t>
      </w:r>
      <w:r w:rsidRPr="00050C0A">
        <w:rPr>
          <w:rFonts w:eastAsia="Calibri" w:cs="Times New Roman"/>
          <w:szCs w:val="24"/>
        </w:rPr>
        <w:t xml:space="preserve"> in some cases this </w:t>
      </w:r>
      <w:r w:rsidR="00F26921" w:rsidRPr="00050C0A">
        <w:rPr>
          <w:rFonts w:eastAsia="Calibri" w:cs="Times New Roman"/>
          <w:szCs w:val="24"/>
        </w:rPr>
        <w:t xml:space="preserve">could </w:t>
      </w:r>
      <w:r w:rsidRPr="00050C0A">
        <w:rPr>
          <w:rFonts w:eastAsia="Calibri" w:cs="Times New Roman"/>
          <w:szCs w:val="24"/>
        </w:rPr>
        <w:t xml:space="preserve">involve </w:t>
      </w:r>
      <w:r w:rsidR="00F26921" w:rsidRPr="00050C0A">
        <w:rPr>
          <w:rFonts w:eastAsia="Calibri" w:cs="Times New Roman"/>
          <w:szCs w:val="24"/>
        </w:rPr>
        <w:t xml:space="preserve">independently </w:t>
      </w:r>
      <w:r w:rsidRPr="00050C0A">
        <w:rPr>
          <w:rFonts w:eastAsia="Calibri" w:cs="Times New Roman"/>
          <w:szCs w:val="24"/>
        </w:rPr>
        <w:t>evaluating and</w:t>
      </w:r>
      <w:r w:rsidR="00F26921" w:rsidRPr="00050C0A">
        <w:rPr>
          <w:rFonts w:eastAsia="Calibri" w:cs="Times New Roman"/>
          <w:szCs w:val="24"/>
        </w:rPr>
        <w:t xml:space="preserve"> </w:t>
      </w:r>
      <w:r w:rsidRPr="00050C0A">
        <w:rPr>
          <w:rFonts w:eastAsia="Calibri" w:cs="Times New Roman"/>
          <w:szCs w:val="24"/>
        </w:rPr>
        <w:t xml:space="preserve">refining practice activities, the coaches expressed how knowledge gained from educational </w:t>
      </w:r>
      <w:r w:rsidR="00F26921" w:rsidRPr="00050C0A">
        <w:rPr>
          <w:rFonts w:eastAsia="Calibri" w:cs="Times New Roman"/>
          <w:szCs w:val="24"/>
        </w:rPr>
        <w:t xml:space="preserve">courses </w:t>
      </w:r>
      <w:r w:rsidRPr="00050C0A">
        <w:rPr>
          <w:rFonts w:eastAsia="Calibri" w:cs="Times New Roman"/>
          <w:szCs w:val="24"/>
        </w:rPr>
        <w:t xml:space="preserve">was </w:t>
      </w:r>
      <w:r w:rsidR="005A5580" w:rsidRPr="00050C0A">
        <w:rPr>
          <w:rFonts w:eastAsia="Calibri" w:cs="Times New Roman"/>
          <w:szCs w:val="24"/>
        </w:rPr>
        <w:t xml:space="preserve">also </w:t>
      </w:r>
      <w:r w:rsidRPr="00050C0A">
        <w:rPr>
          <w:rFonts w:eastAsia="Calibri" w:cs="Times New Roman"/>
          <w:szCs w:val="24"/>
        </w:rPr>
        <w:t xml:space="preserve">important. For many, this centred around a form of tertiary level study such as undergraduate coaching courses. The learning experiences on these courses helped develop skills like planning and reflection, but also directly influenced coaching behaviour, as one graduate coach described: </w:t>
      </w:r>
    </w:p>
    <w:p w14:paraId="236AA5C8" w14:textId="77777777" w:rsidR="00CC3F57" w:rsidRPr="00050C0A" w:rsidRDefault="00CC3F57" w:rsidP="00F43304">
      <w:pPr>
        <w:spacing w:before="0" w:after="160" w:line="480" w:lineRule="auto"/>
        <w:ind w:left="567" w:right="567"/>
        <w:rPr>
          <w:rFonts w:eastAsia="Calibri" w:cs="Times New Roman"/>
          <w:szCs w:val="24"/>
        </w:rPr>
      </w:pPr>
      <w:r w:rsidRPr="00050C0A">
        <w:rPr>
          <w:rFonts w:eastAsia="Calibri" w:cs="Times New Roman"/>
          <w:szCs w:val="24"/>
        </w:rPr>
        <w:t xml:space="preserve">“Okay, so one thing I learnt on the course is that every player has a different personality. I cannot shout instructions at every player because it will overwhelm a certain player. </w:t>
      </w:r>
      <w:bookmarkStart w:id="19" w:name="_Hlk51503505"/>
      <w:r w:rsidRPr="00050C0A">
        <w:rPr>
          <w:rFonts w:eastAsia="Calibri" w:cs="Times New Roman"/>
          <w:szCs w:val="24"/>
        </w:rPr>
        <w:t>You have to adapt your behaviour accordingly to get the best out of individuals</w:t>
      </w:r>
      <w:bookmarkEnd w:id="19"/>
      <w:r w:rsidRPr="00050C0A">
        <w:rPr>
          <w:rFonts w:eastAsia="Calibri" w:cs="Times New Roman"/>
          <w:szCs w:val="24"/>
        </w:rPr>
        <w:t>” (Coach 5).</w:t>
      </w:r>
    </w:p>
    <w:p w14:paraId="4D66B808" w14:textId="753905EC" w:rsidR="00CC3F57" w:rsidRPr="00050C0A" w:rsidRDefault="00CC3F57" w:rsidP="00CC3F57">
      <w:pPr>
        <w:spacing w:before="0" w:after="160" w:line="480" w:lineRule="auto"/>
        <w:ind w:firstLine="454"/>
        <w:rPr>
          <w:rFonts w:eastAsia="Calibri" w:cs="Times New Roman"/>
          <w:szCs w:val="24"/>
        </w:rPr>
      </w:pPr>
      <w:r w:rsidRPr="00050C0A">
        <w:rPr>
          <w:rFonts w:eastAsia="Calibri" w:cs="Times New Roman"/>
          <w:szCs w:val="24"/>
        </w:rPr>
        <w:t>Although researchers have indicated that coaches can struggle to specify and provide rationale for the behaviours and activities they use</w:t>
      </w:r>
      <w:r w:rsidR="00A02916" w:rsidRPr="00050C0A">
        <w:rPr>
          <w:rFonts w:eastAsia="Calibri" w:cs="Times New Roman"/>
          <w:szCs w:val="24"/>
        </w:rPr>
        <w:t>,</w:t>
      </w:r>
      <w:r w:rsidR="00A02916" w:rsidRPr="00050C0A">
        <w:rPr>
          <w:rFonts w:eastAsia="Calibri" w:cs="Times New Roman"/>
          <w:szCs w:val="24"/>
          <w:vertAlign w:val="superscript"/>
        </w:rPr>
        <w:t>2, 7</w:t>
      </w:r>
      <w:r w:rsidR="00D606C7">
        <w:rPr>
          <w:rFonts w:eastAsia="Calibri" w:cs="Times New Roman"/>
          <w:szCs w:val="24"/>
          <w:vertAlign w:val="superscript"/>
        </w:rPr>
        <w:t>2</w:t>
      </w:r>
      <w:r w:rsidR="00A02916" w:rsidRPr="00050C0A">
        <w:rPr>
          <w:rFonts w:eastAsia="Calibri" w:cs="Times New Roman"/>
          <w:szCs w:val="24"/>
          <w:vertAlign w:val="superscript"/>
        </w:rPr>
        <w:t xml:space="preserve"> </w:t>
      </w:r>
      <w:r w:rsidRPr="00050C0A">
        <w:rPr>
          <w:rFonts w:eastAsia="Calibri" w:cs="Times New Roman"/>
          <w:szCs w:val="24"/>
        </w:rPr>
        <w:t xml:space="preserve">experiences in higher education helped this sample of coaches to indicate how they adapt their sessions to suit the development of their players: </w:t>
      </w:r>
    </w:p>
    <w:p w14:paraId="78AEE498" w14:textId="77777777" w:rsidR="00CC3F57" w:rsidRPr="00050C0A" w:rsidRDefault="00CC3F57" w:rsidP="00F43304">
      <w:pPr>
        <w:spacing w:before="0" w:after="160" w:line="480" w:lineRule="auto"/>
        <w:ind w:left="567" w:right="567"/>
        <w:rPr>
          <w:rFonts w:eastAsia="Calibri" w:cs="Times New Roman"/>
          <w:szCs w:val="24"/>
        </w:rPr>
      </w:pPr>
      <w:r w:rsidRPr="00050C0A">
        <w:rPr>
          <w:rFonts w:eastAsia="Calibri" w:cs="Times New Roman"/>
          <w:szCs w:val="24"/>
        </w:rPr>
        <w:t xml:space="preserve">“I’ve been in sports science as well like you and know that different players learn differently. I think by using games players can see it, hear it, and learn to do it better. My boys can’t picture drills in a game, so they don’t like it because it’s not how they learn” (Coach 3). </w:t>
      </w:r>
    </w:p>
    <w:p w14:paraId="68848551" w14:textId="2CD29316" w:rsidR="00CC3F57" w:rsidRPr="00050C0A" w:rsidRDefault="00CC3F57" w:rsidP="00CC3F57">
      <w:pPr>
        <w:spacing w:before="0" w:after="160" w:line="480" w:lineRule="auto"/>
        <w:ind w:firstLine="454"/>
        <w:rPr>
          <w:rFonts w:eastAsia="Calibri" w:cs="Times New Roman"/>
          <w:szCs w:val="24"/>
          <w:vertAlign w:val="superscript"/>
        </w:rPr>
      </w:pPr>
      <w:r w:rsidRPr="00050C0A">
        <w:rPr>
          <w:rFonts w:eastAsia="Calibri" w:cs="Times New Roman"/>
          <w:szCs w:val="24"/>
        </w:rPr>
        <w:t>These findings support the idea that the educational background of coaches influences coaching practice</w:t>
      </w:r>
      <w:r w:rsidR="00E657F6" w:rsidRPr="00050C0A">
        <w:rPr>
          <w:rFonts w:eastAsia="Calibri" w:cs="Times New Roman"/>
          <w:szCs w:val="24"/>
        </w:rPr>
        <w:t>.</w:t>
      </w:r>
      <w:r w:rsidR="00996C53" w:rsidRPr="00050C0A">
        <w:rPr>
          <w:rFonts w:eastAsia="Calibri" w:cs="Times New Roman"/>
          <w:szCs w:val="24"/>
          <w:vertAlign w:val="superscript"/>
        </w:rPr>
        <w:t>7</w:t>
      </w:r>
      <w:r w:rsidR="009969F0">
        <w:rPr>
          <w:rFonts w:eastAsia="Calibri" w:cs="Times New Roman"/>
          <w:szCs w:val="24"/>
          <w:vertAlign w:val="superscript"/>
        </w:rPr>
        <w:t>3</w:t>
      </w:r>
      <w:r w:rsidRPr="00050C0A">
        <w:rPr>
          <w:rFonts w:eastAsia="Calibri" w:cs="Times New Roman"/>
          <w:szCs w:val="24"/>
        </w:rPr>
        <w:t xml:space="preserve"> Whilst formal learning environments in the form of coach accreditation schemes are often devalued by coaches,</w:t>
      </w:r>
      <w:r w:rsidR="00996C53" w:rsidRPr="00050C0A">
        <w:rPr>
          <w:rFonts w:eastAsia="Calibri" w:cs="Times New Roman"/>
          <w:szCs w:val="24"/>
          <w:vertAlign w:val="superscript"/>
        </w:rPr>
        <w:t>7</w:t>
      </w:r>
      <w:r w:rsidR="00533AFA">
        <w:rPr>
          <w:rFonts w:eastAsia="Calibri" w:cs="Times New Roman"/>
          <w:szCs w:val="24"/>
          <w:vertAlign w:val="superscript"/>
        </w:rPr>
        <w:t>4</w:t>
      </w:r>
      <w:r w:rsidRPr="00050C0A">
        <w:rPr>
          <w:rFonts w:eastAsia="Calibri" w:cs="Times New Roman"/>
          <w:szCs w:val="24"/>
        </w:rPr>
        <w:t xml:space="preserve"> opportunities for tertiary level study provided an important means of self-development that was reflected across both coach behaviours and practice activity. From an applied perspective, this could present an opportunity for coach educators to learn from professional teaching institutions (e.g., universities) when trying to identify how best to disseminate contemporary pedagogical ideas.</w:t>
      </w:r>
      <w:r w:rsidR="00996C53" w:rsidRPr="00050C0A">
        <w:rPr>
          <w:rFonts w:eastAsia="Calibri" w:cs="Times New Roman"/>
          <w:szCs w:val="24"/>
          <w:vertAlign w:val="superscript"/>
        </w:rPr>
        <w:t>7</w:t>
      </w:r>
      <w:r w:rsidR="00722B9D">
        <w:rPr>
          <w:rFonts w:eastAsia="Calibri" w:cs="Times New Roman"/>
          <w:szCs w:val="24"/>
          <w:vertAlign w:val="superscript"/>
        </w:rPr>
        <w:t>5</w:t>
      </w:r>
    </w:p>
    <w:p w14:paraId="7DFE8FC9" w14:textId="0A42A52B" w:rsidR="00912529" w:rsidRPr="00050C0A" w:rsidRDefault="00CC3F57" w:rsidP="00CC3F57">
      <w:pPr>
        <w:spacing w:line="480" w:lineRule="auto"/>
        <w:ind w:right="1089"/>
        <w:jc w:val="both"/>
        <w:rPr>
          <w:rFonts w:cs="Times New Roman"/>
          <w:i/>
          <w:iCs/>
          <w:szCs w:val="24"/>
        </w:rPr>
      </w:pPr>
      <w:r w:rsidRPr="00050C0A">
        <w:rPr>
          <w:rFonts w:cs="Times New Roman"/>
          <w:i/>
          <w:iCs/>
          <w:szCs w:val="24"/>
        </w:rPr>
        <w:t xml:space="preserve">Experiences of FA Education </w:t>
      </w:r>
    </w:p>
    <w:p w14:paraId="10CD4CD0" w14:textId="04F1C811" w:rsidR="00CC3F57" w:rsidRPr="00050C0A" w:rsidRDefault="00071742" w:rsidP="00CC3F57">
      <w:pPr>
        <w:spacing w:line="480" w:lineRule="auto"/>
      </w:pPr>
      <w:r w:rsidRPr="00050C0A">
        <w:tab/>
      </w:r>
      <w:r w:rsidR="00CC3F57" w:rsidRPr="00050C0A">
        <w:t>The coaches had experienced a range of FA led educational opportunities. Attaining FA coaching badges was a fundamental element in the progression of the coaches’ career, and although some of these experiences preceded the FA’s revision to the coaching courses,</w:t>
      </w:r>
      <w:r w:rsidR="00996C53" w:rsidRPr="00050C0A">
        <w:rPr>
          <w:vertAlign w:val="superscript"/>
        </w:rPr>
        <w:t>8</w:t>
      </w:r>
      <w:r w:rsidR="00CC3F57" w:rsidRPr="00050C0A">
        <w:t xml:space="preserve"> similar viewpoints were expressed regarding the transition from the simplistic FA Level 1 to the more technically focused FA Level 2, as one coach explained:</w:t>
      </w:r>
    </w:p>
    <w:p w14:paraId="2F08841B" w14:textId="77777777" w:rsidR="00CC3F57" w:rsidRPr="00050C0A" w:rsidRDefault="00CC3F57" w:rsidP="00CC3F57">
      <w:pPr>
        <w:spacing w:line="480" w:lineRule="auto"/>
        <w:ind w:left="567" w:right="567"/>
        <w:jc w:val="both"/>
      </w:pPr>
      <w:r w:rsidRPr="00050C0A">
        <w:t>“</w:t>
      </w:r>
      <w:bookmarkStart w:id="20" w:name="_Hlk51855706"/>
      <w:r w:rsidRPr="00050C0A">
        <w:t>Yeah, I was on the new Level 1 which I am glad about, but it was still pretty basic. Enjoyable but I wouldn’t say it influenced my approach too much. The Level 2 is then when you add the detail about coaching a technique, progressing into a skill, then taking that into a match</w:t>
      </w:r>
      <w:bookmarkEnd w:id="20"/>
      <w:r w:rsidRPr="00050C0A">
        <w:t xml:space="preserve">” (Coach 4). </w:t>
      </w:r>
    </w:p>
    <w:p w14:paraId="74C0D0A7" w14:textId="77777777" w:rsidR="00CC3F57" w:rsidRPr="00050C0A" w:rsidRDefault="00CC3F57" w:rsidP="00CC3F57">
      <w:pPr>
        <w:spacing w:line="480" w:lineRule="auto"/>
        <w:ind w:firstLine="720"/>
      </w:pPr>
      <w:r w:rsidRPr="00050C0A">
        <w:t xml:space="preserve">The development of tactical game understanding came once coaches had progressed further and looked to complete their UEFA qualifications (FA Level 3 &amp; 4): </w:t>
      </w:r>
    </w:p>
    <w:p w14:paraId="2411967F" w14:textId="77777777" w:rsidR="00CC3F57" w:rsidRPr="00050C0A" w:rsidRDefault="00CC3F57" w:rsidP="00CC3F57">
      <w:pPr>
        <w:spacing w:line="480" w:lineRule="auto"/>
        <w:ind w:left="567" w:right="567"/>
        <w:jc w:val="both"/>
      </w:pPr>
      <w:r w:rsidRPr="00050C0A">
        <w:t>“</w:t>
      </w:r>
      <w:bookmarkStart w:id="21" w:name="_Hlk51945816"/>
      <w:r w:rsidRPr="00050C0A">
        <w:t>That’s where I learnt so much about the game, Level 2 was all technical whereas UEFA B was all tactical</w:t>
      </w:r>
      <w:bookmarkEnd w:id="21"/>
      <w:r w:rsidRPr="00050C0A">
        <w:t xml:space="preserve">” (Coach 7). </w:t>
      </w:r>
    </w:p>
    <w:p w14:paraId="51C75B7B" w14:textId="0688F1D8" w:rsidR="00CC3F57" w:rsidRPr="00050C0A" w:rsidRDefault="00CC3F57" w:rsidP="00CC3F57">
      <w:pPr>
        <w:spacing w:line="480" w:lineRule="auto"/>
        <w:ind w:firstLine="720"/>
      </w:pPr>
      <w:r w:rsidRPr="00050C0A">
        <w:t>The structure by which coaches</w:t>
      </w:r>
      <w:r w:rsidR="00322067" w:rsidRPr="00050C0A">
        <w:t xml:space="preserve"> suggested they</w:t>
      </w:r>
      <w:r w:rsidRPr="00050C0A">
        <w:t xml:space="preserve"> had been taught during FA coaching courses was reflected in their own approach to player learning in that the technical component of skill acquisition preceded tactical and games-based practice. This may be important when considering why English youth football coaches choose to begin sessions with technically focused practices, and ultimately are able to utilise less of the session for active decision-making activity during than their European counterparts.</w:t>
      </w:r>
      <w:r w:rsidR="00996C53" w:rsidRPr="00050C0A">
        <w:rPr>
          <w:vertAlign w:val="superscript"/>
        </w:rPr>
        <w:t>40</w:t>
      </w:r>
      <w:r w:rsidRPr="00050C0A">
        <w:t xml:space="preserve"> </w:t>
      </w:r>
    </w:p>
    <w:p w14:paraId="680D5340" w14:textId="77777777" w:rsidR="00CC3F57" w:rsidRPr="00050C0A" w:rsidRDefault="00CC3F57" w:rsidP="00CC3F57">
      <w:pPr>
        <w:spacing w:line="480" w:lineRule="auto"/>
        <w:ind w:firstLine="720"/>
      </w:pPr>
      <w:r w:rsidRPr="00050C0A">
        <w:t>Whilst experiences from FA coaching courses offered a useful framework for practice, the coaches articulated that some formal learning experiences had lacked guidance for practical application in that they explain ‘</w:t>
      </w:r>
      <w:r w:rsidRPr="00050C0A">
        <w:rPr>
          <w:i/>
          <w:iCs/>
        </w:rPr>
        <w:t>what</w:t>
      </w:r>
      <w:r w:rsidRPr="00050C0A">
        <w:t>’ to do but less so ‘</w:t>
      </w:r>
      <w:r w:rsidRPr="00050C0A">
        <w:rPr>
          <w:i/>
          <w:iCs/>
        </w:rPr>
        <w:t>how</w:t>
      </w:r>
      <w:r w:rsidRPr="00050C0A">
        <w:t xml:space="preserve">’ to do it, as one coach alluded to when discussing a recent Continuing Professional Development (CPD) event: </w:t>
      </w:r>
    </w:p>
    <w:p w14:paraId="623FA8B9" w14:textId="77777777" w:rsidR="00CC3F57" w:rsidRPr="00050C0A" w:rsidRDefault="00CC3F57" w:rsidP="00CC3F57">
      <w:pPr>
        <w:spacing w:line="480" w:lineRule="auto"/>
        <w:ind w:left="567" w:right="567"/>
        <w:jc w:val="both"/>
      </w:pPr>
      <w:r w:rsidRPr="00050C0A">
        <w:t>“</w:t>
      </w:r>
      <w:bookmarkStart w:id="22" w:name="_Hlk51945854"/>
      <w:r w:rsidRPr="00050C0A">
        <w:t xml:space="preserve">I remember having a discussion after… we felt it lacked a ‘this is how you do it’. </w:t>
      </w:r>
      <w:bookmarkStart w:id="23" w:name="_Hlk51596226"/>
      <w:r w:rsidRPr="00050C0A">
        <w:t xml:space="preserve">There was a guy talking to us, but he was asking us how we’d develop decision making. I would have liked more direction to actually go </w:t>
      </w:r>
      <w:bookmarkStart w:id="24" w:name="_Hlk51596588"/>
      <w:r w:rsidRPr="00050C0A">
        <w:t>and practice what we were trying to learn</w:t>
      </w:r>
      <w:bookmarkEnd w:id="22"/>
      <w:bookmarkEnd w:id="23"/>
      <w:bookmarkEnd w:id="24"/>
      <w:r w:rsidRPr="00050C0A">
        <w:t xml:space="preserve">” (Coach 1) </w:t>
      </w:r>
    </w:p>
    <w:p w14:paraId="7B7A1345" w14:textId="17F70A43" w:rsidR="00C47328" w:rsidRPr="00050C0A" w:rsidRDefault="00CC3F57" w:rsidP="00CC3F57">
      <w:pPr>
        <w:spacing w:line="480" w:lineRule="auto"/>
        <w:ind w:firstLine="720"/>
      </w:pPr>
      <w:r w:rsidRPr="00050C0A">
        <w:t>This resonates with coach education literature that has highlighted how formal education (e.g., CPD) can lack clarity over how to practically implement the information provided</w:t>
      </w:r>
      <w:r w:rsidR="00996C53" w:rsidRPr="00050C0A">
        <w:t>.</w:t>
      </w:r>
      <w:r w:rsidR="00996C53" w:rsidRPr="00050C0A">
        <w:rPr>
          <w:vertAlign w:val="superscript"/>
        </w:rPr>
        <w:t>7</w:t>
      </w:r>
      <w:r w:rsidR="0048517C">
        <w:rPr>
          <w:vertAlign w:val="superscript"/>
        </w:rPr>
        <w:t>1</w:t>
      </w:r>
      <w:r w:rsidR="00996C53" w:rsidRPr="00050C0A">
        <w:rPr>
          <w:vertAlign w:val="superscript"/>
        </w:rPr>
        <w:t>, 7</w:t>
      </w:r>
      <w:r w:rsidR="004F1349">
        <w:rPr>
          <w:vertAlign w:val="superscript"/>
        </w:rPr>
        <w:t>6</w:t>
      </w:r>
      <w:r w:rsidRPr="00050C0A">
        <w:t xml:space="preserve"> From a skill acquisition perspective, this could hinder the integration of contemporary pedagogical approaches as coaches resort back to tried and trusted methods</w:t>
      </w:r>
      <w:r w:rsidR="00996C53" w:rsidRPr="00050C0A">
        <w:t>.</w:t>
      </w:r>
      <w:r w:rsidR="00996C53" w:rsidRPr="00050C0A">
        <w:rPr>
          <w:vertAlign w:val="superscript"/>
        </w:rPr>
        <w:t>7</w:t>
      </w:r>
      <w:r w:rsidR="00722B9D">
        <w:rPr>
          <w:vertAlign w:val="superscript"/>
        </w:rPr>
        <w:t>5</w:t>
      </w:r>
      <w:r w:rsidR="00996C53" w:rsidRPr="00050C0A">
        <w:rPr>
          <w:vertAlign w:val="superscript"/>
        </w:rPr>
        <w:t xml:space="preserve"> </w:t>
      </w:r>
      <w:r w:rsidRPr="00050C0A">
        <w:t>Although the FA have looked to combat this through introducing the Football Association Youth Coach Education programme to support coaches practically by working in situ,</w:t>
      </w:r>
      <w:r w:rsidR="00D44448" w:rsidRPr="00050C0A">
        <w:rPr>
          <w:vertAlign w:val="superscript"/>
        </w:rPr>
        <w:t>38</w:t>
      </w:r>
      <w:r w:rsidRPr="00050C0A">
        <w:t xml:space="preserve"> only one of the coaches (Coach 5) had any experience of this. </w:t>
      </w:r>
    </w:p>
    <w:p w14:paraId="22815439" w14:textId="3A92F0E3" w:rsidR="00CC3F57" w:rsidRPr="00050C0A" w:rsidRDefault="00CC3F57" w:rsidP="00F75883">
      <w:pPr>
        <w:spacing w:line="480" w:lineRule="auto"/>
        <w:rPr>
          <w:i/>
          <w:iCs/>
        </w:rPr>
      </w:pPr>
      <w:r w:rsidRPr="00050C0A">
        <w:rPr>
          <w:i/>
          <w:iCs/>
        </w:rPr>
        <w:t xml:space="preserve">The Role of Other Coaches </w:t>
      </w:r>
    </w:p>
    <w:p w14:paraId="59380404" w14:textId="277F8372" w:rsidR="00CC3F57" w:rsidRPr="00050C0A" w:rsidRDefault="00071742" w:rsidP="00CC3F57">
      <w:pPr>
        <w:spacing w:line="480" w:lineRule="auto"/>
      </w:pPr>
      <w:r w:rsidRPr="00050C0A">
        <w:tab/>
      </w:r>
      <w:r w:rsidR="00CC3F57" w:rsidRPr="00050C0A">
        <w:t>The influence of other coaches on approaches to player learning and coach behaviours has been well documented</w:t>
      </w:r>
      <w:r w:rsidR="00D44448" w:rsidRPr="00050C0A">
        <w:t>.</w:t>
      </w:r>
      <w:r w:rsidR="00D44448" w:rsidRPr="00050C0A">
        <w:rPr>
          <w:vertAlign w:val="superscript"/>
        </w:rPr>
        <w:t xml:space="preserve">2, 71 </w:t>
      </w:r>
      <w:r w:rsidR="00CC3F57" w:rsidRPr="00050C0A">
        <w:t xml:space="preserve">The coaches interviewed also highlighted how observing and learning from other coaches impacted their own coaching methods: </w:t>
      </w:r>
    </w:p>
    <w:p w14:paraId="54FEE784" w14:textId="77777777" w:rsidR="00CC3F57" w:rsidRPr="00050C0A" w:rsidRDefault="00CC3F57" w:rsidP="00CC3F57">
      <w:pPr>
        <w:spacing w:line="480" w:lineRule="auto"/>
        <w:ind w:left="567" w:right="567"/>
        <w:jc w:val="both"/>
      </w:pPr>
      <w:r w:rsidRPr="00050C0A">
        <w:t>“</w:t>
      </w:r>
      <w:bookmarkStart w:id="25" w:name="_Hlk51601874"/>
      <w:r w:rsidRPr="00050C0A">
        <w:t>Yeah I’ve learnt so much from the coaches I’ve been around… Even little things about the session looking professional then all the way through to adjusting the size of areas, adding challenges, adapting and progressing sessions, then communicating with players as well</w:t>
      </w:r>
      <w:bookmarkEnd w:id="25"/>
      <w:r w:rsidRPr="00050C0A">
        <w:t xml:space="preserve">” (Coach 7). </w:t>
      </w:r>
    </w:p>
    <w:p w14:paraId="52049987" w14:textId="63FEAEB2" w:rsidR="00CC3F57" w:rsidRPr="00050C0A" w:rsidRDefault="00CC3F57" w:rsidP="00CC3F57">
      <w:pPr>
        <w:spacing w:line="480" w:lineRule="auto"/>
        <w:ind w:firstLine="720"/>
      </w:pPr>
      <w:r w:rsidRPr="00050C0A">
        <w:t>It has been suggested that imitating other coaches can hinder the integration of progressive learning approaches through promoting a ‘path dependence’ that simply follows traditional coaching cultures.</w:t>
      </w:r>
      <w:r w:rsidR="00D44448" w:rsidRPr="00050C0A">
        <w:rPr>
          <w:vertAlign w:val="superscript"/>
        </w:rPr>
        <w:t>43-44</w:t>
      </w:r>
      <w:r w:rsidRPr="00050C0A">
        <w:t xml:space="preserve"> However, this sample of coaches did not highlight an explicit awareness of doing so: </w:t>
      </w:r>
    </w:p>
    <w:p w14:paraId="1582C36F" w14:textId="77777777" w:rsidR="00CC3F57" w:rsidRPr="00050C0A" w:rsidRDefault="00CC3F57" w:rsidP="00CC3F57">
      <w:pPr>
        <w:spacing w:line="480" w:lineRule="auto"/>
        <w:ind w:left="567" w:right="567"/>
        <w:jc w:val="both"/>
      </w:pPr>
      <w:r w:rsidRPr="00050C0A">
        <w:t xml:space="preserve">“I wouldn’t say I really hold with me any of the coaching methods I experienced from a technical or tactical point of view… The moments that I have taken on board are those that really mattered to my development. </w:t>
      </w:r>
      <w:bookmarkStart w:id="26" w:name="_Hlk51604288"/>
      <w:r w:rsidRPr="00050C0A">
        <w:t>More about how coaches instilled self-belief and spoke to me as a person</w:t>
      </w:r>
      <w:bookmarkEnd w:id="26"/>
      <w:r w:rsidRPr="00050C0A">
        <w:t xml:space="preserve">” (Coach 6). </w:t>
      </w:r>
    </w:p>
    <w:p w14:paraId="549048AC" w14:textId="59328192" w:rsidR="00CC3F57" w:rsidRPr="00050C0A" w:rsidRDefault="00CC3F57" w:rsidP="00CC3F57">
      <w:pPr>
        <w:spacing w:line="480" w:lineRule="auto"/>
        <w:ind w:firstLine="720"/>
      </w:pPr>
      <w:r w:rsidRPr="00050C0A">
        <w:t>In this way, the coaches looked to apply a holistic view of player development that incorporated the social and mental aspects of their player’s learning which they had valued when playing (e.g., the Athletic Skills Model</w:t>
      </w:r>
      <w:r w:rsidR="00D44448" w:rsidRPr="00050C0A">
        <w:rPr>
          <w:vertAlign w:val="superscript"/>
        </w:rPr>
        <w:t>7</w:t>
      </w:r>
      <w:r w:rsidR="006A377E">
        <w:rPr>
          <w:vertAlign w:val="superscript"/>
        </w:rPr>
        <w:t>7</w:t>
      </w:r>
      <w:r w:rsidRPr="00050C0A">
        <w:t xml:space="preserve">). The coaches also explained how learning from their peers can take a more nuanced form of critical reflection that serves to improve their practice: </w:t>
      </w:r>
    </w:p>
    <w:p w14:paraId="3E40D609" w14:textId="77777777" w:rsidR="00CC3F57" w:rsidRPr="00050C0A" w:rsidRDefault="00CC3F57" w:rsidP="00CC3F57">
      <w:pPr>
        <w:spacing w:line="480" w:lineRule="auto"/>
        <w:ind w:left="567" w:right="567"/>
        <w:jc w:val="both"/>
      </w:pPr>
      <w:r w:rsidRPr="00050C0A">
        <w:t>“</w:t>
      </w:r>
      <w:bookmarkStart w:id="27" w:name="_Hlk51941134"/>
      <w:r w:rsidRPr="00050C0A">
        <w:t>Where we are, we’ll have coach meetings every half term that focus on how we can improve what we’re doing. That will be not just identifying areas for each of the coaches to improve on but highlighting our strengths and how to develop them further too</w:t>
      </w:r>
      <w:bookmarkEnd w:id="27"/>
      <w:r w:rsidRPr="00050C0A">
        <w:t xml:space="preserve">” (Coach 8). </w:t>
      </w:r>
    </w:p>
    <w:p w14:paraId="4A25C302" w14:textId="37CE266F" w:rsidR="00620A39" w:rsidRPr="00050C0A" w:rsidRDefault="00CC3F57" w:rsidP="00CC3F57">
      <w:pPr>
        <w:spacing w:line="480" w:lineRule="auto"/>
        <w:ind w:firstLine="720"/>
        <w:rPr>
          <w:vertAlign w:val="superscript"/>
        </w:rPr>
      </w:pPr>
      <w:r w:rsidRPr="00050C0A">
        <w:t>Clearly, other coaches are important in shaping and developing practice amongst their peers. Rather than dismiss this as a hindrance to the integration of contemporary pedagogical ideas, this rich experiential knowledge can be of value to coach educators and practitioners. Where formal environments have been criticised for their failure to account for the context in which coaches practice, and the complexities faced by individual coaches,</w:t>
      </w:r>
      <w:r w:rsidR="009B793F" w:rsidRPr="00050C0A">
        <w:rPr>
          <w:vertAlign w:val="superscript"/>
        </w:rPr>
        <w:t>66, 7</w:t>
      </w:r>
      <w:r w:rsidR="006A377E">
        <w:rPr>
          <w:vertAlign w:val="superscript"/>
        </w:rPr>
        <w:t>8</w:t>
      </w:r>
      <w:r w:rsidRPr="00050C0A">
        <w:t xml:space="preserve"> by providing a forum for the informal sharing of ideas, the FA</w:t>
      </w:r>
      <w:r w:rsidR="00761230" w:rsidRPr="00050C0A">
        <w:t xml:space="preserve"> and other governing bodies</w:t>
      </w:r>
      <w:r w:rsidRPr="00050C0A">
        <w:t xml:space="preserve"> could encourage a free, accessible and ‘open’ environment for coach learning</w:t>
      </w:r>
      <w:r w:rsidR="009B793F" w:rsidRPr="00050C0A">
        <w:t>.</w:t>
      </w:r>
      <w:r w:rsidR="00650527">
        <w:rPr>
          <w:vertAlign w:val="superscript"/>
        </w:rPr>
        <w:t>79</w:t>
      </w:r>
    </w:p>
    <w:p w14:paraId="24AD746A" w14:textId="42DD7C2B" w:rsidR="00BD463F" w:rsidRPr="00050C0A" w:rsidRDefault="002527D7" w:rsidP="00E8058B">
      <w:pPr>
        <w:spacing w:line="480" w:lineRule="auto"/>
        <w:rPr>
          <w:u w:val="single"/>
        </w:rPr>
      </w:pPr>
      <w:r w:rsidRPr="00050C0A">
        <w:rPr>
          <w:u w:val="single"/>
        </w:rPr>
        <w:t xml:space="preserve">Limitations and Future Directions </w:t>
      </w:r>
    </w:p>
    <w:p w14:paraId="6401DF38" w14:textId="0F0E3052" w:rsidR="00A02916" w:rsidRPr="00050C0A" w:rsidRDefault="00AA2946" w:rsidP="00E8058B">
      <w:pPr>
        <w:spacing w:line="480" w:lineRule="auto"/>
        <w:rPr>
          <w:rFonts w:cs="Times New Roman"/>
          <w:szCs w:val="24"/>
        </w:rPr>
      </w:pPr>
      <w:r w:rsidRPr="00050C0A">
        <w:rPr>
          <w:rFonts w:cs="Times New Roman"/>
          <w:szCs w:val="24"/>
        </w:rPr>
        <w:tab/>
      </w:r>
      <w:r w:rsidR="002527D7" w:rsidRPr="00050C0A">
        <w:rPr>
          <w:rFonts w:cs="Times New Roman"/>
          <w:szCs w:val="24"/>
        </w:rPr>
        <w:t>This study has provided novel insights by integrating youth football coaches’ approaches to player learning with experiential knowledge of the sources that have influenced their approach. However, as there can often be limited correspondence between coaches’ intent and practice</w:t>
      </w:r>
      <w:r w:rsidR="0072485C" w:rsidRPr="0072485C">
        <w:rPr>
          <w:rFonts w:cs="Times New Roman"/>
          <w:szCs w:val="24"/>
          <w:vertAlign w:val="subscript"/>
        </w:rPr>
        <w:t>,</w:t>
      </w:r>
      <w:r w:rsidR="00B71A61" w:rsidRPr="00B71A61">
        <w:rPr>
          <w:rFonts w:cs="Times New Roman"/>
          <w:szCs w:val="24"/>
          <w:vertAlign w:val="superscript"/>
        </w:rPr>
        <w:t>80</w:t>
      </w:r>
      <w:r w:rsidR="009B793F" w:rsidRPr="0072485C">
        <w:rPr>
          <w:rFonts w:cs="Times New Roman"/>
          <w:szCs w:val="24"/>
          <w:vertAlign w:val="subscript"/>
        </w:rPr>
        <w:t xml:space="preserve"> </w:t>
      </w:r>
      <w:r w:rsidR="002527D7" w:rsidRPr="00050C0A">
        <w:rPr>
          <w:rFonts w:cs="Times New Roman"/>
          <w:szCs w:val="24"/>
        </w:rPr>
        <w:t xml:space="preserve">future research may look to observe sessions, and follow this up with interviews regarding coaches’ experiential knowledge. Such an approach would provide a more objective understanding of the implementation of different pedagogical approaches within youth football. Furthermore, despite this study investigating a cohort of English youth coaches specifically, the insights gained present an opportunity to build on this and </w:t>
      </w:r>
      <w:r w:rsidR="009B793F" w:rsidRPr="00050C0A">
        <w:rPr>
          <w:rFonts w:cs="Times New Roman"/>
          <w:szCs w:val="24"/>
        </w:rPr>
        <w:t xml:space="preserve">previous research </w:t>
      </w:r>
      <w:r w:rsidR="002527D7" w:rsidRPr="00050C0A">
        <w:rPr>
          <w:rFonts w:cs="Times New Roman"/>
          <w:szCs w:val="24"/>
        </w:rPr>
        <w:t>by contrasting the experiences of English coaches with coaches from different countries.</w:t>
      </w:r>
      <w:r w:rsidR="009B793F" w:rsidRPr="00050C0A">
        <w:rPr>
          <w:rFonts w:cs="Times New Roman"/>
          <w:szCs w:val="24"/>
          <w:vertAlign w:val="superscript"/>
        </w:rPr>
        <w:t>40</w:t>
      </w:r>
      <w:r w:rsidR="002527D7" w:rsidRPr="00050C0A">
        <w:rPr>
          <w:rFonts w:cs="Times New Roman"/>
          <w:szCs w:val="24"/>
        </w:rPr>
        <w:t xml:space="preserve"> Contrasting how the experiences of coaches working in different countries, and under different cultures, have influenced their coaching approach could provide an alternative means of benchmarking the development of coaching practice in England.</w:t>
      </w:r>
      <w:r w:rsidR="009B793F" w:rsidRPr="00050C0A">
        <w:rPr>
          <w:rFonts w:cs="Times New Roman"/>
          <w:szCs w:val="24"/>
          <w:vertAlign w:val="superscript"/>
        </w:rPr>
        <w:t>12</w:t>
      </w:r>
      <w:r w:rsidR="002527D7" w:rsidRPr="00050C0A">
        <w:rPr>
          <w:rFonts w:cs="Times New Roman"/>
          <w:szCs w:val="24"/>
        </w:rPr>
        <w:t xml:space="preserve"> </w:t>
      </w:r>
      <w:r w:rsidR="007F60D5" w:rsidRPr="00050C0A">
        <w:rPr>
          <w:rFonts w:cs="Times New Roman"/>
          <w:szCs w:val="24"/>
        </w:rPr>
        <w:t>There is also scope to build on the relatively small sample of English coaches used in this study, providing greater depth of understanding from within this culture, and wider range of experiences.</w:t>
      </w:r>
    </w:p>
    <w:p w14:paraId="4852BFA7" w14:textId="161CA565" w:rsidR="00CF506B" w:rsidRPr="00050C0A" w:rsidRDefault="00E03175" w:rsidP="00E8058B">
      <w:pPr>
        <w:spacing w:line="480" w:lineRule="auto"/>
        <w:rPr>
          <w:rFonts w:cs="Times New Roman"/>
          <w:szCs w:val="24"/>
        </w:rPr>
      </w:pPr>
      <w:r w:rsidRPr="00050C0A">
        <w:rPr>
          <w:u w:val="single"/>
        </w:rPr>
        <w:t>Conclusion</w:t>
      </w:r>
    </w:p>
    <w:p w14:paraId="7CED0F6D" w14:textId="311FACDD" w:rsidR="00E00931" w:rsidRPr="00050C0A" w:rsidRDefault="00724DAA" w:rsidP="002527D7">
      <w:pPr>
        <w:widowControl w:val="0"/>
        <w:autoSpaceDE w:val="0"/>
        <w:autoSpaceDN w:val="0"/>
        <w:adjustRightInd w:val="0"/>
        <w:spacing w:line="480" w:lineRule="auto"/>
        <w:rPr>
          <w:rFonts w:cs="Times New Roman"/>
          <w:szCs w:val="24"/>
        </w:rPr>
      </w:pPr>
      <w:r w:rsidRPr="00050C0A">
        <w:tab/>
      </w:r>
      <w:r w:rsidR="00C416B9" w:rsidRPr="00050C0A">
        <w:rPr>
          <w:rFonts w:cs="Times New Roman"/>
          <w:szCs w:val="24"/>
        </w:rPr>
        <w:t xml:space="preserve"> </w:t>
      </w:r>
      <w:r w:rsidR="000878D2" w:rsidRPr="00050C0A">
        <w:rPr>
          <w:rFonts w:cs="Times New Roman"/>
          <w:szCs w:val="24"/>
          <w:lang w:val="en-US"/>
        </w:rPr>
        <w:t xml:space="preserve">The aim of this study was to further current understanding of player learning within English youth football, following recent qualitative research (e.g., </w:t>
      </w:r>
      <w:proofErr w:type="spellStart"/>
      <w:r w:rsidR="000878D2" w:rsidRPr="00050C0A">
        <w:rPr>
          <w:rFonts w:cs="Times New Roman"/>
          <w:szCs w:val="24"/>
          <w:lang w:val="en-US"/>
        </w:rPr>
        <w:t>Brackley</w:t>
      </w:r>
      <w:proofErr w:type="spellEnd"/>
      <w:r w:rsidR="000878D2" w:rsidRPr="00050C0A">
        <w:rPr>
          <w:rFonts w:cs="Times New Roman"/>
          <w:szCs w:val="24"/>
          <w:lang w:val="en-US"/>
        </w:rPr>
        <w:t xml:space="preserve">, </w:t>
      </w:r>
      <w:proofErr w:type="spellStart"/>
      <w:r w:rsidR="000878D2" w:rsidRPr="00050C0A">
        <w:rPr>
          <w:rFonts w:cs="Times New Roman"/>
          <w:szCs w:val="24"/>
          <w:lang w:val="en-US"/>
        </w:rPr>
        <w:t>Barris</w:t>
      </w:r>
      <w:proofErr w:type="spellEnd"/>
      <w:r w:rsidR="000878D2" w:rsidRPr="00050C0A">
        <w:rPr>
          <w:rFonts w:cs="Times New Roman"/>
          <w:szCs w:val="24"/>
          <w:lang w:val="en-US"/>
        </w:rPr>
        <w:t>, Tor, &amp; Farrow, 2020; Pocock et al., 2020) which has used experiential knowledge of coaches to explore why they coach the way they do.</w:t>
      </w:r>
      <w:r w:rsidR="00F26921" w:rsidRPr="00050C0A">
        <w:rPr>
          <w:rFonts w:cs="Times New Roman"/>
          <w:szCs w:val="24"/>
        </w:rPr>
        <w:t xml:space="preserve"> </w:t>
      </w:r>
      <w:r w:rsidR="002527D7" w:rsidRPr="00050C0A">
        <w:rPr>
          <w:rFonts w:cs="Times New Roman"/>
          <w:szCs w:val="24"/>
        </w:rPr>
        <w:t xml:space="preserve">  The results indicate that while contemporary pedagogical approaches are deemed an important part of practice,</w:t>
      </w:r>
      <w:r w:rsidR="009B793F" w:rsidRPr="00050C0A">
        <w:rPr>
          <w:rFonts w:cs="Times New Roman"/>
          <w:szCs w:val="24"/>
          <w:vertAlign w:val="superscript"/>
        </w:rPr>
        <w:t>39</w:t>
      </w:r>
      <w:r w:rsidR="002527D7" w:rsidRPr="00050C0A">
        <w:rPr>
          <w:rFonts w:cs="Times New Roman"/>
          <w:szCs w:val="24"/>
        </w:rPr>
        <w:t xml:space="preserve">  limited understanding of specific learning principles (e.g., Representative Learning Design</w:t>
      </w:r>
      <w:r w:rsidR="009B793F" w:rsidRPr="00050C0A">
        <w:rPr>
          <w:rFonts w:cs="Times New Roman"/>
          <w:szCs w:val="24"/>
          <w:vertAlign w:val="superscript"/>
        </w:rPr>
        <w:t>29</w:t>
      </w:r>
      <w:r w:rsidR="002527D7" w:rsidRPr="00050C0A">
        <w:rPr>
          <w:rFonts w:cs="Times New Roman"/>
          <w:szCs w:val="24"/>
        </w:rPr>
        <w:t>; transfer of learning</w:t>
      </w:r>
      <w:r w:rsidR="009B793F" w:rsidRPr="00050C0A">
        <w:rPr>
          <w:rFonts w:cs="Times New Roman"/>
          <w:szCs w:val="24"/>
          <w:vertAlign w:val="superscript"/>
        </w:rPr>
        <w:t>17</w:t>
      </w:r>
      <w:r w:rsidR="002527D7" w:rsidRPr="00050C0A">
        <w:rPr>
          <w:rFonts w:cs="Times New Roman"/>
          <w:szCs w:val="24"/>
        </w:rPr>
        <w:t>) means that isolated technical drills remain a prominent part of player development. Approaches to player learning were not fixed, but dynamic and adaptable depending on a range of different social and contextual experiences within the coaching environment</w:t>
      </w:r>
      <w:r w:rsidR="009B793F" w:rsidRPr="00050C0A">
        <w:rPr>
          <w:rFonts w:cs="Times New Roman"/>
          <w:szCs w:val="24"/>
        </w:rPr>
        <w:t>.</w:t>
      </w:r>
      <w:r w:rsidR="009B793F" w:rsidRPr="00050C0A">
        <w:rPr>
          <w:rFonts w:cs="Times New Roman"/>
          <w:szCs w:val="24"/>
          <w:vertAlign w:val="superscript"/>
        </w:rPr>
        <w:t>6</w:t>
      </w:r>
      <w:r w:rsidR="004310F7">
        <w:rPr>
          <w:rFonts w:cs="Times New Roman"/>
          <w:szCs w:val="24"/>
          <w:vertAlign w:val="superscript"/>
        </w:rPr>
        <w:t>3</w:t>
      </w:r>
      <w:r w:rsidR="009B793F" w:rsidRPr="00050C0A">
        <w:rPr>
          <w:rFonts w:cs="Times New Roman"/>
          <w:szCs w:val="24"/>
          <w:vertAlign w:val="superscript"/>
        </w:rPr>
        <w:t xml:space="preserve"> </w:t>
      </w:r>
      <w:r w:rsidR="002527D7" w:rsidRPr="00050C0A">
        <w:rPr>
          <w:rFonts w:cs="Times New Roman"/>
          <w:szCs w:val="24"/>
        </w:rPr>
        <w:t>While it may be challenging for coach educators to demonstrate sensitivity to these when looking to implement contemporary learning approaches, coaches’ ability to adapt and evolve their sessions depending on the requirements of their learners suggests that they possess the necessary skillset to embrace innovative and novel approaches.</w:t>
      </w:r>
      <w:r w:rsidR="009B793F" w:rsidRPr="00050C0A">
        <w:rPr>
          <w:rFonts w:cs="Times New Roman"/>
          <w:szCs w:val="24"/>
          <w:vertAlign w:val="superscript"/>
        </w:rPr>
        <w:t>41, 43</w:t>
      </w:r>
      <w:r w:rsidR="002527D7" w:rsidRPr="00050C0A">
        <w:rPr>
          <w:rFonts w:cs="Times New Roman"/>
          <w:szCs w:val="24"/>
        </w:rPr>
        <w:t xml:space="preserve"> </w:t>
      </w:r>
      <w:r w:rsidR="0056619D" w:rsidRPr="00050C0A">
        <w:rPr>
          <w:rFonts w:cs="Times New Roman"/>
          <w:szCs w:val="24"/>
        </w:rPr>
        <w:t>H</w:t>
      </w:r>
      <w:r w:rsidR="002527D7" w:rsidRPr="00050C0A">
        <w:rPr>
          <w:rFonts w:cs="Times New Roman"/>
          <w:szCs w:val="24"/>
        </w:rPr>
        <w:t>owever, this is a process that will need to be facilitated by enhancing understanding and providing digestible frameworks for practice.</w:t>
      </w:r>
      <w:r w:rsidR="009B793F" w:rsidRPr="00050C0A">
        <w:rPr>
          <w:rFonts w:cs="Times New Roman"/>
          <w:szCs w:val="24"/>
          <w:vertAlign w:val="superscript"/>
        </w:rPr>
        <w:t>37, 6</w:t>
      </w:r>
      <w:r w:rsidR="00D47256">
        <w:rPr>
          <w:rFonts w:cs="Times New Roman"/>
          <w:szCs w:val="24"/>
          <w:vertAlign w:val="superscript"/>
        </w:rPr>
        <w:t>1</w:t>
      </w:r>
      <w:r w:rsidR="002527D7" w:rsidRPr="00050C0A">
        <w:rPr>
          <w:rFonts w:cs="Times New Roman"/>
          <w:szCs w:val="24"/>
        </w:rPr>
        <w:t xml:space="preserve"> Although the FA has devoted considerable attention to this,</w:t>
      </w:r>
      <w:r w:rsidR="009B793F" w:rsidRPr="00050C0A">
        <w:rPr>
          <w:rFonts w:cs="Times New Roman"/>
          <w:szCs w:val="24"/>
          <w:vertAlign w:val="superscript"/>
        </w:rPr>
        <w:t>8</w:t>
      </w:r>
      <w:r w:rsidR="002527D7" w:rsidRPr="00050C0A">
        <w:rPr>
          <w:rFonts w:cs="Times New Roman"/>
          <w:szCs w:val="24"/>
        </w:rPr>
        <w:t xml:space="preserve"> these findings align with previous research by highlighting that formal learning environments can be received indifferently by football coaches</w:t>
      </w:r>
      <w:r w:rsidR="009B793F" w:rsidRPr="00050C0A">
        <w:rPr>
          <w:rFonts w:cs="Times New Roman"/>
          <w:szCs w:val="24"/>
        </w:rPr>
        <w:t>.</w:t>
      </w:r>
      <w:r w:rsidR="009B793F" w:rsidRPr="00050C0A">
        <w:rPr>
          <w:rFonts w:cs="Times New Roman"/>
          <w:szCs w:val="24"/>
          <w:vertAlign w:val="superscript"/>
        </w:rPr>
        <w:t>7</w:t>
      </w:r>
      <w:r w:rsidR="0048517C">
        <w:rPr>
          <w:rFonts w:cs="Times New Roman"/>
          <w:szCs w:val="24"/>
          <w:vertAlign w:val="superscript"/>
        </w:rPr>
        <w:t>1</w:t>
      </w:r>
      <w:r w:rsidR="009B793F" w:rsidRPr="00050C0A">
        <w:rPr>
          <w:rFonts w:cs="Times New Roman"/>
          <w:szCs w:val="24"/>
          <w:vertAlign w:val="superscript"/>
        </w:rPr>
        <w:t xml:space="preserve"> </w:t>
      </w:r>
      <w:r w:rsidR="002527D7" w:rsidRPr="00050C0A">
        <w:rPr>
          <w:rFonts w:cs="Times New Roman"/>
          <w:szCs w:val="24"/>
        </w:rPr>
        <w:t xml:space="preserve">To enhance their effectiveness, it is important that the coach educators disseminate contemporary pedagogical principles in a practical and easily transferable manner. </w:t>
      </w:r>
      <w:r w:rsidR="00E00931" w:rsidRPr="00050C0A">
        <w:rPr>
          <w:rFonts w:cs="Times New Roman"/>
          <w:szCs w:val="24"/>
        </w:rPr>
        <w:t xml:space="preserve"> </w:t>
      </w:r>
    </w:p>
    <w:p w14:paraId="263A3726" w14:textId="676B2036" w:rsidR="0070519E" w:rsidRPr="00050C0A" w:rsidRDefault="0070519E" w:rsidP="0070519E">
      <w:pPr>
        <w:widowControl w:val="0"/>
        <w:autoSpaceDE w:val="0"/>
        <w:autoSpaceDN w:val="0"/>
        <w:adjustRightInd w:val="0"/>
        <w:spacing w:line="240" w:lineRule="auto"/>
        <w:rPr>
          <w:rFonts w:cs="Times New Roman"/>
          <w:szCs w:val="24"/>
        </w:rPr>
      </w:pPr>
    </w:p>
    <w:p w14:paraId="1433DCD8" w14:textId="7D513C28" w:rsidR="008035AD" w:rsidRPr="00050C0A" w:rsidRDefault="008035AD" w:rsidP="008035AD">
      <w:pPr>
        <w:widowControl w:val="0"/>
        <w:autoSpaceDE w:val="0"/>
        <w:autoSpaceDN w:val="0"/>
        <w:adjustRightInd w:val="0"/>
        <w:spacing w:line="480" w:lineRule="auto"/>
        <w:jc w:val="center"/>
        <w:rPr>
          <w:rFonts w:cs="Times New Roman"/>
          <w:szCs w:val="24"/>
          <w:u w:val="single"/>
        </w:rPr>
      </w:pPr>
      <w:r w:rsidRPr="00050C0A">
        <w:rPr>
          <w:rFonts w:cs="Times New Roman"/>
          <w:szCs w:val="24"/>
          <w:u w:val="single"/>
        </w:rPr>
        <w:t xml:space="preserve">References </w:t>
      </w:r>
    </w:p>
    <w:p w14:paraId="00CD9B8E" w14:textId="2879E674" w:rsidR="008035AD" w:rsidRPr="00050C0A" w:rsidRDefault="008035AD"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Ford P, Yates I, </w:t>
      </w:r>
      <w:r w:rsidR="0070519E" w:rsidRPr="00050C0A">
        <w:rPr>
          <w:rFonts w:cs="Times New Roman"/>
          <w:szCs w:val="24"/>
        </w:rPr>
        <w:t xml:space="preserve">and </w:t>
      </w:r>
      <w:r w:rsidRPr="00050C0A">
        <w:rPr>
          <w:rFonts w:cs="Times New Roman"/>
          <w:szCs w:val="24"/>
        </w:rPr>
        <w:t>Williams A. An analysis of practice activities and instructional behaviours used by youth soccer coaches during practice: Exploring the link between science and application. </w:t>
      </w:r>
      <w:r w:rsidR="00961887" w:rsidRPr="00050C0A">
        <w:rPr>
          <w:rFonts w:cs="Times New Roman"/>
          <w:i/>
          <w:iCs/>
          <w:szCs w:val="24"/>
        </w:rPr>
        <w:t>J Sports Sci</w:t>
      </w:r>
      <w:r w:rsidRPr="00050C0A">
        <w:rPr>
          <w:rFonts w:cs="Times New Roman"/>
          <w:i/>
          <w:iCs/>
          <w:szCs w:val="24"/>
        </w:rPr>
        <w:t> </w:t>
      </w:r>
      <w:r w:rsidRPr="00050C0A">
        <w:rPr>
          <w:rFonts w:cs="Times New Roman"/>
          <w:szCs w:val="24"/>
        </w:rPr>
        <w:t>2010; 28(5):483-495.</w:t>
      </w:r>
    </w:p>
    <w:p w14:paraId="5AF01AAA" w14:textId="3D3CD051" w:rsidR="002E7425" w:rsidRPr="00050C0A" w:rsidRDefault="002E7425"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Cushion C. Coaching and coach education. In: Williams MA (ed) </w:t>
      </w:r>
      <w:r w:rsidRPr="00050C0A">
        <w:rPr>
          <w:rFonts w:cs="Times New Roman"/>
          <w:i/>
          <w:iCs/>
          <w:szCs w:val="24"/>
        </w:rPr>
        <w:t>Science and soccer: Developing elite performers</w:t>
      </w:r>
      <w:r w:rsidRPr="00050C0A">
        <w:rPr>
          <w:rFonts w:cs="Times New Roman"/>
          <w:szCs w:val="24"/>
        </w:rPr>
        <w:t>. Routledge, 2013</w:t>
      </w:r>
      <w:r w:rsidR="0070519E" w:rsidRPr="00050C0A">
        <w:rPr>
          <w:rFonts w:cs="Times New Roman"/>
          <w:szCs w:val="24"/>
        </w:rPr>
        <w:t>, pp. 199-217.</w:t>
      </w:r>
    </w:p>
    <w:p w14:paraId="61108027" w14:textId="3ABA14AD" w:rsidR="0070519E" w:rsidRPr="00050C0A" w:rsidRDefault="0070519E"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Partington M and Cushion C. An Investigation of the practice acitivites and coaching behaviors of professional top-level youth soccer coaches. </w:t>
      </w:r>
      <w:r w:rsidRPr="00050C0A">
        <w:rPr>
          <w:rFonts w:cs="Times New Roman"/>
          <w:i/>
          <w:iCs/>
          <w:szCs w:val="24"/>
        </w:rPr>
        <w:t xml:space="preserve">Scandanavian Journal of Medicine &amp; Science in Sports </w:t>
      </w:r>
      <w:r w:rsidRPr="00050C0A">
        <w:rPr>
          <w:rFonts w:cs="Times New Roman"/>
          <w:szCs w:val="24"/>
        </w:rPr>
        <w:t xml:space="preserve">2013; 23: 374-382. </w:t>
      </w:r>
    </w:p>
    <w:p w14:paraId="0417B92E" w14:textId="2B4A67B3" w:rsidR="0070519E" w:rsidRPr="00050C0A" w:rsidRDefault="0070519E"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Wright DL and Kim T. Contextual Interference. In: Hodges N and Williams MA (eds) </w:t>
      </w:r>
      <w:r w:rsidRPr="00050C0A">
        <w:rPr>
          <w:rFonts w:cs="Times New Roman"/>
          <w:i/>
          <w:iCs/>
          <w:szCs w:val="24"/>
        </w:rPr>
        <w:t>Skill Acquisition in Sport</w:t>
      </w:r>
      <w:r w:rsidR="00961887" w:rsidRPr="00050C0A">
        <w:rPr>
          <w:rFonts w:cs="Times New Roman"/>
          <w:szCs w:val="24"/>
        </w:rPr>
        <w:t>. 3</w:t>
      </w:r>
      <w:r w:rsidR="00961887" w:rsidRPr="00050C0A">
        <w:rPr>
          <w:rFonts w:cs="Times New Roman"/>
          <w:szCs w:val="24"/>
          <w:vertAlign w:val="superscript"/>
        </w:rPr>
        <w:t>rd</w:t>
      </w:r>
      <w:r w:rsidR="00961887" w:rsidRPr="00050C0A">
        <w:rPr>
          <w:rFonts w:cs="Times New Roman"/>
          <w:szCs w:val="24"/>
        </w:rPr>
        <w:t xml:space="preserve"> ed. London: Routledge, 2019, pp. 99-118. </w:t>
      </w:r>
    </w:p>
    <w:p w14:paraId="6079013D" w14:textId="3331337F" w:rsidR="00961887" w:rsidRPr="00050C0A" w:rsidRDefault="00961887"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lang w:val="da-DK"/>
        </w:rPr>
        <w:t xml:space="preserve">Duffy P, Hartley H, Bales J, et al. </w:t>
      </w:r>
      <w:r w:rsidRPr="00050C0A">
        <w:rPr>
          <w:rFonts w:cs="Times New Roman"/>
          <w:szCs w:val="24"/>
        </w:rPr>
        <w:t>Sport coaching as a ‘profession’.</w:t>
      </w:r>
      <w:r w:rsidRPr="00050C0A">
        <w:rPr>
          <w:rFonts w:cs="Times New Roman"/>
          <w:i/>
          <w:iCs/>
          <w:szCs w:val="24"/>
        </w:rPr>
        <w:t xml:space="preserve"> </w:t>
      </w:r>
      <w:r w:rsidR="00965127" w:rsidRPr="00050C0A">
        <w:rPr>
          <w:rFonts w:cs="Times New Roman"/>
          <w:i/>
          <w:iCs/>
          <w:szCs w:val="24"/>
        </w:rPr>
        <w:t xml:space="preserve">Int J Sports Sci Coach </w:t>
      </w:r>
      <w:r w:rsidR="00965127" w:rsidRPr="00050C0A">
        <w:rPr>
          <w:rFonts w:cs="Times New Roman"/>
          <w:szCs w:val="24"/>
        </w:rPr>
        <w:t xml:space="preserve">2011; 5: 93-123. </w:t>
      </w:r>
    </w:p>
    <w:p w14:paraId="01915FEA" w14:textId="3DA87DD5" w:rsidR="00965127" w:rsidRPr="00050C0A" w:rsidRDefault="00965127"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Piggott D. The open society and coach education: A philosophical agenda for policy reform and future sociological research. </w:t>
      </w:r>
      <w:r w:rsidRPr="00050C0A">
        <w:rPr>
          <w:rFonts w:cs="Times New Roman"/>
          <w:i/>
          <w:iCs/>
          <w:szCs w:val="24"/>
        </w:rPr>
        <w:t>Phys Educ Sport Pedagogy</w:t>
      </w:r>
      <w:r w:rsidRPr="00050C0A">
        <w:rPr>
          <w:rFonts w:cs="Times New Roman"/>
          <w:szCs w:val="24"/>
        </w:rPr>
        <w:t xml:space="preserve"> 2015; 20: 283-298</w:t>
      </w:r>
    </w:p>
    <w:p w14:paraId="03F02F32" w14:textId="3319204F" w:rsidR="00965127" w:rsidRPr="00050C0A" w:rsidRDefault="00965127"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Sports Coach UK. The UK Coaching Framework: Executive Summary. Report, Leeds, Sports Coach UK, April 2008. </w:t>
      </w:r>
    </w:p>
    <w:p w14:paraId="65F94C0A" w14:textId="7EE7477F" w:rsidR="005B613D" w:rsidRPr="00050C0A" w:rsidRDefault="005B613D"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Al</w:t>
      </w:r>
      <w:r w:rsidR="0050431C" w:rsidRPr="00050C0A">
        <w:rPr>
          <w:rFonts w:cs="Times New Roman"/>
          <w:szCs w:val="24"/>
        </w:rPr>
        <w:t>l</w:t>
      </w:r>
      <w:r w:rsidRPr="00050C0A">
        <w:rPr>
          <w:rFonts w:cs="Times New Roman"/>
          <w:szCs w:val="24"/>
        </w:rPr>
        <w:t>ison W. The FA’s Coach Education and Development Programme. In: A</w:t>
      </w:r>
      <w:r w:rsidR="0050431C" w:rsidRPr="00050C0A">
        <w:rPr>
          <w:rFonts w:cs="Times New Roman"/>
          <w:szCs w:val="24"/>
        </w:rPr>
        <w:t>l</w:t>
      </w:r>
      <w:r w:rsidRPr="00050C0A">
        <w:rPr>
          <w:rFonts w:cs="Times New Roman"/>
          <w:szCs w:val="24"/>
        </w:rPr>
        <w:t xml:space="preserve">lison W, Abraham A, and Cale A (eds) </w:t>
      </w:r>
      <w:r w:rsidRPr="00050C0A">
        <w:rPr>
          <w:rFonts w:cs="Times New Roman"/>
          <w:i/>
          <w:iCs/>
          <w:szCs w:val="24"/>
        </w:rPr>
        <w:t>Advances in Coach Education and Development: From Research to Practice</w:t>
      </w:r>
      <w:r w:rsidRPr="00050C0A">
        <w:rPr>
          <w:rFonts w:cs="Times New Roman"/>
          <w:szCs w:val="24"/>
        </w:rPr>
        <w:t xml:space="preserve">. Abingdon, Oxon: Routledge, 2016, pp. 1-13. </w:t>
      </w:r>
    </w:p>
    <w:p w14:paraId="1AFE81EA" w14:textId="545FB602" w:rsidR="005B613D" w:rsidRPr="00050C0A" w:rsidRDefault="005B613D"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Ashworth A. A sense of Purpose. </w:t>
      </w:r>
      <w:r w:rsidRPr="00050C0A">
        <w:rPr>
          <w:rFonts w:cs="Times New Roman"/>
          <w:i/>
          <w:iCs/>
          <w:szCs w:val="24"/>
        </w:rPr>
        <w:t>The Boot Room Issue 11</w:t>
      </w:r>
      <w:r w:rsidRPr="00050C0A">
        <w:rPr>
          <w:rFonts w:cs="Times New Roman"/>
          <w:szCs w:val="24"/>
        </w:rPr>
        <w:t>, December 2014, pp. 14-18.</w:t>
      </w:r>
    </w:p>
    <w:p w14:paraId="76D6405E" w14:textId="149B4AF7" w:rsidR="00063A52" w:rsidRPr="00050C0A" w:rsidRDefault="00063A52"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FA Education. England DNA, http://www.thefa.com/learning/england-dna (2019, accessed 1 September 2020). </w:t>
      </w:r>
    </w:p>
    <w:p w14:paraId="24979743" w14:textId="4F106FF2" w:rsidR="00063A52" w:rsidRPr="00050C0A" w:rsidRDefault="00063A52"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Cushion C and Jones RL. Power, discourse, and symbolic voilence in professional youth soccer: The case of Albion Football Club. </w:t>
      </w:r>
      <w:r w:rsidRPr="00050C0A">
        <w:rPr>
          <w:rFonts w:cs="Times New Roman"/>
          <w:i/>
          <w:iCs/>
          <w:szCs w:val="24"/>
        </w:rPr>
        <w:t>Sociol Sport J</w:t>
      </w:r>
      <w:r w:rsidRPr="00050C0A">
        <w:rPr>
          <w:rFonts w:cs="Times New Roman"/>
          <w:szCs w:val="24"/>
        </w:rPr>
        <w:t xml:space="preserve"> 2006; </w:t>
      </w:r>
      <w:r w:rsidR="0050431C" w:rsidRPr="00050C0A">
        <w:rPr>
          <w:rFonts w:cs="Times New Roman"/>
          <w:szCs w:val="24"/>
        </w:rPr>
        <w:t>23: 142-161.</w:t>
      </w:r>
    </w:p>
    <w:p w14:paraId="44A3715A" w14:textId="057056E3" w:rsidR="0050431C" w:rsidRPr="00050C0A" w:rsidRDefault="0050431C"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North J. Benchmarking sport coach education and development. In: Allison A, Abraham A, and Cale A (eds) </w:t>
      </w:r>
      <w:r w:rsidRPr="00050C0A">
        <w:rPr>
          <w:rFonts w:cs="Times New Roman"/>
          <w:i/>
          <w:iCs/>
          <w:szCs w:val="24"/>
        </w:rPr>
        <w:t>Advances in Coach Education and Development: From Research to Practice</w:t>
      </w:r>
      <w:r w:rsidRPr="00050C0A">
        <w:rPr>
          <w:rFonts w:cs="Times New Roman"/>
          <w:szCs w:val="24"/>
        </w:rPr>
        <w:t xml:space="preserve">. Abingdon, Oxon: Routledge, 2016, pp. 17-29. </w:t>
      </w:r>
    </w:p>
    <w:p w14:paraId="41C1E60E" w14:textId="350DE021" w:rsidR="00843A8D" w:rsidRPr="00050C0A" w:rsidRDefault="00843A8D"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Davids K, Gullich A, Shuttleworth R, et al. Understanding environmental and task constraints on talent development: Analysis of micro-structure of practice and macro-structure of development histories. In: Baker J, Cobley S, Schorer J, and Wattie N (eds) </w:t>
      </w:r>
      <w:r w:rsidRPr="00050C0A">
        <w:rPr>
          <w:rFonts w:cs="Times New Roman"/>
          <w:i/>
          <w:iCs/>
          <w:szCs w:val="24"/>
        </w:rPr>
        <w:t>Routledge Handbook of Talent Identification and Development in Sport</w:t>
      </w:r>
      <w:r w:rsidRPr="00050C0A">
        <w:rPr>
          <w:rFonts w:cs="Times New Roman"/>
          <w:szCs w:val="24"/>
        </w:rPr>
        <w:t xml:space="preserve">. Routledge: Abingdon, 2017, pp. 192-206. </w:t>
      </w:r>
    </w:p>
    <w:p w14:paraId="705C2408" w14:textId="6F472ADD" w:rsidR="00843A8D" w:rsidRPr="00050C0A" w:rsidRDefault="005565A1"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Cushion C, Ford PR, and Williams AM. Coach behaviours and practice structures in youth soccer: Implications for talent development. </w:t>
      </w:r>
      <w:r w:rsidRPr="00050C0A">
        <w:rPr>
          <w:rFonts w:cs="Times New Roman"/>
          <w:i/>
          <w:iCs/>
          <w:szCs w:val="24"/>
        </w:rPr>
        <w:t>J Sports Sci</w:t>
      </w:r>
      <w:r w:rsidRPr="00050C0A">
        <w:rPr>
          <w:rFonts w:cs="Times New Roman"/>
          <w:szCs w:val="24"/>
        </w:rPr>
        <w:t xml:space="preserve"> 2012; 30: 1631-1641. </w:t>
      </w:r>
    </w:p>
    <w:p w14:paraId="184461D7" w14:textId="040B1FD8" w:rsidR="005565A1" w:rsidRPr="00050C0A" w:rsidRDefault="005565A1"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Cassidy T, Jones RL, and Potrac P. </w:t>
      </w:r>
      <w:r w:rsidRPr="00050C0A">
        <w:rPr>
          <w:rFonts w:cs="Times New Roman"/>
          <w:i/>
          <w:iCs/>
          <w:szCs w:val="24"/>
        </w:rPr>
        <w:t>Understanding sports coaching: The social, cultural and pedagogical foundations of coaching practice</w:t>
      </w:r>
      <w:r w:rsidRPr="00050C0A">
        <w:rPr>
          <w:rFonts w:cs="Times New Roman"/>
          <w:szCs w:val="24"/>
        </w:rPr>
        <w:t xml:space="preserve">. 2nd ed. London: Routledge, 2009 </w:t>
      </w:r>
    </w:p>
    <w:p w14:paraId="39D14656" w14:textId="779A175C" w:rsidR="005565A1" w:rsidRPr="00050C0A" w:rsidRDefault="005565A1"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Harvey S, Cushion C and Massa-Gonzalez AN. Learning a new method: Teaching games for understanding in the coaches’ eyes. </w:t>
      </w:r>
      <w:r w:rsidRPr="00050C0A">
        <w:rPr>
          <w:rFonts w:cs="Times New Roman"/>
          <w:i/>
          <w:iCs/>
          <w:szCs w:val="24"/>
        </w:rPr>
        <w:t>Phys Educ Sport Pedagogy</w:t>
      </w:r>
      <w:r w:rsidRPr="00050C0A">
        <w:rPr>
          <w:rFonts w:cs="Times New Roman"/>
          <w:szCs w:val="24"/>
        </w:rPr>
        <w:t xml:space="preserve"> 2010; 15: pp. 361-382. </w:t>
      </w:r>
    </w:p>
    <w:p w14:paraId="6D7F211A" w14:textId="644A5411" w:rsidR="00157B3A" w:rsidRPr="00050C0A" w:rsidRDefault="00157B3A"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Chow JY, Shuttleworth R, Davids K, et al. Ecological dynamics and transfer from practice to performance in sport. In: Hodges N and Williams MA (eds) </w:t>
      </w:r>
      <w:r w:rsidRPr="00050C0A">
        <w:rPr>
          <w:rFonts w:cs="Times New Roman"/>
          <w:i/>
          <w:iCs/>
          <w:szCs w:val="24"/>
        </w:rPr>
        <w:t>Skill Acquisition in Sport</w:t>
      </w:r>
      <w:r w:rsidRPr="00050C0A">
        <w:rPr>
          <w:rFonts w:cs="Times New Roman"/>
          <w:szCs w:val="24"/>
        </w:rPr>
        <w:t xml:space="preserve">. 3rd ed. Routledge, 2019, pp. 163-182. </w:t>
      </w:r>
    </w:p>
    <w:p w14:paraId="1287F136" w14:textId="6FD93305" w:rsidR="00157B3A" w:rsidRPr="00050C0A" w:rsidRDefault="00157B3A"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Ford PR and Willams MA. The acquisition of skill and expertise: The role of practice and other activities. In: Williams MA (eds) </w:t>
      </w:r>
      <w:r w:rsidRPr="00050C0A">
        <w:rPr>
          <w:rFonts w:cs="Times New Roman"/>
          <w:i/>
          <w:iCs/>
          <w:szCs w:val="24"/>
        </w:rPr>
        <w:t>Science and soccer: Developing elite performers</w:t>
      </w:r>
      <w:r w:rsidRPr="00050C0A">
        <w:rPr>
          <w:rFonts w:cs="Times New Roman"/>
          <w:szCs w:val="24"/>
        </w:rPr>
        <w:t xml:space="preserve">. Routledge, 2013, pp. 134-150. </w:t>
      </w:r>
    </w:p>
    <w:p w14:paraId="7A872898" w14:textId="57B50DB3" w:rsidR="00157B3A" w:rsidRPr="00050C0A" w:rsidRDefault="00157B3A"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Davids</w:t>
      </w:r>
      <w:r w:rsidR="005957BD" w:rsidRPr="00050C0A">
        <w:rPr>
          <w:rFonts w:cs="Times New Roman"/>
          <w:szCs w:val="24"/>
        </w:rPr>
        <w:t xml:space="preserve"> K, Button C, and Bennett S. </w:t>
      </w:r>
      <w:r w:rsidR="005957BD" w:rsidRPr="00050C0A">
        <w:rPr>
          <w:rFonts w:cs="Times New Roman"/>
          <w:i/>
          <w:iCs/>
          <w:szCs w:val="24"/>
        </w:rPr>
        <w:t>Dynamics of skill acquisition: A constraints-led approach</w:t>
      </w:r>
      <w:r w:rsidR="005957BD" w:rsidRPr="00050C0A">
        <w:rPr>
          <w:rFonts w:cs="Times New Roman"/>
          <w:szCs w:val="24"/>
        </w:rPr>
        <w:t xml:space="preserve">. Champaign, II: Leeds: Human Kinetics, 2008. </w:t>
      </w:r>
    </w:p>
    <w:p w14:paraId="0170500D" w14:textId="2A7A2D8C" w:rsidR="005B5602" w:rsidRPr="00050C0A" w:rsidRDefault="005957BD" w:rsidP="005B5602">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Masters R, Van Duijn T, and Uiga L. Advances in implicit motor learning. In: In: Hodges N and Williams MA (eds) </w:t>
      </w:r>
      <w:r w:rsidRPr="00050C0A">
        <w:rPr>
          <w:rFonts w:cs="Times New Roman"/>
          <w:i/>
          <w:iCs/>
          <w:szCs w:val="24"/>
        </w:rPr>
        <w:t>Skill Acquisition in Sport</w:t>
      </w:r>
      <w:r w:rsidRPr="00050C0A">
        <w:rPr>
          <w:rFonts w:cs="Times New Roman"/>
          <w:szCs w:val="24"/>
        </w:rPr>
        <w:t>. 3</w:t>
      </w:r>
      <w:r w:rsidRPr="00050C0A">
        <w:rPr>
          <w:rFonts w:cs="Times New Roman"/>
          <w:szCs w:val="24"/>
          <w:vertAlign w:val="superscript"/>
        </w:rPr>
        <w:t>rd</w:t>
      </w:r>
      <w:r w:rsidRPr="00050C0A">
        <w:rPr>
          <w:rFonts w:cs="Times New Roman"/>
          <w:szCs w:val="24"/>
        </w:rPr>
        <w:t xml:space="preserve"> ed. London: Routledge, 2019, pp. 77-95</w:t>
      </w:r>
      <w:r w:rsidR="005B5602" w:rsidRPr="00050C0A">
        <w:rPr>
          <w:rFonts w:cs="Times New Roman"/>
          <w:szCs w:val="24"/>
        </w:rPr>
        <w:t>.</w:t>
      </w:r>
    </w:p>
    <w:p w14:paraId="1685DD1E" w14:textId="2526C899" w:rsidR="005B5602" w:rsidRPr="00050C0A" w:rsidRDefault="005B5602"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Williams AM and Hodges NJ. Practice, instrcution and skill acquisition in soccer: Challenging tradition. </w:t>
      </w:r>
      <w:r w:rsidRPr="00050C0A">
        <w:rPr>
          <w:rFonts w:cs="Times New Roman"/>
          <w:i/>
          <w:iCs/>
          <w:szCs w:val="24"/>
        </w:rPr>
        <w:t xml:space="preserve">J Sports Sci </w:t>
      </w:r>
      <w:r w:rsidRPr="00050C0A">
        <w:rPr>
          <w:rFonts w:cs="Times New Roman"/>
          <w:szCs w:val="24"/>
        </w:rPr>
        <w:t xml:space="preserve">2005; 23: pp. 637-650. </w:t>
      </w:r>
    </w:p>
    <w:p w14:paraId="5BEA6575" w14:textId="77BE0E1B" w:rsidR="005B5602" w:rsidRPr="00050C0A" w:rsidRDefault="005B5602"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lang w:val="da-DK"/>
        </w:rPr>
        <w:t xml:space="preserve">Chow JY, Davids K, Button C, et al. </w:t>
      </w:r>
      <w:r w:rsidRPr="00050C0A">
        <w:rPr>
          <w:rFonts w:cs="Times New Roman"/>
          <w:i/>
          <w:iCs/>
          <w:szCs w:val="24"/>
        </w:rPr>
        <w:t>Nonlinear pedagogy in skill acquisition: An introduction</w:t>
      </w:r>
      <w:r w:rsidRPr="00050C0A">
        <w:rPr>
          <w:rFonts w:cs="Times New Roman"/>
          <w:szCs w:val="24"/>
        </w:rPr>
        <w:t xml:space="preserve">. London: Routledge, 2016. </w:t>
      </w:r>
    </w:p>
    <w:p w14:paraId="51302C33" w14:textId="2A13E418" w:rsidR="00C2267E" w:rsidRPr="00050C0A" w:rsidRDefault="00C2267E"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Davids K, Hristovski R, Ara</w:t>
      </w:r>
      <w:r w:rsidRPr="00050C0A">
        <w:rPr>
          <w:rFonts w:eastAsia="Calibri" w:cs="Times New Roman"/>
          <w:szCs w:val="24"/>
        </w:rPr>
        <w:t xml:space="preserve">újo D, et al. </w:t>
      </w:r>
      <w:r w:rsidRPr="00050C0A">
        <w:rPr>
          <w:rFonts w:eastAsia="Calibri" w:cs="Times New Roman"/>
          <w:i/>
          <w:iCs/>
          <w:szCs w:val="24"/>
        </w:rPr>
        <w:t>Complex systems in sport</w:t>
      </w:r>
      <w:r w:rsidRPr="00050C0A">
        <w:rPr>
          <w:rFonts w:eastAsia="Calibri" w:cs="Times New Roman"/>
          <w:szCs w:val="24"/>
        </w:rPr>
        <w:t xml:space="preserve">. London: Routledge, 2014. </w:t>
      </w:r>
    </w:p>
    <w:p w14:paraId="2DC5B098" w14:textId="5684577E" w:rsidR="00C2267E" w:rsidRPr="00050C0A" w:rsidRDefault="00C2267E"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eastAsia="Calibri" w:cs="Times New Roman"/>
          <w:szCs w:val="24"/>
        </w:rPr>
        <w:t xml:space="preserve">Moy B, Renshaw I, Davids K et al. Overcoming acculturation: Physcial education recruits’ experiences of an alternative pedagogical approach to games teaching. </w:t>
      </w:r>
      <w:r w:rsidRPr="00050C0A">
        <w:rPr>
          <w:rFonts w:eastAsia="Calibri" w:cs="Times New Roman"/>
          <w:i/>
          <w:iCs/>
          <w:szCs w:val="24"/>
        </w:rPr>
        <w:t>Phys Educ Sport Pedagogy</w:t>
      </w:r>
      <w:r w:rsidRPr="00050C0A">
        <w:rPr>
          <w:rFonts w:eastAsia="Calibri" w:cs="Times New Roman"/>
          <w:szCs w:val="24"/>
        </w:rPr>
        <w:t xml:space="preserve"> 2016; 21: 386-406.</w:t>
      </w:r>
    </w:p>
    <w:p w14:paraId="2E1D61EE" w14:textId="1207D683" w:rsidR="00C2267E" w:rsidRPr="00050C0A" w:rsidRDefault="00C2267E"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eastAsia="Calibri" w:cs="Times New Roman"/>
          <w:szCs w:val="24"/>
          <w:lang w:val="da-DK"/>
        </w:rPr>
        <w:t xml:space="preserve">Renshaw I, Headrick J, Maloney M, et al. </w:t>
      </w:r>
      <w:r w:rsidRPr="00050C0A">
        <w:rPr>
          <w:rFonts w:eastAsia="Calibri" w:cs="Times New Roman"/>
          <w:szCs w:val="24"/>
        </w:rPr>
        <w:t xml:space="preserve">Constraints-led learning in practice: Designing effective learning environemnts. In: Hodges N &amp; Willaims MA (eds) </w:t>
      </w:r>
      <w:r w:rsidRPr="00050C0A">
        <w:rPr>
          <w:rFonts w:eastAsia="Calibri" w:cs="Times New Roman"/>
          <w:i/>
          <w:iCs/>
          <w:szCs w:val="24"/>
        </w:rPr>
        <w:t>Skill Acquisition in Sport</w:t>
      </w:r>
      <w:r w:rsidRPr="00050C0A">
        <w:rPr>
          <w:rFonts w:eastAsia="Calibri" w:cs="Times New Roman"/>
          <w:szCs w:val="24"/>
        </w:rPr>
        <w:t xml:space="preserve">. 3rd ed. Routledge, 2019, pp. 163-182. </w:t>
      </w:r>
    </w:p>
    <w:p w14:paraId="51BD19EB" w14:textId="67965577" w:rsidR="008029D1" w:rsidRPr="00050C0A" w:rsidRDefault="008029D1"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eastAsia="Calibri" w:cs="Times New Roman"/>
          <w:szCs w:val="24"/>
        </w:rPr>
        <w:t xml:space="preserve">Chow JY. Nonlinear learning underpinning pedagogy: Evidence, challenges, and implications. </w:t>
      </w:r>
      <w:r w:rsidRPr="00050C0A">
        <w:rPr>
          <w:rFonts w:eastAsia="Calibri" w:cs="Times New Roman"/>
          <w:i/>
          <w:iCs/>
          <w:szCs w:val="24"/>
        </w:rPr>
        <w:t xml:space="preserve">Quest </w:t>
      </w:r>
      <w:r w:rsidRPr="00050C0A">
        <w:rPr>
          <w:rFonts w:eastAsia="Calibri" w:cs="Times New Roman"/>
          <w:szCs w:val="24"/>
        </w:rPr>
        <w:t xml:space="preserve">2013; 65: 469-484. </w:t>
      </w:r>
    </w:p>
    <w:p w14:paraId="0D59A773" w14:textId="14BFD7BF" w:rsidR="00333808" w:rsidRPr="00050C0A" w:rsidRDefault="00333808"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Ara</w:t>
      </w:r>
      <w:r w:rsidRPr="00050C0A">
        <w:rPr>
          <w:rFonts w:eastAsia="Calibri" w:cs="Times New Roman"/>
          <w:szCs w:val="24"/>
        </w:rPr>
        <w:t xml:space="preserve">újo D and Davids K. Talent development: From possessing gifts to functional environmental interactions. </w:t>
      </w:r>
      <w:r w:rsidRPr="00050C0A">
        <w:rPr>
          <w:rFonts w:eastAsia="Calibri" w:cs="Times New Roman"/>
          <w:i/>
          <w:iCs/>
          <w:szCs w:val="24"/>
        </w:rPr>
        <w:t xml:space="preserve">Talent dev excell </w:t>
      </w:r>
      <w:r w:rsidRPr="00050C0A">
        <w:rPr>
          <w:rFonts w:eastAsia="Calibri" w:cs="Times New Roman"/>
          <w:szCs w:val="24"/>
        </w:rPr>
        <w:t>2011; 3: 23-25</w:t>
      </w:r>
      <w:r w:rsidR="00D123FF" w:rsidRPr="00050C0A">
        <w:rPr>
          <w:rFonts w:eastAsia="Calibri" w:cs="Times New Roman"/>
          <w:szCs w:val="24"/>
        </w:rPr>
        <w:t xml:space="preserve">. </w:t>
      </w:r>
    </w:p>
    <w:p w14:paraId="1EC4731C" w14:textId="51C1B76E" w:rsidR="00D123FF" w:rsidRPr="00050C0A" w:rsidRDefault="00D123FF"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eastAsia="Calibri" w:cs="Times New Roman"/>
          <w:szCs w:val="24"/>
          <w:lang w:val="da-DK"/>
        </w:rPr>
        <w:t xml:space="preserve">Davids K, </w:t>
      </w:r>
      <w:r w:rsidRPr="00050C0A">
        <w:rPr>
          <w:rFonts w:cs="Times New Roman"/>
          <w:szCs w:val="24"/>
          <w:lang w:val="da-DK"/>
        </w:rPr>
        <w:t>Ara</w:t>
      </w:r>
      <w:r w:rsidRPr="00050C0A">
        <w:rPr>
          <w:rFonts w:eastAsia="Calibri" w:cs="Times New Roman"/>
          <w:szCs w:val="24"/>
          <w:lang w:val="da-DK"/>
        </w:rPr>
        <w:t xml:space="preserve">újo D, Seifert L, et al. </w:t>
      </w:r>
      <w:r w:rsidRPr="00050C0A">
        <w:rPr>
          <w:rFonts w:eastAsia="Calibri" w:cs="Times New Roman"/>
          <w:szCs w:val="24"/>
        </w:rPr>
        <w:t xml:space="preserve">Expert performance in sport: An ecological dynamics perspective. In: Baker J and Farrow D (eds) </w:t>
      </w:r>
      <w:r w:rsidRPr="00050C0A">
        <w:rPr>
          <w:rFonts w:eastAsia="Calibri" w:cs="Times New Roman"/>
          <w:i/>
          <w:iCs/>
          <w:szCs w:val="24"/>
        </w:rPr>
        <w:t>Routledge handbook of sport and expertise</w:t>
      </w:r>
      <w:r w:rsidRPr="00050C0A">
        <w:rPr>
          <w:rFonts w:eastAsia="Calibri" w:cs="Times New Roman"/>
          <w:szCs w:val="24"/>
        </w:rPr>
        <w:t xml:space="preserve">. London: Routledge, 2015, pp. 273-303. </w:t>
      </w:r>
    </w:p>
    <w:p w14:paraId="0FA6CC3C" w14:textId="5223A468" w:rsidR="00D123FF" w:rsidRPr="00050C0A" w:rsidRDefault="00D123FF"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eastAsia="Calibri" w:cs="Times New Roman"/>
          <w:szCs w:val="24"/>
          <w:lang w:val="da-DK"/>
        </w:rPr>
        <w:t xml:space="preserve">Pinder RA, Davids K, Renshaw I, et al. </w:t>
      </w:r>
      <w:r w:rsidRPr="00050C0A">
        <w:rPr>
          <w:rFonts w:eastAsia="Calibri" w:cs="Times New Roman"/>
          <w:szCs w:val="24"/>
        </w:rPr>
        <w:t>Representarive learning design and functionality of research and practice in sport.</w:t>
      </w:r>
      <w:r w:rsidRPr="00050C0A">
        <w:rPr>
          <w:rFonts w:ascii="Arial" w:hAnsi="Arial" w:cs="Arial"/>
          <w:noProof w:val="0"/>
          <w:sz w:val="20"/>
          <w:szCs w:val="20"/>
          <w:shd w:val="clear" w:color="auto" w:fill="FFFFFF"/>
        </w:rPr>
        <w:t xml:space="preserve"> </w:t>
      </w:r>
      <w:r w:rsidRPr="00050C0A">
        <w:rPr>
          <w:rFonts w:eastAsia="Calibri" w:cs="Times New Roman"/>
          <w:i/>
          <w:iCs/>
          <w:szCs w:val="24"/>
        </w:rPr>
        <w:t>J Sport Exerc Psychol</w:t>
      </w:r>
      <w:r w:rsidRPr="00050C0A">
        <w:rPr>
          <w:rFonts w:eastAsia="Calibri" w:cs="Times New Roman"/>
          <w:szCs w:val="24"/>
        </w:rPr>
        <w:t xml:space="preserve"> 2011; 33: 146-155. </w:t>
      </w:r>
    </w:p>
    <w:p w14:paraId="3C6703D8" w14:textId="4A2AFEF0" w:rsidR="00D123FF" w:rsidRPr="00050C0A" w:rsidRDefault="008C347C"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lang w:val="da-DK"/>
        </w:rPr>
        <w:t>Ara</w:t>
      </w:r>
      <w:r w:rsidRPr="00050C0A">
        <w:rPr>
          <w:rFonts w:eastAsia="Calibri" w:cs="Times New Roman"/>
          <w:szCs w:val="24"/>
          <w:lang w:val="da-DK"/>
        </w:rPr>
        <w:t xml:space="preserve">újo D, Davids K, Chow JY, et al. </w:t>
      </w:r>
      <w:r w:rsidRPr="00050C0A">
        <w:rPr>
          <w:rFonts w:eastAsia="Calibri" w:cs="Times New Roman"/>
          <w:szCs w:val="24"/>
        </w:rPr>
        <w:t xml:space="preserve">The development of decision making skill in sport: An ecological dynamics perspective. In: </w:t>
      </w:r>
      <w:r w:rsidRPr="00050C0A">
        <w:rPr>
          <w:rFonts w:cs="Times New Roman"/>
          <w:szCs w:val="24"/>
        </w:rPr>
        <w:t>Ara</w:t>
      </w:r>
      <w:r w:rsidRPr="00050C0A">
        <w:rPr>
          <w:rFonts w:eastAsia="Calibri" w:cs="Times New Roman"/>
          <w:szCs w:val="24"/>
        </w:rPr>
        <w:t xml:space="preserve">újo D and Ripoli H (eds) </w:t>
      </w:r>
      <w:r w:rsidRPr="00050C0A">
        <w:rPr>
          <w:rFonts w:eastAsia="Calibri" w:cs="Times New Roman"/>
          <w:i/>
          <w:iCs/>
          <w:szCs w:val="24"/>
        </w:rPr>
        <w:t>Perceptions on cognition and action in sport</w:t>
      </w:r>
      <w:r w:rsidRPr="00050C0A">
        <w:rPr>
          <w:rFonts w:eastAsia="Calibri" w:cs="Times New Roman"/>
          <w:szCs w:val="24"/>
        </w:rPr>
        <w:t xml:space="preserve">. Suffolk, United States of America: Nova Science Publishers Inc, 2009, pp. 157-169. </w:t>
      </w:r>
    </w:p>
    <w:p w14:paraId="6E832842" w14:textId="204F39AB" w:rsidR="008C347C" w:rsidRPr="00050C0A" w:rsidRDefault="006047D1"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eastAsia="Calibri" w:cs="Times New Roman"/>
          <w:szCs w:val="24"/>
          <w:lang w:val="da-DK"/>
        </w:rPr>
        <w:t xml:space="preserve">Davids K, </w:t>
      </w:r>
      <w:r w:rsidRPr="00050C0A">
        <w:rPr>
          <w:rFonts w:cs="Times New Roman"/>
          <w:szCs w:val="24"/>
          <w:lang w:val="da-DK"/>
        </w:rPr>
        <w:t>Ara</w:t>
      </w:r>
      <w:r w:rsidRPr="00050C0A">
        <w:rPr>
          <w:rFonts w:eastAsia="Calibri" w:cs="Times New Roman"/>
          <w:szCs w:val="24"/>
          <w:lang w:val="da-DK"/>
        </w:rPr>
        <w:t xml:space="preserve">újo D, Hristovski et al. </w:t>
      </w:r>
      <w:r w:rsidRPr="00050C0A">
        <w:rPr>
          <w:rFonts w:eastAsia="Calibri" w:cs="Times New Roman"/>
          <w:szCs w:val="24"/>
        </w:rPr>
        <w:t xml:space="preserve">Ecological dynamics and motor learning design in sport. In: Hodges N and Williams MA (eds) </w:t>
      </w:r>
      <w:r w:rsidRPr="00050C0A">
        <w:rPr>
          <w:rFonts w:eastAsia="Calibri" w:cs="Times New Roman"/>
          <w:i/>
          <w:iCs/>
          <w:szCs w:val="24"/>
        </w:rPr>
        <w:t>Skill acquisition in Sport</w:t>
      </w:r>
      <w:r w:rsidRPr="00050C0A">
        <w:rPr>
          <w:rFonts w:eastAsia="Calibri" w:cs="Times New Roman"/>
          <w:szCs w:val="24"/>
        </w:rPr>
        <w:t>. 3rd</w:t>
      </w:r>
      <w:r w:rsidR="00C31043" w:rsidRPr="00050C0A">
        <w:rPr>
          <w:rFonts w:eastAsia="Calibri" w:cs="Times New Roman"/>
          <w:szCs w:val="24"/>
        </w:rPr>
        <w:t xml:space="preserve"> ed. Routledge, 2012, pp. 112-130. </w:t>
      </w:r>
    </w:p>
    <w:p w14:paraId="1A641C9B" w14:textId="2A88CBFB" w:rsidR="00C31043" w:rsidRPr="00050C0A" w:rsidRDefault="00C31043"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eastAsia="Calibri" w:cs="Times New Roman"/>
          <w:szCs w:val="24"/>
        </w:rPr>
        <w:t xml:space="preserve">Davids K, </w:t>
      </w:r>
      <w:r w:rsidRPr="00050C0A">
        <w:rPr>
          <w:rFonts w:cs="Times New Roman"/>
          <w:szCs w:val="24"/>
        </w:rPr>
        <w:t>Ara</w:t>
      </w:r>
      <w:r w:rsidRPr="00050C0A">
        <w:rPr>
          <w:rFonts w:eastAsia="Calibri" w:cs="Times New Roman"/>
          <w:szCs w:val="24"/>
        </w:rPr>
        <w:t xml:space="preserve">újo D, Correia V, et al. How small-sided and conditioned games enhance acquisition of movement and decision-making skills. </w:t>
      </w:r>
      <w:r w:rsidR="000C668C" w:rsidRPr="00050C0A">
        <w:rPr>
          <w:rFonts w:eastAsia="Calibri" w:cs="Times New Roman"/>
          <w:i/>
          <w:iCs/>
          <w:szCs w:val="24"/>
        </w:rPr>
        <w:t>Exerc Sport Sci Rev</w:t>
      </w:r>
      <w:r w:rsidRPr="00050C0A">
        <w:rPr>
          <w:rFonts w:eastAsia="Calibri" w:cs="Times New Roman"/>
          <w:szCs w:val="24"/>
        </w:rPr>
        <w:t xml:space="preserve"> </w:t>
      </w:r>
      <w:r w:rsidR="005A3E1B" w:rsidRPr="00050C0A">
        <w:rPr>
          <w:rFonts w:eastAsia="Calibri" w:cs="Times New Roman"/>
          <w:szCs w:val="24"/>
        </w:rPr>
        <w:t xml:space="preserve">2013; 41: 154-161. </w:t>
      </w:r>
    </w:p>
    <w:p w14:paraId="5D062DDB" w14:textId="552FCE0E" w:rsidR="005A3E1B" w:rsidRPr="00050C0A" w:rsidRDefault="005A3E1B"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eastAsia="Calibri" w:cs="Times New Roman"/>
          <w:szCs w:val="24"/>
        </w:rPr>
        <w:t xml:space="preserve">Woods CT, McKeown I, Shuttleworth RJ, et al. Training programme designs in professional team sport: An ecologcial dynamics exemplar. </w:t>
      </w:r>
      <w:r w:rsidRPr="00050C0A">
        <w:rPr>
          <w:rFonts w:eastAsia="Calibri" w:cs="Times New Roman"/>
          <w:i/>
          <w:iCs/>
          <w:szCs w:val="24"/>
        </w:rPr>
        <w:t>Hum Mov Sci</w:t>
      </w:r>
      <w:r w:rsidRPr="00050C0A">
        <w:rPr>
          <w:rFonts w:eastAsia="Calibri" w:cs="Times New Roman"/>
          <w:szCs w:val="24"/>
        </w:rPr>
        <w:t xml:space="preserve"> 2019; 66: 318-326. </w:t>
      </w:r>
    </w:p>
    <w:p w14:paraId="2600D8F6" w14:textId="0B1D6809" w:rsidR="005A3E1B" w:rsidRPr="00050C0A" w:rsidRDefault="005A3E1B"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eastAsia="Calibri" w:cs="Times New Roman"/>
          <w:szCs w:val="24"/>
        </w:rPr>
        <w:t xml:space="preserve">Travassos B, Duarte R, Vilar L, et al. Practice task design in tam sports: Representativeness enhanced by increasing oppertunities for action. </w:t>
      </w:r>
      <w:r w:rsidR="00C527A4" w:rsidRPr="00050C0A">
        <w:rPr>
          <w:rFonts w:eastAsia="Calibri" w:cs="Times New Roman"/>
          <w:i/>
          <w:iCs/>
          <w:szCs w:val="24"/>
        </w:rPr>
        <w:t>J Sports Sci</w:t>
      </w:r>
      <w:r w:rsidR="00C527A4" w:rsidRPr="00050C0A">
        <w:rPr>
          <w:rFonts w:eastAsia="Calibri" w:cs="Times New Roman"/>
          <w:szCs w:val="24"/>
        </w:rPr>
        <w:t xml:space="preserve"> 2012; 30: 1447-1454. </w:t>
      </w:r>
    </w:p>
    <w:p w14:paraId="022CD413" w14:textId="3FBECE0B" w:rsidR="00C527A4" w:rsidRPr="00050C0A" w:rsidRDefault="00C527A4"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eastAsia="Calibri" w:cs="Times New Roman"/>
          <w:szCs w:val="24"/>
        </w:rPr>
        <w:t xml:space="preserve">Pocock C, Bezodis NE, Wadey R, et al. Understanding Key Constraints and Practice Design in Rugby Union Place Kicking: Experitential Knowledge of Professional Kickers and Experienced Coaches. </w:t>
      </w:r>
      <w:r w:rsidRPr="00050C0A">
        <w:rPr>
          <w:rFonts w:eastAsia="Calibri" w:cs="Times New Roman"/>
          <w:i/>
          <w:iCs/>
          <w:szCs w:val="24"/>
        </w:rPr>
        <w:t>Int</w:t>
      </w:r>
      <w:r w:rsidRPr="00050C0A">
        <w:rPr>
          <w:rFonts w:eastAsia="Calibri" w:cs="Times New Roman"/>
          <w:szCs w:val="24"/>
        </w:rPr>
        <w:t xml:space="preserve"> </w:t>
      </w:r>
      <w:r w:rsidRPr="00050C0A">
        <w:rPr>
          <w:rFonts w:eastAsia="Calibri" w:cs="Times New Roman"/>
          <w:i/>
          <w:iCs/>
          <w:szCs w:val="24"/>
        </w:rPr>
        <w:t>J Sports Sci Coach</w:t>
      </w:r>
      <w:r w:rsidRPr="00050C0A">
        <w:rPr>
          <w:rFonts w:eastAsia="Calibri" w:cs="Times New Roman"/>
          <w:szCs w:val="24"/>
        </w:rPr>
        <w:t xml:space="preserve"> 2020; 15: 631-641</w:t>
      </w:r>
      <w:r w:rsidR="00C154B1" w:rsidRPr="00050C0A">
        <w:rPr>
          <w:rFonts w:eastAsia="Calibri" w:cs="Times New Roman"/>
          <w:szCs w:val="24"/>
        </w:rPr>
        <w:t>.</w:t>
      </w:r>
    </w:p>
    <w:p w14:paraId="6BCB307C" w14:textId="452301FC" w:rsidR="00C527A4" w:rsidRPr="00050C0A" w:rsidRDefault="00C527A4"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eastAsia="Calibri" w:cs="Times New Roman"/>
          <w:szCs w:val="24"/>
        </w:rPr>
        <w:t xml:space="preserve">Jones R, Morgan K, and Harris K. Developing coaching pedagogy: Seeking a better integration of theory and practice. </w:t>
      </w:r>
      <w:r w:rsidRPr="00050C0A">
        <w:rPr>
          <w:rFonts w:eastAsia="Calibri" w:cs="Times New Roman"/>
          <w:i/>
          <w:iCs/>
          <w:szCs w:val="24"/>
        </w:rPr>
        <w:t>Sport Educ Soc</w:t>
      </w:r>
      <w:r w:rsidR="00C154B1" w:rsidRPr="00050C0A">
        <w:rPr>
          <w:rFonts w:eastAsia="Calibri" w:cs="Times New Roman"/>
          <w:szCs w:val="24"/>
        </w:rPr>
        <w:t xml:space="preserve"> 2012; 17: 313-329.</w:t>
      </w:r>
    </w:p>
    <w:p w14:paraId="6B100D44" w14:textId="0FE4763B" w:rsidR="00C154B1" w:rsidRPr="00050C0A" w:rsidRDefault="00C154B1"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lang w:val="da-DK"/>
        </w:rPr>
        <w:t>Renshaw</w:t>
      </w:r>
      <w:r w:rsidR="00B959A3" w:rsidRPr="00050C0A">
        <w:rPr>
          <w:lang w:val="da-DK"/>
        </w:rPr>
        <w:t xml:space="preserve"> I</w:t>
      </w:r>
      <w:r w:rsidRPr="00050C0A">
        <w:rPr>
          <w:lang w:val="da-DK"/>
        </w:rPr>
        <w:t>,</w:t>
      </w:r>
      <w:r w:rsidR="00B959A3" w:rsidRPr="00050C0A">
        <w:rPr>
          <w:lang w:val="da-DK"/>
        </w:rPr>
        <w:t xml:space="preserve"> </w:t>
      </w:r>
      <w:r w:rsidRPr="00050C0A">
        <w:rPr>
          <w:lang w:val="da-DK"/>
        </w:rPr>
        <w:t>Davids</w:t>
      </w:r>
      <w:r w:rsidR="00B959A3" w:rsidRPr="00050C0A">
        <w:rPr>
          <w:lang w:val="da-DK"/>
        </w:rPr>
        <w:t xml:space="preserve"> K</w:t>
      </w:r>
      <w:r w:rsidRPr="00050C0A">
        <w:rPr>
          <w:lang w:val="da-DK"/>
        </w:rPr>
        <w:t>, Newcombe</w:t>
      </w:r>
      <w:r w:rsidR="00B959A3" w:rsidRPr="00050C0A">
        <w:rPr>
          <w:lang w:val="da-DK"/>
        </w:rPr>
        <w:t xml:space="preserve"> D, et al</w:t>
      </w:r>
      <w:r w:rsidRPr="00050C0A">
        <w:rPr>
          <w:lang w:val="da-DK"/>
        </w:rPr>
        <w:t xml:space="preserve">. </w:t>
      </w:r>
      <w:r w:rsidRPr="00050C0A">
        <w:rPr>
          <w:i/>
          <w:iCs/>
        </w:rPr>
        <w:t>The Constraints-Led Approach: Principles for Sports Coaching and Practice Design</w:t>
      </w:r>
      <w:r w:rsidRPr="00050C0A">
        <w:t>. New York, NY: Routledge</w:t>
      </w:r>
      <w:r w:rsidR="00B959A3" w:rsidRPr="00050C0A">
        <w:t xml:space="preserve">, 2019. </w:t>
      </w:r>
    </w:p>
    <w:p w14:paraId="4A985D98" w14:textId="2578907C" w:rsidR="00B959A3" w:rsidRPr="00050C0A" w:rsidRDefault="00B959A3" w:rsidP="008035AD">
      <w:pPr>
        <w:pStyle w:val="ListParagraph"/>
        <w:widowControl w:val="0"/>
        <w:numPr>
          <w:ilvl w:val="0"/>
          <w:numId w:val="21"/>
        </w:numPr>
        <w:autoSpaceDE w:val="0"/>
        <w:autoSpaceDN w:val="0"/>
        <w:adjustRightInd w:val="0"/>
        <w:spacing w:line="480" w:lineRule="auto"/>
        <w:rPr>
          <w:rFonts w:cs="Times New Roman"/>
          <w:szCs w:val="24"/>
        </w:rPr>
      </w:pPr>
      <w:r w:rsidRPr="00050C0A">
        <w:t xml:space="preserve">Griffiths M, Armour K, and De Lyon A. Examining the impact of the FA youth coach education programme. In: Allison W, Abraham A, and Cale A (eds) </w:t>
      </w:r>
      <w:r w:rsidRPr="00050C0A">
        <w:rPr>
          <w:i/>
          <w:iCs/>
        </w:rPr>
        <w:t>Advances in Coach Education and Development: From Research to Practice</w:t>
      </w:r>
      <w:r w:rsidRPr="00050C0A">
        <w:t>. Abingdon, Oxon: Routledge, 2016, pp. 100-111.</w:t>
      </w:r>
    </w:p>
    <w:p w14:paraId="1D4BB838" w14:textId="51723AEA" w:rsidR="00B959A3" w:rsidRPr="00050C0A" w:rsidRDefault="00B959A3" w:rsidP="008035AD">
      <w:pPr>
        <w:pStyle w:val="ListParagraph"/>
        <w:widowControl w:val="0"/>
        <w:numPr>
          <w:ilvl w:val="0"/>
          <w:numId w:val="21"/>
        </w:numPr>
        <w:autoSpaceDE w:val="0"/>
        <w:autoSpaceDN w:val="0"/>
        <w:adjustRightInd w:val="0"/>
        <w:spacing w:line="480" w:lineRule="auto"/>
        <w:rPr>
          <w:rFonts w:cs="Times New Roman"/>
          <w:szCs w:val="24"/>
        </w:rPr>
      </w:pPr>
      <w:r w:rsidRPr="00050C0A">
        <w:t xml:space="preserve">Ford PR and Whelan J. Practice </w:t>
      </w:r>
      <w:r w:rsidR="009D0B4D" w:rsidRPr="00050C0A">
        <w:t xml:space="preserve">activities during coaching sessions in elite youth football and their effect on skill acquisition. In: Allison W, Abraham A, and Cale A (eds) </w:t>
      </w:r>
      <w:r w:rsidR="009D0B4D" w:rsidRPr="00050C0A">
        <w:rPr>
          <w:i/>
          <w:iCs/>
        </w:rPr>
        <w:t>Advances in Coach Education and Development: From Research to Practice</w:t>
      </w:r>
      <w:r w:rsidR="009D0B4D" w:rsidRPr="00050C0A">
        <w:t xml:space="preserve">. Abingdon, Oxon: Routledge, 2016, pp. 112-123. </w:t>
      </w:r>
    </w:p>
    <w:p w14:paraId="264B047E" w14:textId="0B1A8FAE" w:rsidR="009D0B4D" w:rsidRPr="00050C0A" w:rsidRDefault="009D0B4D" w:rsidP="008035AD">
      <w:pPr>
        <w:pStyle w:val="ListParagraph"/>
        <w:widowControl w:val="0"/>
        <w:numPr>
          <w:ilvl w:val="0"/>
          <w:numId w:val="21"/>
        </w:numPr>
        <w:autoSpaceDE w:val="0"/>
        <w:autoSpaceDN w:val="0"/>
        <w:adjustRightInd w:val="0"/>
        <w:spacing w:line="480" w:lineRule="auto"/>
        <w:rPr>
          <w:rFonts w:cs="Times New Roman"/>
          <w:szCs w:val="24"/>
        </w:rPr>
      </w:pPr>
      <w:r w:rsidRPr="00050C0A">
        <w:t xml:space="preserve">Roca A and Ford PR. Decision-making practice during coaching sessions in elite youth football across European countries. </w:t>
      </w:r>
      <w:r w:rsidRPr="00050C0A">
        <w:rPr>
          <w:i/>
          <w:iCs/>
        </w:rPr>
        <w:t>Sci Med Football</w:t>
      </w:r>
      <w:r w:rsidRPr="00050C0A">
        <w:t xml:space="preserve"> 2020</w:t>
      </w:r>
      <w:r w:rsidR="00DE62D3" w:rsidRPr="00050C0A">
        <w:t>; 4: 263-268</w:t>
      </w:r>
      <w:r w:rsidR="005426E0" w:rsidRPr="00050C0A">
        <w:t>.</w:t>
      </w:r>
    </w:p>
    <w:p w14:paraId="1506AF80" w14:textId="0C8EBF03" w:rsidR="005426E0" w:rsidRPr="00050C0A" w:rsidRDefault="005426E0" w:rsidP="008035AD">
      <w:pPr>
        <w:pStyle w:val="ListParagraph"/>
        <w:widowControl w:val="0"/>
        <w:numPr>
          <w:ilvl w:val="0"/>
          <w:numId w:val="21"/>
        </w:numPr>
        <w:autoSpaceDE w:val="0"/>
        <w:autoSpaceDN w:val="0"/>
        <w:adjustRightInd w:val="0"/>
        <w:spacing w:line="480" w:lineRule="auto"/>
        <w:rPr>
          <w:rFonts w:cs="Times New Roman"/>
          <w:szCs w:val="24"/>
        </w:rPr>
      </w:pPr>
      <w:r w:rsidRPr="00050C0A">
        <w:t xml:space="preserve">Butler J. TFfU – would you know it if you saw it? Benchmarks from the tacit knowledge of the founders. </w:t>
      </w:r>
      <w:r w:rsidRPr="00050C0A">
        <w:rPr>
          <w:i/>
          <w:iCs/>
        </w:rPr>
        <w:t>Eur Phy Educ Rev</w:t>
      </w:r>
      <w:r w:rsidRPr="00050C0A">
        <w:t xml:space="preserve"> 2014; 20: 465-488. </w:t>
      </w:r>
    </w:p>
    <w:p w14:paraId="5B42879E" w14:textId="493677DB" w:rsidR="005426E0" w:rsidRPr="00050C0A" w:rsidRDefault="005426E0" w:rsidP="008035AD">
      <w:pPr>
        <w:pStyle w:val="ListParagraph"/>
        <w:widowControl w:val="0"/>
        <w:numPr>
          <w:ilvl w:val="0"/>
          <w:numId w:val="21"/>
        </w:numPr>
        <w:autoSpaceDE w:val="0"/>
        <w:autoSpaceDN w:val="0"/>
        <w:adjustRightInd w:val="0"/>
        <w:spacing w:line="480" w:lineRule="auto"/>
        <w:rPr>
          <w:rFonts w:cs="Times New Roman"/>
          <w:szCs w:val="24"/>
        </w:rPr>
      </w:pPr>
      <w:r w:rsidRPr="00050C0A">
        <w:t xml:space="preserve">Rothwell M, Stone J and Davids K. Exploring forms of life in player development pathways: The case of british rugby league. </w:t>
      </w:r>
      <w:r w:rsidRPr="00050C0A">
        <w:rPr>
          <w:i/>
          <w:iCs/>
        </w:rPr>
        <w:t>J Mot Learn Dev</w:t>
      </w:r>
      <w:r w:rsidRPr="00050C0A">
        <w:t xml:space="preserve"> 2019; 7: 242-260.</w:t>
      </w:r>
    </w:p>
    <w:p w14:paraId="49A0EDE4" w14:textId="28BB3DAC" w:rsidR="005426E0" w:rsidRPr="00050C0A" w:rsidRDefault="005426E0" w:rsidP="008035AD">
      <w:pPr>
        <w:pStyle w:val="ListParagraph"/>
        <w:widowControl w:val="0"/>
        <w:numPr>
          <w:ilvl w:val="0"/>
          <w:numId w:val="21"/>
        </w:numPr>
        <w:autoSpaceDE w:val="0"/>
        <w:autoSpaceDN w:val="0"/>
        <w:adjustRightInd w:val="0"/>
        <w:spacing w:line="480" w:lineRule="auto"/>
        <w:rPr>
          <w:rFonts w:cs="Times New Roman"/>
          <w:szCs w:val="24"/>
        </w:rPr>
      </w:pPr>
      <w:r w:rsidRPr="00050C0A">
        <w:t xml:space="preserve">Stone J, Rothwell M, Shuttleworth R, et al. Exploring sports coaches’ experiences of using a contemporary pedagogical approach to coaching: An international perspective. </w:t>
      </w:r>
      <w:r w:rsidRPr="00050C0A">
        <w:rPr>
          <w:i/>
          <w:iCs/>
        </w:rPr>
        <w:t>Qual Res Sport Exerc Health</w:t>
      </w:r>
      <w:r w:rsidR="000379A9" w:rsidRPr="00050C0A">
        <w:t xml:space="preserve"> 2020: 1-19. </w:t>
      </w:r>
    </w:p>
    <w:p w14:paraId="3239C581" w14:textId="140A365A" w:rsidR="000379A9" w:rsidRPr="00050C0A" w:rsidRDefault="000379A9" w:rsidP="008035AD">
      <w:pPr>
        <w:pStyle w:val="ListParagraph"/>
        <w:widowControl w:val="0"/>
        <w:numPr>
          <w:ilvl w:val="0"/>
          <w:numId w:val="21"/>
        </w:numPr>
        <w:autoSpaceDE w:val="0"/>
        <w:autoSpaceDN w:val="0"/>
        <w:adjustRightInd w:val="0"/>
        <w:spacing w:line="480" w:lineRule="auto"/>
        <w:rPr>
          <w:rFonts w:cs="Times New Roman"/>
          <w:szCs w:val="24"/>
        </w:rPr>
      </w:pPr>
      <w:r w:rsidRPr="00050C0A">
        <w:t xml:space="preserve">Ross E, Gupta L and Sanders L. When research leads to learning, but not action in high performance sport. </w:t>
      </w:r>
      <w:r w:rsidRPr="00050C0A">
        <w:rPr>
          <w:i/>
          <w:iCs/>
        </w:rPr>
        <w:t>Prog Brain Res</w:t>
      </w:r>
      <w:r w:rsidRPr="00050C0A">
        <w:t xml:space="preserve"> 2018; 240: 201-217. </w:t>
      </w:r>
    </w:p>
    <w:p w14:paraId="66D3E000" w14:textId="1FE3BE97" w:rsidR="00BE4BFD" w:rsidRPr="00050C0A" w:rsidRDefault="00BE4BFD" w:rsidP="008035AD">
      <w:pPr>
        <w:pStyle w:val="ListParagraph"/>
        <w:widowControl w:val="0"/>
        <w:numPr>
          <w:ilvl w:val="0"/>
          <w:numId w:val="21"/>
        </w:numPr>
        <w:autoSpaceDE w:val="0"/>
        <w:autoSpaceDN w:val="0"/>
        <w:adjustRightInd w:val="0"/>
        <w:spacing w:line="480" w:lineRule="auto"/>
        <w:rPr>
          <w:rFonts w:cs="Times New Roman"/>
          <w:szCs w:val="24"/>
        </w:rPr>
      </w:pPr>
      <w:r w:rsidRPr="00050C0A">
        <w:t xml:space="preserve">Sparkes AC and Smith B. </w:t>
      </w:r>
      <w:r w:rsidRPr="00050C0A">
        <w:rPr>
          <w:i/>
          <w:iCs/>
        </w:rPr>
        <w:t>Qualitative research methods in sport, exercise and health: From process to product</w:t>
      </w:r>
      <w:r w:rsidRPr="00050C0A">
        <w:t xml:space="preserve">. Abingdon: Routledge, 2014. </w:t>
      </w:r>
    </w:p>
    <w:p w14:paraId="7F137441" w14:textId="2025F6B5" w:rsidR="00C816E8" w:rsidRPr="00050C0A" w:rsidRDefault="00C816E8" w:rsidP="008035AD">
      <w:pPr>
        <w:pStyle w:val="ListParagraph"/>
        <w:widowControl w:val="0"/>
        <w:numPr>
          <w:ilvl w:val="0"/>
          <w:numId w:val="21"/>
        </w:numPr>
        <w:autoSpaceDE w:val="0"/>
        <w:autoSpaceDN w:val="0"/>
        <w:adjustRightInd w:val="0"/>
        <w:spacing w:line="480" w:lineRule="auto"/>
        <w:rPr>
          <w:rFonts w:cs="Times New Roman"/>
          <w:szCs w:val="24"/>
        </w:rPr>
      </w:pPr>
      <w:r w:rsidRPr="00050C0A">
        <w:t xml:space="preserve">Braun V and Clarke V. Using thematic analysis in psychology. </w:t>
      </w:r>
      <w:r w:rsidRPr="00050C0A">
        <w:rPr>
          <w:i/>
          <w:iCs/>
        </w:rPr>
        <w:t>Qual Res Psychol</w:t>
      </w:r>
      <w:r w:rsidRPr="00050C0A">
        <w:t xml:space="preserve"> 2006; 3: 77-101. </w:t>
      </w:r>
    </w:p>
    <w:p w14:paraId="6B7637BF" w14:textId="55935E7B" w:rsidR="00C816E8" w:rsidRPr="00050C0A" w:rsidRDefault="00C816E8" w:rsidP="008035AD">
      <w:pPr>
        <w:pStyle w:val="ListParagraph"/>
        <w:widowControl w:val="0"/>
        <w:numPr>
          <w:ilvl w:val="0"/>
          <w:numId w:val="21"/>
        </w:numPr>
        <w:autoSpaceDE w:val="0"/>
        <w:autoSpaceDN w:val="0"/>
        <w:adjustRightInd w:val="0"/>
        <w:spacing w:line="480" w:lineRule="auto"/>
        <w:rPr>
          <w:rFonts w:cs="Times New Roman"/>
          <w:szCs w:val="24"/>
        </w:rPr>
      </w:pPr>
      <w:r w:rsidRPr="00050C0A">
        <w:t xml:space="preserve">Braun V, Clarke V, and Weate P. Using thematic analysis in sport and exercise research. In: Smith B and Sparkes A (eds) </w:t>
      </w:r>
      <w:r w:rsidRPr="00050C0A">
        <w:rPr>
          <w:i/>
          <w:iCs/>
        </w:rPr>
        <w:t>Routledge handbook of qualitative research methods in sport and exercise</w:t>
      </w:r>
      <w:r w:rsidRPr="00050C0A">
        <w:t>. London: Routledge, 2016, pp.191- 2015.</w:t>
      </w:r>
    </w:p>
    <w:p w14:paraId="119C792A" w14:textId="0F357422" w:rsidR="00C816E8" w:rsidRPr="00050C0A" w:rsidRDefault="00C816E8"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lang w:val="da-DK"/>
        </w:rPr>
        <w:t xml:space="preserve">Clarke V, Hayfield N, Moller N, et al. </w:t>
      </w:r>
      <w:r w:rsidRPr="00050C0A">
        <w:t xml:space="preserve">Once upon a time…Qualitative story completion methods. In: Braun V, Clarke V and Grey D (eds) </w:t>
      </w:r>
      <w:r w:rsidRPr="00050C0A">
        <w:rPr>
          <w:i/>
          <w:iCs/>
        </w:rPr>
        <w:t>Collecting Qualitative Data: A Practical Guide to Textual, Media, and Virtual Techniques</w:t>
      </w:r>
      <w:r w:rsidRPr="00050C0A">
        <w:t>. United Kingdom, UK: Cambridge University Press, 2017, pp.</w:t>
      </w:r>
      <w:r w:rsidR="00321D16" w:rsidRPr="00050C0A">
        <w:t xml:space="preserve">45-68. </w:t>
      </w:r>
    </w:p>
    <w:p w14:paraId="2B9D2D9C" w14:textId="756CBF92" w:rsidR="00114CEB" w:rsidRPr="00050C0A" w:rsidRDefault="00114CEB" w:rsidP="008035AD">
      <w:pPr>
        <w:pStyle w:val="ListParagraph"/>
        <w:widowControl w:val="0"/>
        <w:numPr>
          <w:ilvl w:val="0"/>
          <w:numId w:val="21"/>
        </w:numPr>
        <w:autoSpaceDE w:val="0"/>
        <w:autoSpaceDN w:val="0"/>
        <w:adjustRightInd w:val="0"/>
        <w:spacing w:line="480" w:lineRule="auto"/>
        <w:rPr>
          <w:rFonts w:cs="Times New Roman"/>
          <w:szCs w:val="24"/>
        </w:rPr>
      </w:pPr>
      <w:r w:rsidRPr="00050C0A">
        <w:t xml:space="preserve">Smith B and McGannon KR. Developing rigor in qualitative research: Problems and oppertunities within sport and exercise psychology. </w:t>
      </w:r>
      <w:r w:rsidRPr="00050C0A">
        <w:rPr>
          <w:i/>
        </w:rPr>
        <w:t>Int Rev Sport Exerc Psychol</w:t>
      </w:r>
      <w:r w:rsidRPr="00050C0A">
        <w:t xml:space="preserve"> 2018; 11: 101-121. </w:t>
      </w:r>
    </w:p>
    <w:p w14:paraId="72BADB47" w14:textId="27E3B456" w:rsidR="00114CEB" w:rsidRPr="00050C0A" w:rsidRDefault="00114CEB" w:rsidP="008035AD">
      <w:pPr>
        <w:pStyle w:val="ListParagraph"/>
        <w:widowControl w:val="0"/>
        <w:numPr>
          <w:ilvl w:val="0"/>
          <w:numId w:val="21"/>
        </w:numPr>
        <w:autoSpaceDE w:val="0"/>
        <w:autoSpaceDN w:val="0"/>
        <w:adjustRightInd w:val="0"/>
        <w:spacing w:line="480" w:lineRule="auto"/>
        <w:rPr>
          <w:rFonts w:cs="Times New Roman"/>
          <w:szCs w:val="24"/>
        </w:rPr>
      </w:pPr>
      <w:r w:rsidRPr="00050C0A">
        <w:t xml:space="preserve">Sparkes AC and Smith B. Judging the quality of qualitative inquiry: Criteriology and relativism in action. </w:t>
      </w:r>
      <w:r w:rsidRPr="00050C0A">
        <w:rPr>
          <w:i/>
        </w:rPr>
        <w:t>Psychol Sport Exerc</w:t>
      </w:r>
      <w:r w:rsidRPr="00050C0A">
        <w:t xml:space="preserve"> 2009; 10: 491-497. </w:t>
      </w:r>
    </w:p>
    <w:p w14:paraId="67FE448A" w14:textId="19F64865" w:rsidR="00114CEB" w:rsidRPr="00050C0A" w:rsidRDefault="00114CEB" w:rsidP="008035AD">
      <w:pPr>
        <w:pStyle w:val="ListParagraph"/>
        <w:widowControl w:val="0"/>
        <w:numPr>
          <w:ilvl w:val="0"/>
          <w:numId w:val="21"/>
        </w:numPr>
        <w:autoSpaceDE w:val="0"/>
        <w:autoSpaceDN w:val="0"/>
        <w:adjustRightInd w:val="0"/>
        <w:spacing w:line="480" w:lineRule="auto"/>
        <w:rPr>
          <w:rFonts w:cs="Times New Roman"/>
          <w:szCs w:val="24"/>
        </w:rPr>
      </w:pPr>
      <w:r w:rsidRPr="00050C0A">
        <w:t xml:space="preserve">Patton MQ. </w:t>
      </w:r>
      <w:r w:rsidRPr="00050C0A">
        <w:rPr>
          <w:i/>
        </w:rPr>
        <w:t>Qualitative research and evaluation methods</w:t>
      </w:r>
      <w:r w:rsidRPr="00050C0A">
        <w:t xml:space="preserve">. 3rd ed. </w:t>
      </w:r>
      <w:r w:rsidR="00D6480B" w:rsidRPr="00050C0A">
        <w:t xml:space="preserve">Thousand Oaks, Calif: Sage Publications, 2002. </w:t>
      </w:r>
    </w:p>
    <w:p w14:paraId="33FF4556" w14:textId="2AC01B02" w:rsidR="00D6480B" w:rsidRPr="00050C0A" w:rsidRDefault="00D6480B" w:rsidP="008035AD">
      <w:pPr>
        <w:pStyle w:val="ListParagraph"/>
        <w:widowControl w:val="0"/>
        <w:numPr>
          <w:ilvl w:val="0"/>
          <w:numId w:val="21"/>
        </w:numPr>
        <w:autoSpaceDE w:val="0"/>
        <w:autoSpaceDN w:val="0"/>
        <w:adjustRightInd w:val="0"/>
        <w:spacing w:line="480" w:lineRule="auto"/>
        <w:rPr>
          <w:rFonts w:cs="Times New Roman"/>
          <w:szCs w:val="24"/>
        </w:rPr>
      </w:pPr>
      <w:r w:rsidRPr="00050C0A">
        <w:t xml:space="preserve">Weed M. Research quality considerations for grounded theory research in sport &amp; exercise psychology. </w:t>
      </w:r>
      <w:r w:rsidRPr="00050C0A">
        <w:rPr>
          <w:i/>
        </w:rPr>
        <w:t>Psychol Sport Exerc</w:t>
      </w:r>
      <w:r w:rsidRPr="00050C0A">
        <w:t xml:space="preserve"> 2009; 10: 502-510. </w:t>
      </w:r>
    </w:p>
    <w:p w14:paraId="441D151F" w14:textId="48723BA4" w:rsidR="00D6480B" w:rsidRPr="00050C0A" w:rsidRDefault="00D6480B" w:rsidP="008035AD">
      <w:pPr>
        <w:pStyle w:val="ListParagraph"/>
        <w:widowControl w:val="0"/>
        <w:numPr>
          <w:ilvl w:val="0"/>
          <w:numId w:val="21"/>
        </w:numPr>
        <w:autoSpaceDE w:val="0"/>
        <w:autoSpaceDN w:val="0"/>
        <w:adjustRightInd w:val="0"/>
        <w:spacing w:line="480" w:lineRule="auto"/>
        <w:rPr>
          <w:rFonts w:cs="Times New Roman"/>
          <w:szCs w:val="24"/>
        </w:rPr>
      </w:pPr>
      <w:r w:rsidRPr="00050C0A">
        <w:t xml:space="preserve">Tracy SJ. Qualitative quality: Eight “Big-tent” criteria for excellent qualitative research. </w:t>
      </w:r>
      <w:r w:rsidRPr="00050C0A">
        <w:rPr>
          <w:i/>
        </w:rPr>
        <w:t>Qual Inq</w:t>
      </w:r>
      <w:r w:rsidRPr="00050C0A">
        <w:t xml:space="preserve"> 2010; 16: 837-851. </w:t>
      </w:r>
    </w:p>
    <w:p w14:paraId="03AFB816" w14:textId="68D7F16F" w:rsidR="00D6480B" w:rsidRPr="00050C0A" w:rsidRDefault="00D6480B" w:rsidP="008035AD">
      <w:pPr>
        <w:pStyle w:val="ListParagraph"/>
        <w:widowControl w:val="0"/>
        <w:numPr>
          <w:ilvl w:val="0"/>
          <w:numId w:val="21"/>
        </w:numPr>
        <w:autoSpaceDE w:val="0"/>
        <w:autoSpaceDN w:val="0"/>
        <w:adjustRightInd w:val="0"/>
        <w:spacing w:line="480" w:lineRule="auto"/>
        <w:rPr>
          <w:rFonts w:cs="Times New Roman"/>
          <w:szCs w:val="24"/>
        </w:rPr>
      </w:pPr>
      <w:r w:rsidRPr="00050C0A">
        <w:t xml:space="preserve">Schinke RJ, Smith B and McGannon KR. Pathways for community research in sport and physical activity: criteria for consideration. </w:t>
      </w:r>
      <w:r w:rsidR="009F09E0" w:rsidRPr="00050C0A">
        <w:rPr>
          <w:i/>
        </w:rPr>
        <w:t>Qual Res Sport Exerc Health</w:t>
      </w:r>
      <w:r w:rsidR="009F09E0" w:rsidRPr="00050C0A">
        <w:t xml:space="preserve"> 2013; 5: 460-468. </w:t>
      </w:r>
    </w:p>
    <w:p w14:paraId="58910476" w14:textId="3858E30A" w:rsidR="008F62B6" w:rsidRPr="00050C0A" w:rsidRDefault="008F62B6"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Williams S, Alder D and Bush A. A little less conversation; a little more (relational) action please. A fictional dialougue of integrating theory into coaching practice. </w:t>
      </w:r>
      <w:r w:rsidRPr="00050C0A">
        <w:rPr>
          <w:rFonts w:cs="Times New Roman"/>
          <w:i/>
          <w:szCs w:val="24"/>
        </w:rPr>
        <w:t>Sports Coach Rev</w:t>
      </w:r>
      <w:r w:rsidRPr="00050C0A">
        <w:rPr>
          <w:rFonts w:cs="Times New Roman"/>
          <w:szCs w:val="24"/>
        </w:rPr>
        <w:t xml:space="preserve"> 2015; 4: 115-138. </w:t>
      </w:r>
    </w:p>
    <w:p w14:paraId="450ABB44" w14:textId="39F38E59" w:rsidR="008F62B6" w:rsidRPr="00050C0A" w:rsidRDefault="00CC18D9"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Miller A, Harvey, S, Morley, D, et al. Exposing athletes to playing form activity: Outcomes of a randomised control trial among community netball teams using a game-centred approach. </w:t>
      </w:r>
      <w:r w:rsidRPr="00050C0A">
        <w:rPr>
          <w:rFonts w:cs="Times New Roman"/>
          <w:i/>
          <w:szCs w:val="24"/>
        </w:rPr>
        <w:t>J Sports Sci</w:t>
      </w:r>
      <w:r w:rsidRPr="00050C0A">
        <w:rPr>
          <w:rFonts w:cs="Times New Roman"/>
          <w:szCs w:val="24"/>
        </w:rPr>
        <w:t xml:space="preserve"> 2017; 35: 1846–1857. </w:t>
      </w:r>
    </w:p>
    <w:p w14:paraId="6CF2CEC7" w14:textId="4D834EEA" w:rsidR="00CC18D9" w:rsidRPr="00050C0A" w:rsidRDefault="00CC18D9"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Roca, A, Ford, PR, McRobert, AP, et al. Identifying the processes underpinning anticipation and decision-making in a dynamic time-constrained task. </w:t>
      </w:r>
      <w:r w:rsidRPr="00050C0A">
        <w:rPr>
          <w:rFonts w:cs="Times New Roman"/>
          <w:i/>
          <w:iCs/>
          <w:szCs w:val="24"/>
        </w:rPr>
        <w:t xml:space="preserve">Cogn process </w:t>
      </w:r>
      <w:r w:rsidRPr="00050C0A">
        <w:rPr>
          <w:rFonts w:cs="Times New Roman"/>
          <w:iCs/>
          <w:szCs w:val="24"/>
        </w:rPr>
        <w:t>2011</w:t>
      </w:r>
      <w:r w:rsidRPr="00050C0A">
        <w:rPr>
          <w:rFonts w:cs="Times New Roman"/>
          <w:szCs w:val="24"/>
        </w:rPr>
        <w:t xml:space="preserve">; </w:t>
      </w:r>
      <w:r w:rsidRPr="00050C0A">
        <w:rPr>
          <w:rFonts w:cs="Times New Roman"/>
          <w:iCs/>
          <w:szCs w:val="24"/>
        </w:rPr>
        <w:t>12</w:t>
      </w:r>
      <w:r w:rsidRPr="00050C0A">
        <w:rPr>
          <w:rFonts w:cs="Times New Roman"/>
          <w:szCs w:val="24"/>
        </w:rPr>
        <w:t>: 301-310.</w:t>
      </w:r>
    </w:p>
    <w:p w14:paraId="4094252D" w14:textId="1BBA16BA" w:rsidR="003D4DCE" w:rsidRPr="00050C0A" w:rsidRDefault="003D4DCE"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Smith W. Fundamental movement skills and fundamental games skills are complementary pairs and should be taught in complementary ways at all stages of skill development. </w:t>
      </w:r>
      <w:r w:rsidRPr="00050C0A">
        <w:rPr>
          <w:rFonts w:cs="Times New Roman"/>
          <w:i/>
          <w:szCs w:val="24"/>
        </w:rPr>
        <w:t>Sport Educ Soc</w:t>
      </w:r>
      <w:r w:rsidRPr="00050C0A">
        <w:rPr>
          <w:rFonts w:cs="Times New Roman"/>
          <w:szCs w:val="24"/>
        </w:rPr>
        <w:t xml:space="preserve"> 2016; 21: 431-442. </w:t>
      </w:r>
    </w:p>
    <w:p w14:paraId="20892C36" w14:textId="77777777" w:rsidR="00484C2C" w:rsidRPr="00A15C45" w:rsidRDefault="003D4DCE"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Roca A, Ford PR, McRobert AP, et al. Perceptual-cognitive skills and their interaction as a </w:t>
      </w:r>
      <w:r w:rsidRPr="00A15C45">
        <w:rPr>
          <w:rFonts w:cs="Times New Roman"/>
          <w:szCs w:val="24"/>
        </w:rPr>
        <w:t xml:space="preserve">function of task constraints in soccer. </w:t>
      </w:r>
      <w:r w:rsidRPr="00A15C45">
        <w:rPr>
          <w:rFonts w:cs="Times New Roman"/>
          <w:i/>
          <w:szCs w:val="24"/>
        </w:rPr>
        <w:t>J Sport Exerc Psychol</w:t>
      </w:r>
      <w:r w:rsidRPr="00A15C45">
        <w:rPr>
          <w:rFonts w:cs="Times New Roman"/>
          <w:szCs w:val="24"/>
        </w:rPr>
        <w:t xml:space="preserve"> 2013; 35: 1643-1652.</w:t>
      </w:r>
    </w:p>
    <w:p w14:paraId="0D802DD1" w14:textId="79F50328" w:rsidR="00A15C45" w:rsidRPr="00A15C45" w:rsidRDefault="00A15C45" w:rsidP="008035AD">
      <w:pPr>
        <w:pStyle w:val="ListParagraph"/>
        <w:widowControl w:val="0"/>
        <w:numPr>
          <w:ilvl w:val="0"/>
          <w:numId w:val="21"/>
        </w:numPr>
        <w:autoSpaceDE w:val="0"/>
        <w:autoSpaceDN w:val="0"/>
        <w:adjustRightInd w:val="0"/>
        <w:spacing w:line="480" w:lineRule="auto"/>
        <w:rPr>
          <w:rFonts w:cs="Times New Roman"/>
          <w:szCs w:val="24"/>
        </w:rPr>
      </w:pPr>
      <w:r w:rsidRPr="00A15C45">
        <w:rPr>
          <w:rFonts w:cs="Times New Roman"/>
          <w:color w:val="222222"/>
          <w:szCs w:val="24"/>
          <w:shd w:val="clear" w:color="auto" w:fill="FFFFFF"/>
        </w:rPr>
        <w:t>Hodges NJ, &amp; Lohse KR. An extended challenge-based framework for practice design in sports coaching. </w:t>
      </w:r>
      <w:r w:rsidRPr="00A15C45">
        <w:rPr>
          <w:rFonts w:cs="Times New Roman"/>
          <w:i/>
          <w:iCs/>
          <w:color w:val="222222"/>
          <w:szCs w:val="24"/>
          <w:shd w:val="clear" w:color="auto" w:fill="FFFFFF"/>
        </w:rPr>
        <w:t>J Sport Sci</w:t>
      </w:r>
      <w:r w:rsidR="0091325E">
        <w:rPr>
          <w:rFonts w:cs="Times New Roman"/>
          <w:i/>
          <w:iCs/>
          <w:color w:val="222222"/>
          <w:szCs w:val="24"/>
          <w:shd w:val="clear" w:color="auto" w:fill="FFFFFF"/>
        </w:rPr>
        <w:t xml:space="preserve"> </w:t>
      </w:r>
      <w:r w:rsidR="0091325E" w:rsidRPr="0091325E">
        <w:rPr>
          <w:rFonts w:cs="Times New Roman"/>
          <w:color w:val="222222"/>
          <w:szCs w:val="24"/>
          <w:shd w:val="clear" w:color="auto" w:fill="FFFFFF"/>
        </w:rPr>
        <w:t>2022</w:t>
      </w:r>
      <w:r w:rsidR="00B2450D" w:rsidRPr="00B2450D">
        <w:rPr>
          <w:rFonts w:cs="Times New Roman"/>
          <w:color w:val="222222"/>
          <w:szCs w:val="24"/>
          <w:shd w:val="clear" w:color="auto" w:fill="FFFFFF"/>
        </w:rPr>
        <w:t>;</w:t>
      </w:r>
      <w:r w:rsidRPr="00B2450D">
        <w:rPr>
          <w:rFonts w:cs="Times New Roman"/>
          <w:color w:val="222222"/>
          <w:szCs w:val="24"/>
          <w:shd w:val="clear" w:color="auto" w:fill="FFFFFF"/>
        </w:rPr>
        <w:t> 40</w:t>
      </w:r>
      <w:r w:rsidR="00B2450D">
        <w:rPr>
          <w:rFonts w:cs="Times New Roman"/>
          <w:color w:val="222222"/>
          <w:szCs w:val="24"/>
          <w:shd w:val="clear" w:color="auto" w:fill="FFFFFF"/>
        </w:rPr>
        <w:t>:</w:t>
      </w:r>
      <w:r w:rsidRPr="00B2450D">
        <w:rPr>
          <w:rFonts w:cs="Times New Roman"/>
          <w:color w:val="222222"/>
          <w:szCs w:val="24"/>
          <w:shd w:val="clear" w:color="auto" w:fill="FFFFFF"/>
        </w:rPr>
        <w:t xml:space="preserve"> 754-768</w:t>
      </w:r>
      <w:r w:rsidRPr="00A15C45">
        <w:rPr>
          <w:rFonts w:cs="Times New Roman"/>
          <w:color w:val="222222"/>
          <w:szCs w:val="24"/>
          <w:shd w:val="clear" w:color="auto" w:fill="FFFFFF"/>
        </w:rPr>
        <w:t>.</w:t>
      </w:r>
    </w:p>
    <w:p w14:paraId="3CFCDA2B" w14:textId="09EE13F4" w:rsidR="00E33D08" w:rsidRPr="00050C0A" w:rsidRDefault="00E33D08" w:rsidP="008035AD">
      <w:pPr>
        <w:pStyle w:val="ListParagraph"/>
        <w:widowControl w:val="0"/>
        <w:numPr>
          <w:ilvl w:val="0"/>
          <w:numId w:val="21"/>
        </w:numPr>
        <w:autoSpaceDE w:val="0"/>
        <w:autoSpaceDN w:val="0"/>
        <w:adjustRightInd w:val="0"/>
        <w:spacing w:line="480" w:lineRule="auto"/>
        <w:rPr>
          <w:rFonts w:cs="Times New Roman"/>
          <w:szCs w:val="24"/>
        </w:rPr>
      </w:pPr>
      <w:r w:rsidRPr="00A15C45">
        <w:rPr>
          <w:rFonts w:cs="Times New Roman"/>
          <w:szCs w:val="24"/>
        </w:rPr>
        <w:t>Woods CT, McKeown I, O’</w:t>
      </w:r>
      <w:r w:rsidRPr="00050C0A">
        <w:rPr>
          <w:rFonts w:cs="Times New Roman"/>
          <w:szCs w:val="24"/>
        </w:rPr>
        <w:t xml:space="preserve"> Sullivan, et al. Theory to practice: Performance preperation models in contemporary hgih-level sport guided by an ecological dynamics framework. </w:t>
      </w:r>
      <w:r w:rsidRPr="00050C0A">
        <w:rPr>
          <w:rFonts w:cs="Times New Roman"/>
          <w:i/>
          <w:szCs w:val="24"/>
        </w:rPr>
        <w:t xml:space="preserve">Sports Med </w:t>
      </w:r>
      <w:r w:rsidRPr="00050C0A">
        <w:rPr>
          <w:rFonts w:cs="Times New Roman"/>
          <w:szCs w:val="24"/>
        </w:rPr>
        <w:t xml:space="preserve">2020; 6: 1-11. </w:t>
      </w:r>
    </w:p>
    <w:p w14:paraId="476D8E73" w14:textId="52B1F14C" w:rsidR="00E33D08" w:rsidRPr="00050C0A" w:rsidRDefault="00883C32"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Rothwell M, Davids K, and Stone J. Harnessing Socio-Cultural Constraints on Athlete Development to Create a Form of Life. </w:t>
      </w:r>
      <w:r w:rsidRPr="00050C0A">
        <w:rPr>
          <w:rFonts w:cs="Times New Roman"/>
          <w:i/>
          <w:szCs w:val="24"/>
        </w:rPr>
        <w:t>J Exp</w:t>
      </w:r>
      <w:r w:rsidR="009832F2" w:rsidRPr="00050C0A">
        <w:rPr>
          <w:rFonts w:cs="Times New Roman"/>
          <w:i/>
          <w:szCs w:val="24"/>
        </w:rPr>
        <w:t>ert</w:t>
      </w:r>
      <w:r w:rsidR="009832F2" w:rsidRPr="00050C0A">
        <w:rPr>
          <w:rFonts w:cs="Times New Roman"/>
          <w:szCs w:val="24"/>
        </w:rPr>
        <w:t xml:space="preserve"> 2018; 1: 94-102. </w:t>
      </w:r>
    </w:p>
    <w:p w14:paraId="5C7A162F" w14:textId="40ACE7A0" w:rsidR="009832F2" w:rsidRPr="00050C0A" w:rsidRDefault="009832F2"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Cushion C, and Partington M. A critical analysis of the conceptualisation of ‘coaching philosophy’. </w:t>
      </w:r>
      <w:bookmarkStart w:id="28" w:name="_Hlk60916200"/>
      <w:r w:rsidRPr="00050C0A">
        <w:rPr>
          <w:rFonts w:cs="Times New Roman"/>
          <w:i/>
          <w:szCs w:val="24"/>
        </w:rPr>
        <w:t>Sport Educ Soc</w:t>
      </w:r>
      <w:r w:rsidRPr="00050C0A">
        <w:rPr>
          <w:rFonts w:cs="Times New Roman"/>
          <w:szCs w:val="24"/>
        </w:rPr>
        <w:t xml:space="preserve"> </w:t>
      </w:r>
      <w:bookmarkEnd w:id="28"/>
      <w:r w:rsidRPr="00050C0A">
        <w:rPr>
          <w:rFonts w:cs="Times New Roman"/>
          <w:szCs w:val="24"/>
        </w:rPr>
        <w:t>2016; 21: 851-867.</w:t>
      </w:r>
    </w:p>
    <w:p w14:paraId="0335C400" w14:textId="44173C69" w:rsidR="009832F2" w:rsidRPr="00050C0A" w:rsidRDefault="009832F2"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Blackett AD, Evans AB, and Piggott D. “They have to toe the line”: A foucauldian analysis of the socialisation of former elite athletes into academy coaching roles. </w:t>
      </w:r>
      <w:r w:rsidRPr="00050C0A">
        <w:rPr>
          <w:rFonts w:cs="Times New Roman"/>
          <w:i/>
          <w:szCs w:val="24"/>
        </w:rPr>
        <w:t>Sport Coach Rev</w:t>
      </w:r>
      <w:r w:rsidRPr="00050C0A">
        <w:rPr>
          <w:rFonts w:cs="Times New Roman"/>
          <w:szCs w:val="24"/>
        </w:rPr>
        <w:t xml:space="preserve"> 2019; 8: 83-102. </w:t>
      </w:r>
    </w:p>
    <w:p w14:paraId="4A7565CE" w14:textId="69CB9F02" w:rsidR="009832F2" w:rsidRPr="00050C0A" w:rsidRDefault="009832F2"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Wadsworth N, Charnock L, Russell J, et al. Use of video-analysis feedback within a six-month coach education program at at professional football club. </w:t>
      </w:r>
      <w:r w:rsidRPr="00050C0A">
        <w:rPr>
          <w:rFonts w:cs="Times New Roman"/>
          <w:i/>
          <w:szCs w:val="24"/>
        </w:rPr>
        <w:t>J Sport Psychol Action</w:t>
      </w:r>
      <w:r w:rsidRPr="00050C0A">
        <w:rPr>
          <w:rFonts w:cs="Times New Roman"/>
          <w:szCs w:val="24"/>
        </w:rPr>
        <w:t xml:space="preserve"> 2020; 11: 1-19. </w:t>
      </w:r>
    </w:p>
    <w:p w14:paraId="439FEDC3" w14:textId="3EB46568" w:rsidR="00A358D3" w:rsidRPr="00050C0A" w:rsidRDefault="00A358D3"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Seifert L and Davids, K. Ecological dynamics: a theoretical framework for understanding sport performance, physical education and physical activity. In: Bourgine P, Collet P, and Parrend P (eds) </w:t>
      </w:r>
      <w:r w:rsidRPr="00050C0A">
        <w:rPr>
          <w:rFonts w:cs="Times New Roman"/>
          <w:i/>
          <w:iCs/>
          <w:szCs w:val="24"/>
        </w:rPr>
        <w:t>First Complex Systems Digital Campus World E-Conference 2015</w:t>
      </w:r>
      <w:r w:rsidRPr="00050C0A">
        <w:rPr>
          <w:rFonts w:cs="Times New Roman"/>
          <w:szCs w:val="24"/>
        </w:rPr>
        <w:t xml:space="preserve">. Springer: Cham, 2017, pp. 29-40. </w:t>
      </w:r>
    </w:p>
    <w:p w14:paraId="29A30FD7" w14:textId="2158205E" w:rsidR="00922298" w:rsidRPr="00050C0A" w:rsidRDefault="00922298"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lang w:val="da-DK"/>
        </w:rPr>
        <w:t xml:space="preserve">Mallett CJ, Trudel P, Lyle J, et al. </w:t>
      </w:r>
      <w:r w:rsidRPr="00050C0A">
        <w:rPr>
          <w:rFonts w:cs="Times New Roman"/>
          <w:szCs w:val="24"/>
        </w:rPr>
        <w:t xml:space="preserve">Formal vs informal coach education. </w:t>
      </w:r>
      <w:bookmarkStart w:id="29" w:name="_Hlk60914710"/>
      <w:r w:rsidRPr="00050C0A">
        <w:rPr>
          <w:rFonts w:cs="Times New Roman"/>
          <w:i/>
          <w:iCs/>
          <w:szCs w:val="24"/>
        </w:rPr>
        <w:t>Int J Sports Sci Coach</w:t>
      </w:r>
      <w:r w:rsidRPr="00050C0A">
        <w:rPr>
          <w:rFonts w:cs="Times New Roman"/>
          <w:szCs w:val="24"/>
        </w:rPr>
        <w:t xml:space="preserve"> </w:t>
      </w:r>
      <w:bookmarkEnd w:id="29"/>
      <w:r w:rsidRPr="00050C0A">
        <w:rPr>
          <w:rFonts w:cs="Times New Roman"/>
          <w:szCs w:val="24"/>
        </w:rPr>
        <w:t xml:space="preserve">2009; 4: 325-364. </w:t>
      </w:r>
    </w:p>
    <w:p w14:paraId="4CDE8319" w14:textId="112BD8A5" w:rsidR="00922298" w:rsidRPr="00050C0A" w:rsidRDefault="00922298"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Nelson LJ, Cushion CJ and Potrac P. Formal, nonformal and informal coach learning: A hollistic conceptualisation. </w:t>
      </w:r>
      <w:r w:rsidRPr="00050C0A">
        <w:rPr>
          <w:rFonts w:cs="Times New Roman"/>
          <w:i/>
          <w:iCs/>
          <w:szCs w:val="24"/>
        </w:rPr>
        <w:t>Int J Sports Sci Coach</w:t>
      </w:r>
      <w:r w:rsidRPr="00050C0A">
        <w:rPr>
          <w:rFonts w:cs="Times New Roman"/>
          <w:szCs w:val="24"/>
        </w:rPr>
        <w:t xml:space="preserve"> 2006; 1: 247-259. </w:t>
      </w:r>
    </w:p>
    <w:p w14:paraId="5A22DAA0" w14:textId="3EA68B4F" w:rsidR="00922298" w:rsidRPr="00050C0A" w:rsidRDefault="00922298"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Guadagnoli, MA and Lee T D. Challenge point: A framework for conceptualizing the effects of various practice conditions in motor learning. </w:t>
      </w:r>
      <w:r w:rsidRPr="00050C0A">
        <w:rPr>
          <w:rFonts w:cs="Times New Roman"/>
          <w:i/>
          <w:iCs/>
          <w:szCs w:val="24"/>
        </w:rPr>
        <w:t>J Mot Behav</w:t>
      </w:r>
      <w:r w:rsidRPr="00050C0A">
        <w:rPr>
          <w:rFonts w:cs="Times New Roman"/>
          <w:szCs w:val="24"/>
        </w:rPr>
        <w:t xml:space="preserve"> 2004; 36: 212-224. </w:t>
      </w:r>
    </w:p>
    <w:p w14:paraId="163B1AC9" w14:textId="7BA9863D" w:rsidR="00A02916" w:rsidRPr="00050C0A" w:rsidRDefault="00A02916"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Jones RL, Edwards C and Viotto Filho IAT. Activity theory, complexity and sports coaching: An epsitimology for a discipline. </w:t>
      </w:r>
      <w:r w:rsidRPr="00050C0A">
        <w:rPr>
          <w:rFonts w:cs="Times New Roman"/>
          <w:i/>
          <w:szCs w:val="24"/>
        </w:rPr>
        <w:t xml:space="preserve">Sport Educ Soc </w:t>
      </w:r>
      <w:r w:rsidRPr="00050C0A">
        <w:rPr>
          <w:rFonts w:cs="Times New Roman"/>
          <w:iCs/>
          <w:szCs w:val="24"/>
        </w:rPr>
        <w:t xml:space="preserve">2014; 21: 200-216. </w:t>
      </w:r>
    </w:p>
    <w:p w14:paraId="318FD92F" w14:textId="3DFBA75B" w:rsidR="00A02916" w:rsidRPr="00050C0A" w:rsidRDefault="00A02916"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iCs/>
          <w:szCs w:val="24"/>
        </w:rPr>
        <w:t xml:space="preserve">Stodter A and Cushion CJ. What works in coach learning, how, and for whom? A grounded process of soccer coaches’ professional learning. </w:t>
      </w:r>
      <w:r w:rsidRPr="00050C0A">
        <w:rPr>
          <w:rFonts w:cs="Times New Roman"/>
          <w:i/>
          <w:szCs w:val="24"/>
        </w:rPr>
        <w:t>Qual Res Sport Exerc Health</w:t>
      </w:r>
      <w:r w:rsidRPr="00050C0A">
        <w:rPr>
          <w:rFonts w:cs="Times New Roman"/>
          <w:iCs/>
          <w:szCs w:val="24"/>
        </w:rPr>
        <w:t xml:space="preserve"> 2017; 9: 321-338</w:t>
      </w:r>
    </w:p>
    <w:p w14:paraId="7A501C81" w14:textId="15CA595D" w:rsidR="00A02916" w:rsidRPr="00050C0A" w:rsidRDefault="00A02916"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iCs/>
          <w:szCs w:val="24"/>
        </w:rPr>
        <w:t xml:space="preserve">Partington M, Cushion C, and Harvey S. An investigation of the effect of athletes’ age on the coaching behaviours of professional top-level soccer coaches. </w:t>
      </w:r>
      <w:r w:rsidRPr="00050C0A">
        <w:rPr>
          <w:rFonts w:cs="Times New Roman"/>
          <w:i/>
          <w:szCs w:val="24"/>
        </w:rPr>
        <w:t>J Sport Sci</w:t>
      </w:r>
      <w:r w:rsidRPr="00050C0A">
        <w:rPr>
          <w:rFonts w:cs="Times New Roman"/>
          <w:iCs/>
          <w:szCs w:val="24"/>
        </w:rPr>
        <w:t xml:space="preserve"> 2014; 32: 403-414. </w:t>
      </w:r>
    </w:p>
    <w:p w14:paraId="194ECAA5" w14:textId="2CDA6600" w:rsidR="00996C53" w:rsidRPr="00050C0A" w:rsidRDefault="00A02916"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Stonebridge I and Cushion C. </w:t>
      </w:r>
      <w:r w:rsidR="00996C53" w:rsidRPr="00050C0A">
        <w:rPr>
          <w:rFonts w:cs="Times New Roman"/>
          <w:szCs w:val="24"/>
        </w:rPr>
        <w:t xml:space="preserve">An exploration of the realtionship between educational background and the coaching behaviours and practice activities of professional youth soccer coaches. </w:t>
      </w:r>
      <w:r w:rsidR="00996C53" w:rsidRPr="00050C0A">
        <w:rPr>
          <w:rFonts w:cs="Times New Roman"/>
          <w:i/>
          <w:iCs/>
          <w:szCs w:val="24"/>
        </w:rPr>
        <w:t>Phys Educ Sport Pedagogy</w:t>
      </w:r>
      <w:r w:rsidR="00996C53" w:rsidRPr="00050C0A">
        <w:rPr>
          <w:rFonts w:cs="Times New Roman"/>
          <w:szCs w:val="24"/>
        </w:rPr>
        <w:t xml:space="preserve"> 2018; 23: 636-656. </w:t>
      </w:r>
    </w:p>
    <w:p w14:paraId="0ED2FAA9" w14:textId="36B4920E" w:rsidR="00A02916" w:rsidRPr="00050C0A" w:rsidRDefault="00996C53"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Stoszkowski J and Collins D. </w:t>
      </w:r>
      <w:r w:rsidR="00A02916" w:rsidRPr="00050C0A">
        <w:rPr>
          <w:rFonts w:cs="Times New Roman"/>
          <w:szCs w:val="24"/>
        </w:rPr>
        <w:t xml:space="preserve">Sources, topics and use of knowledge by coaches. </w:t>
      </w:r>
      <w:r w:rsidR="00A02916" w:rsidRPr="00050C0A">
        <w:rPr>
          <w:rFonts w:cs="Times New Roman"/>
          <w:i/>
          <w:iCs/>
          <w:szCs w:val="24"/>
        </w:rPr>
        <w:t>J Sport Sci</w:t>
      </w:r>
      <w:r w:rsidR="00A02916" w:rsidRPr="00050C0A">
        <w:rPr>
          <w:rFonts w:cs="Times New Roman"/>
          <w:szCs w:val="24"/>
        </w:rPr>
        <w:t xml:space="preserve"> </w:t>
      </w:r>
      <w:r w:rsidRPr="00050C0A">
        <w:rPr>
          <w:rFonts w:cs="Times New Roman"/>
          <w:szCs w:val="24"/>
        </w:rPr>
        <w:t xml:space="preserve">2018; 34: 794-802. </w:t>
      </w:r>
    </w:p>
    <w:p w14:paraId="4853F79B" w14:textId="0FC863EE" w:rsidR="00996C53" w:rsidRPr="00050C0A" w:rsidRDefault="00996C53"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Armour K, Griffiths M and De Lyon A. CPD Provision for the football coaching workforce. In: Allison W, Abraham A and Cale A (eds) </w:t>
      </w:r>
      <w:r w:rsidRPr="00050C0A">
        <w:rPr>
          <w:rFonts w:cs="Times New Roman"/>
          <w:i/>
          <w:iCs/>
          <w:szCs w:val="24"/>
        </w:rPr>
        <w:t>Advances in Coach Education and Development: From Research to Practice</w:t>
      </w:r>
      <w:r w:rsidRPr="00050C0A">
        <w:rPr>
          <w:rFonts w:cs="Times New Roman"/>
          <w:szCs w:val="24"/>
        </w:rPr>
        <w:t xml:space="preserve">. Abingdon, Oxon: Routledge, 2016, pp.30-40.  </w:t>
      </w:r>
    </w:p>
    <w:p w14:paraId="15AE547D" w14:textId="47AA6E3B" w:rsidR="00996C53" w:rsidRPr="00050C0A" w:rsidRDefault="00996C53"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Chesterfield G, Potrac P, and Jones R. ‘Studenship’ and ‘impression management’ in an advanced soccer coach education award. </w:t>
      </w:r>
      <w:bookmarkStart w:id="30" w:name="_Hlk60916825"/>
      <w:r w:rsidRPr="00050C0A">
        <w:rPr>
          <w:rFonts w:cs="Times New Roman"/>
          <w:i/>
          <w:szCs w:val="24"/>
        </w:rPr>
        <w:t>Sport Educ Soc</w:t>
      </w:r>
      <w:r w:rsidRPr="00050C0A">
        <w:rPr>
          <w:rFonts w:cs="Times New Roman"/>
          <w:iCs/>
          <w:szCs w:val="24"/>
        </w:rPr>
        <w:t xml:space="preserve"> </w:t>
      </w:r>
      <w:bookmarkEnd w:id="30"/>
      <w:r w:rsidRPr="00050C0A">
        <w:rPr>
          <w:rFonts w:cs="Times New Roman"/>
          <w:iCs/>
          <w:szCs w:val="24"/>
        </w:rPr>
        <w:t xml:space="preserve">2010; 15: 299-314. </w:t>
      </w:r>
    </w:p>
    <w:p w14:paraId="7053985C" w14:textId="41641323" w:rsidR="00D44448" w:rsidRPr="00050C0A" w:rsidRDefault="00D44448"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lang w:val="da-DK"/>
        </w:rPr>
        <w:t xml:space="preserve">Wormhoudt R, Savelsbergh GJP, Teunissen JW, et al. </w:t>
      </w:r>
      <w:r w:rsidRPr="00050C0A">
        <w:rPr>
          <w:rFonts w:cs="Times New Roman"/>
          <w:i/>
          <w:iCs/>
          <w:szCs w:val="24"/>
        </w:rPr>
        <w:t>The Athletic Skills Model: Optimizing Talent Development Through Movement Education</w:t>
      </w:r>
      <w:r w:rsidRPr="00050C0A">
        <w:rPr>
          <w:rFonts w:cs="Times New Roman"/>
          <w:szCs w:val="24"/>
        </w:rPr>
        <w:t xml:space="preserve">. Abingdon: Routledge, 2017. </w:t>
      </w:r>
    </w:p>
    <w:p w14:paraId="373F0E77" w14:textId="1E3D2008" w:rsidR="00D44448" w:rsidRPr="00050C0A" w:rsidRDefault="00D44448"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szCs w:val="24"/>
        </w:rPr>
        <w:t xml:space="preserve">Piggott D. Coaches’ experiences of formal coach education: A critical sociological investigation. </w:t>
      </w:r>
      <w:r w:rsidRPr="00050C0A">
        <w:rPr>
          <w:rFonts w:cs="Times New Roman"/>
          <w:i/>
          <w:szCs w:val="24"/>
        </w:rPr>
        <w:t>Sport Educ Soc</w:t>
      </w:r>
      <w:r w:rsidRPr="00050C0A">
        <w:rPr>
          <w:rFonts w:cs="Times New Roman"/>
          <w:iCs/>
          <w:szCs w:val="24"/>
        </w:rPr>
        <w:t xml:space="preserve"> 2012; 17: 535-554. </w:t>
      </w:r>
    </w:p>
    <w:p w14:paraId="2A0287F5" w14:textId="4ED8DE44" w:rsidR="00D44448" w:rsidRPr="00050C0A" w:rsidRDefault="00D44448" w:rsidP="008035AD">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iCs/>
          <w:szCs w:val="24"/>
        </w:rPr>
        <w:t xml:space="preserve">Piggott D. The open society and coach education: A philosophical agenda for policy reform and future sociological research. </w:t>
      </w:r>
      <w:r w:rsidRPr="00050C0A">
        <w:rPr>
          <w:rFonts w:cs="Times New Roman"/>
          <w:i/>
          <w:szCs w:val="24"/>
        </w:rPr>
        <w:t>Phys Educ Sport Pedagogy</w:t>
      </w:r>
      <w:r w:rsidRPr="00050C0A">
        <w:rPr>
          <w:rFonts w:cs="Times New Roman"/>
          <w:iCs/>
          <w:szCs w:val="24"/>
        </w:rPr>
        <w:t xml:space="preserve"> 2015; </w:t>
      </w:r>
      <w:r w:rsidR="009B793F" w:rsidRPr="00050C0A">
        <w:rPr>
          <w:rFonts w:cs="Times New Roman"/>
          <w:iCs/>
          <w:szCs w:val="24"/>
        </w:rPr>
        <w:t xml:space="preserve">20; 283-298. </w:t>
      </w:r>
    </w:p>
    <w:p w14:paraId="50113617" w14:textId="30B2400A" w:rsidR="005B5602" w:rsidRPr="00B71A61" w:rsidRDefault="009B793F" w:rsidP="00B71A61">
      <w:pPr>
        <w:pStyle w:val="ListParagraph"/>
        <w:widowControl w:val="0"/>
        <w:numPr>
          <w:ilvl w:val="0"/>
          <w:numId w:val="21"/>
        </w:numPr>
        <w:autoSpaceDE w:val="0"/>
        <w:autoSpaceDN w:val="0"/>
        <w:adjustRightInd w:val="0"/>
        <w:spacing w:line="480" w:lineRule="auto"/>
        <w:rPr>
          <w:rFonts w:cs="Times New Roman"/>
          <w:szCs w:val="24"/>
        </w:rPr>
      </w:pPr>
      <w:r w:rsidRPr="00050C0A">
        <w:rPr>
          <w:rFonts w:cs="Times New Roman"/>
          <w:iCs/>
          <w:szCs w:val="24"/>
        </w:rPr>
        <w:t xml:space="preserve">O’Connor D, Larkin P, and Williams MA. What learning environments help improve decision-making? </w:t>
      </w:r>
      <w:r w:rsidRPr="00050C0A">
        <w:rPr>
          <w:rFonts w:cs="Times New Roman"/>
          <w:i/>
          <w:szCs w:val="24"/>
        </w:rPr>
        <w:t>Phys Educ Sport Pedagogy</w:t>
      </w:r>
      <w:r w:rsidRPr="00050C0A">
        <w:rPr>
          <w:rFonts w:cs="Times New Roman"/>
          <w:iCs/>
          <w:szCs w:val="24"/>
        </w:rPr>
        <w:t xml:space="preserve"> 2017; 22: 647-660. </w:t>
      </w:r>
    </w:p>
    <w:sectPr w:rsidR="005B5602" w:rsidRPr="00B71A61" w:rsidSect="00AE105C">
      <w:headerReference w:type="default" r:id="rId9"/>
      <w:footerReference w:type="default" r:id="rId10"/>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DCA57" w14:textId="77777777" w:rsidR="000643B2" w:rsidRDefault="000643B2" w:rsidP="00E57234">
      <w:pPr>
        <w:spacing w:after="0" w:line="240" w:lineRule="auto"/>
      </w:pPr>
      <w:r>
        <w:separator/>
      </w:r>
    </w:p>
  </w:endnote>
  <w:endnote w:type="continuationSeparator" w:id="0">
    <w:p w14:paraId="42552BDF" w14:textId="77777777" w:rsidR="000643B2" w:rsidRDefault="000643B2" w:rsidP="00E57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587062"/>
      <w:docPartObj>
        <w:docPartGallery w:val="Page Numbers (Bottom of Page)"/>
        <w:docPartUnique/>
      </w:docPartObj>
    </w:sdtPr>
    <w:sdtEndPr>
      <w:rPr>
        <w:rFonts w:cs="Times New Roman"/>
        <w:noProof/>
        <w:szCs w:val="24"/>
      </w:rPr>
    </w:sdtEndPr>
    <w:sdtContent>
      <w:p w14:paraId="3B7D2123" w14:textId="77777777" w:rsidR="00484C2C" w:rsidRPr="00C35135" w:rsidRDefault="00484C2C">
        <w:pPr>
          <w:pStyle w:val="Footer"/>
          <w:jc w:val="right"/>
          <w:rPr>
            <w:rFonts w:cs="Times New Roman"/>
            <w:szCs w:val="24"/>
          </w:rPr>
        </w:pPr>
        <w:r w:rsidRPr="00C35135">
          <w:rPr>
            <w:rFonts w:cs="Times New Roman"/>
            <w:szCs w:val="24"/>
          </w:rPr>
          <w:fldChar w:fldCharType="begin"/>
        </w:r>
        <w:r w:rsidRPr="00C35135">
          <w:rPr>
            <w:rFonts w:cs="Times New Roman"/>
            <w:szCs w:val="24"/>
          </w:rPr>
          <w:instrText xml:space="preserve"> PAGE   \* MERGEFORMAT </w:instrText>
        </w:r>
        <w:r w:rsidRPr="00C35135">
          <w:rPr>
            <w:rFonts w:cs="Times New Roman"/>
            <w:szCs w:val="24"/>
          </w:rPr>
          <w:fldChar w:fldCharType="separate"/>
        </w:r>
        <w:r>
          <w:rPr>
            <w:rFonts w:cs="Times New Roman"/>
            <w:noProof/>
            <w:szCs w:val="24"/>
          </w:rPr>
          <w:t>15</w:t>
        </w:r>
        <w:r w:rsidRPr="00C35135">
          <w:rPr>
            <w:rFonts w:cs="Times New Roman"/>
            <w:noProof/>
            <w:szCs w:val="24"/>
          </w:rPr>
          <w:fldChar w:fldCharType="end"/>
        </w:r>
      </w:p>
    </w:sdtContent>
  </w:sdt>
  <w:p w14:paraId="4A6D1C86" w14:textId="77777777" w:rsidR="00484C2C" w:rsidRDefault="0048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C377" w14:textId="77777777" w:rsidR="000643B2" w:rsidRDefault="000643B2" w:rsidP="00E57234">
      <w:pPr>
        <w:spacing w:after="0" w:line="240" w:lineRule="auto"/>
      </w:pPr>
      <w:r>
        <w:separator/>
      </w:r>
    </w:p>
  </w:footnote>
  <w:footnote w:type="continuationSeparator" w:id="0">
    <w:p w14:paraId="6D74DC2B" w14:textId="77777777" w:rsidR="000643B2" w:rsidRDefault="000643B2" w:rsidP="00E57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7C60" w14:textId="14C9BB08" w:rsidR="00484C2C" w:rsidRDefault="00484C2C" w:rsidP="00F97906">
    <w:pPr>
      <w:pStyle w:val="Header"/>
      <w:spacing w:line="480" w:lineRule="auto"/>
    </w:pPr>
    <w:r>
      <w:t xml:space="preserve">EXPERIENCES OF ENGLISH YOUTH FOOTBALL COACHES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0D8D30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9F880D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97627C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0405E7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8FEF05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7B860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000371"/>
    <w:multiLevelType w:val="hybridMultilevel"/>
    <w:tmpl w:val="8EA4A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D778B2"/>
    <w:multiLevelType w:val="hybridMultilevel"/>
    <w:tmpl w:val="69A431E4"/>
    <w:lvl w:ilvl="0" w:tplc="68202EAE">
      <w:start w:val="1"/>
      <w:numFmt w:val="lowerRoman"/>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52AE5"/>
    <w:multiLevelType w:val="hybridMultilevel"/>
    <w:tmpl w:val="BB681BD6"/>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AC3140"/>
    <w:multiLevelType w:val="multilevel"/>
    <w:tmpl w:val="705C0DB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DC011CB"/>
    <w:multiLevelType w:val="hybridMultilevel"/>
    <w:tmpl w:val="D95C5FAE"/>
    <w:lvl w:ilvl="0" w:tplc="5BC88780">
      <w:start w:val="4"/>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E0427B3"/>
    <w:multiLevelType w:val="hybridMultilevel"/>
    <w:tmpl w:val="D95C5FAE"/>
    <w:lvl w:ilvl="0" w:tplc="5BC88780">
      <w:start w:val="4"/>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221370"/>
    <w:multiLevelType w:val="hybridMultilevel"/>
    <w:tmpl w:val="890AAF7A"/>
    <w:lvl w:ilvl="0" w:tplc="CA9A26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633C10"/>
    <w:multiLevelType w:val="hybridMultilevel"/>
    <w:tmpl w:val="69A431E4"/>
    <w:lvl w:ilvl="0" w:tplc="68202EAE">
      <w:start w:val="1"/>
      <w:numFmt w:val="lowerRoman"/>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8B5598"/>
    <w:multiLevelType w:val="hybridMultilevel"/>
    <w:tmpl w:val="D298BF72"/>
    <w:lvl w:ilvl="0" w:tplc="41FCB030">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1E194E"/>
    <w:multiLevelType w:val="multilevel"/>
    <w:tmpl w:val="705C0DB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2B06969"/>
    <w:multiLevelType w:val="hybridMultilevel"/>
    <w:tmpl w:val="D298BF72"/>
    <w:lvl w:ilvl="0" w:tplc="41FCB030">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45512F"/>
    <w:multiLevelType w:val="hybridMultilevel"/>
    <w:tmpl w:val="8D02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B978CF"/>
    <w:multiLevelType w:val="hybridMultilevel"/>
    <w:tmpl w:val="E7FC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0986027">
    <w:abstractNumId w:val="12"/>
  </w:num>
  <w:num w:numId="2" w16cid:durableId="572155851">
    <w:abstractNumId w:val="15"/>
  </w:num>
  <w:num w:numId="3" w16cid:durableId="1422850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0306961">
    <w:abstractNumId w:val="15"/>
  </w:num>
  <w:num w:numId="5" w16cid:durableId="1013997880">
    <w:abstractNumId w:val="17"/>
  </w:num>
  <w:num w:numId="6" w16cid:durableId="1423649749">
    <w:abstractNumId w:val="5"/>
  </w:num>
  <w:num w:numId="7" w16cid:durableId="1266498507">
    <w:abstractNumId w:val="3"/>
  </w:num>
  <w:num w:numId="8" w16cid:durableId="689525903">
    <w:abstractNumId w:val="2"/>
  </w:num>
  <w:num w:numId="9" w16cid:durableId="153762607">
    <w:abstractNumId w:val="1"/>
  </w:num>
  <w:num w:numId="10" w16cid:durableId="542181453">
    <w:abstractNumId w:val="0"/>
  </w:num>
  <w:num w:numId="11" w16cid:durableId="1270628165">
    <w:abstractNumId w:val="4"/>
  </w:num>
  <w:num w:numId="12" w16cid:durableId="161943074">
    <w:abstractNumId w:val="7"/>
  </w:num>
  <w:num w:numId="13" w16cid:durableId="1872187015">
    <w:abstractNumId w:val="13"/>
  </w:num>
  <w:num w:numId="14" w16cid:durableId="88934209">
    <w:abstractNumId w:val="14"/>
  </w:num>
  <w:num w:numId="15" w16cid:durableId="117067196">
    <w:abstractNumId w:val="16"/>
  </w:num>
  <w:num w:numId="16" w16cid:durableId="2066560051">
    <w:abstractNumId w:val="10"/>
  </w:num>
  <w:num w:numId="17" w16cid:durableId="1715930722">
    <w:abstractNumId w:val="11"/>
  </w:num>
  <w:num w:numId="18" w16cid:durableId="2088258547">
    <w:abstractNumId w:val="18"/>
  </w:num>
  <w:num w:numId="19" w16cid:durableId="1837573204">
    <w:abstractNumId w:val="8"/>
  </w:num>
  <w:num w:numId="20" w16cid:durableId="1088113374">
    <w:abstractNumId w:val="9"/>
  </w:num>
  <w:num w:numId="21" w16cid:durableId="13903482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234"/>
    <w:rsid w:val="000014BA"/>
    <w:rsid w:val="000109B3"/>
    <w:rsid w:val="00011362"/>
    <w:rsid w:val="00013181"/>
    <w:rsid w:val="00014244"/>
    <w:rsid w:val="00015368"/>
    <w:rsid w:val="00024392"/>
    <w:rsid w:val="00030428"/>
    <w:rsid w:val="00033553"/>
    <w:rsid w:val="000342C3"/>
    <w:rsid w:val="000356B7"/>
    <w:rsid w:val="000379A9"/>
    <w:rsid w:val="000417FB"/>
    <w:rsid w:val="00045431"/>
    <w:rsid w:val="0005037E"/>
    <w:rsid w:val="00050C0A"/>
    <w:rsid w:val="000548DD"/>
    <w:rsid w:val="0005532C"/>
    <w:rsid w:val="00055A0D"/>
    <w:rsid w:val="00056532"/>
    <w:rsid w:val="00056848"/>
    <w:rsid w:val="00061502"/>
    <w:rsid w:val="000623A1"/>
    <w:rsid w:val="00063218"/>
    <w:rsid w:val="00063A52"/>
    <w:rsid w:val="000643B2"/>
    <w:rsid w:val="00065621"/>
    <w:rsid w:val="0007158F"/>
    <w:rsid w:val="00071742"/>
    <w:rsid w:val="000757A6"/>
    <w:rsid w:val="00076A4B"/>
    <w:rsid w:val="00077896"/>
    <w:rsid w:val="000814A4"/>
    <w:rsid w:val="0008252D"/>
    <w:rsid w:val="00082C84"/>
    <w:rsid w:val="000862BB"/>
    <w:rsid w:val="000863D8"/>
    <w:rsid w:val="000878D2"/>
    <w:rsid w:val="00093853"/>
    <w:rsid w:val="000946DE"/>
    <w:rsid w:val="000A2DFB"/>
    <w:rsid w:val="000A2F79"/>
    <w:rsid w:val="000A39A8"/>
    <w:rsid w:val="000A5BE1"/>
    <w:rsid w:val="000A6B24"/>
    <w:rsid w:val="000B11A7"/>
    <w:rsid w:val="000B1605"/>
    <w:rsid w:val="000B164C"/>
    <w:rsid w:val="000B3993"/>
    <w:rsid w:val="000B43C6"/>
    <w:rsid w:val="000C0C01"/>
    <w:rsid w:val="000C4296"/>
    <w:rsid w:val="000C4A67"/>
    <w:rsid w:val="000C668C"/>
    <w:rsid w:val="000D07E6"/>
    <w:rsid w:val="000D2561"/>
    <w:rsid w:val="000D6564"/>
    <w:rsid w:val="000E08D6"/>
    <w:rsid w:val="000E16DD"/>
    <w:rsid w:val="000E1872"/>
    <w:rsid w:val="000E2FEE"/>
    <w:rsid w:val="000E7595"/>
    <w:rsid w:val="000F7D43"/>
    <w:rsid w:val="00104B91"/>
    <w:rsid w:val="001146B6"/>
    <w:rsid w:val="00114CEB"/>
    <w:rsid w:val="001160DF"/>
    <w:rsid w:val="001209B8"/>
    <w:rsid w:val="00121325"/>
    <w:rsid w:val="001249DF"/>
    <w:rsid w:val="00130077"/>
    <w:rsid w:val="00130D3A"/>
    <w:rsid w:val="00132AE5"/>
    <w:rsid w:val="00137214"/>
    <w:rsid w:val="00140766"/>
    <w:rsid w:val="001425A7"/>
    <w:rsid w:val="001436C3"/>
    <w:rsid w:val="00145174"/>
    <w:rsid w:val="00145F98"/>
    <w:rsid w:val="001479F1"/>
    <w:rsid w:val="00150206"/>
    <w:rsid w:val="00153012"/>
    <w:rsid w:val="00157B3A"/>
    <w:rsid w:val="001603C2"/>
    <w:rsid w:val="00164615"/>
    <w:rsid w:val="00165AD7"/>
    <w:rsid w:val="0017059F"/>
    <w:rsid w:val="001705AA"/>
    <w:rsid w:val="00170C33"/>
    <w:rsid w:val="001726CA"/>
    <w:rsid w:val="00173F8E"/>
    <w:rsid w:val="00174C19"/>
    <w:rsid w:val="001757D9"/>
    <w:rsid w:val="00180098"/>
    <w:rsid w:val="00183393"/>
    <w:rsid w:val="0018381F"/>
    <w:rsid w:val="00187819"/>
    <w:rsid w:val="00190653"/>
    <w:rsid w:val="0019269E"/>
    <w:rsid w:val="00192A96"/>
    <w:rsid w:val="001952BE"/>
    <w:rsid w:val="00196527"/>
    <w:rsid w:val="001976F4"/>
    <w:rsid w:val="001A054A"/>
    <w:rsid w:val="001A1982"/>
    <w:rsid w:val="001A1DE3"/>
    <w:rsid w:val="001B1BBD"/>
    <w:rsid w:val="001B28A2"/>
    <w:rsid w:val="001B3E6F"/>
    <w:rsid w:val="001B458D"/>
    <w:rsid w:val="001C1E6F"/>
    <w:rsid w:val="001C4A9B"/>
    <w:rsid w:val="001C4D31"/>
    <w:rsid w:val="001C4E13"/>
    <w:rsid w:val="001C5F56"/>
    <w:rsid w:val="001C6E2B"/>
    <w:rsid w:val="001C765C"/>
    <w:rsid w:val="001D1431"/>
    <w:rsid w:val="001D230F"/>
    <w:rsid w:val="001D4A3F"/>
    <w:rsid w:val="001D7D3F"/>
    <w:rsid w:val="001E0F9A"/>
    <w:rsid w:val="001E1227"/>
    <w:rsid w:val="001E16B2"/>
    <w:rsid w:val="001E1966"/>
    <w:rsid w:val="001E3565"/>
    <w:rsid w:val="001E6CD5"/>
    <w:rsid w:val="001F17D0"/>
    <w:rsid w:val="001F2893"/>
    <w:rsid w:val="001F402C"/>
    <w:rsid w:val="002007F4"/>
    <w:rsid w:val="00201038"/>
    <w:rsid w:val="0020197A"/>
    <w:rsid w:val="00205DF8"/>
    <w:rsid w:val="00207711"/>
    <w:rsid w:val="00207755"/>
    <w:rsid w:val="00212A50"/>
    <w:rsid w:val="0021312C"/>
    <w:rsid w:val="00214E56"/>
    <w:rsid w:val="002176C3"/>
    <w:rsid w:val="0022450C"/>
    <w:rsid w:val="002312C3"/>
    <w:rsid w:val="00231EE2"/>
    <w:rsid w:val="00236AC4"/>
    <w:rsid w:val="00237746"/>
    <w:rsid w:val="00241550"/>
    <w:rsid w:val="0024223C"/>
    <w:rsid w:val="00242CEF"/>
    <w:rsid w:val="00244CCB"/>
    <w:rsid w:val="0024778E"/>
    <w:rsid w:val="002477F2"/>
    <w:rsid w:val="00247A9F"/>
    <w:rsid w:val="0025201A"/>
    <w:rsid w:val="002527D7"/>
    <w:rsid w:val="002603BA"/>
    <w:rsid w:val="00263594"/>
    <w:rsid w:val="002648AD"/>
    <w:rsid w:val="002649C6"/>
    <w:rsid w:val="0026548E"/>
    <w:rsid w:val="0026679B"/>
    <w:rsid w:val="002716EF"/>
    <w:rsid w:val="00272683"/>
    <w:rsid w:val="002735D9"/>
    <w:rsid w:val="00275B1C"/>
    <w:rsid w:val="00277C7A"/>
    <w:rsid w:val="00281772"/>
    <w:rsid w:val="002817BA"/>
    <w:rsid w:val="0028492F"/>
    <w:rsid w:val="00285046"/>
    <w:rsid w:val="00285719"/>
    <w:rsid w:val="00297191"/>
    <w:rsid w:val="00297B77"/>
    <w:rsid w:val="002A01BA"/>
    <w:rsid w:val="002A0C82"/>
    <w:rsid w:val="002A2684"/>
    <w:rsid w:val="002A3C9A"/>
    <w:rsid w:val="002B4AA4"/>
    <w:rsid w:val="002B72AA"/>
    <w:rsid w:val="002C48BF"/>
    <w:rsid w:val="002D0554"/>
    <w:rsid w:val="002D5267"/>
    <w:rsid w:val="002D659E"/>
    <w:rsid w:val="002E3B8C"/>
    <w:rsid w:val="002E4311"/>
    <w:rsid w:val="002E5608"/>
    <w:rsid w:val="002E7425"/>
    <w:rsid w:val="002F02E1"/>
    <w:rsid w:val="002F0D7A"/>
    <w:rsid w:val="003005EA"/>
    <w:rsid w:val="00302555"/>
    <w:rsid w:val="00303108"/>
    <w:rsid w:val="00304414"/>
    <w:rsid w:val="00306BD4"/>
    <w:rsid w:val="00310767"/>
    <w:rsid w:val="003202A2"/>
    <w:rsid w:val="00320807"/>
    <w:rsid w:val="00321341"/>
    <w:rsid w:val="00321D16"/>
    <w:rsid w:val="00322067"/>
    <w:rsid w:val="003221A0"/>
    <w:rsid w:val="00326F69"/>
    <w:rsid w:val="003304E0"/>
    <w:rsid w:val="00330B2A"/>
    <w:rsid w:val="003327EE"/>
    <w:rsid w:val="00333808"/>
    <w:rsid w:val="0033499F"/>
    <w:rsid w:val="003350B5"/>
    <w:rsid w:val="00337678"/>
    <w:rsid w:val="003435F0"/>
    <w:rsid w:val="003446CD"/>
    <w:rsid w:val="0035229C"/>
    <w:rsid w:val="00355760"/>
    <w:rsid w:val="0035734D"/>
    <w:rsid w:val="00360BBD"/>
    <w:rsid w:val="00365948"/>
    <w:rsid w:val="00366EE8"/>
    <w:rsid w:val="0037134E"/>
    <w:rsid w:val="0038030E"/>
    <w:rsid w:val="00381FF1"/>
    <w:rsid w:val="00382AA2"/>
    <w:rsid w:val="0038548D"/>
    <w:rsid w:val="003866C4"/>
    <w:rsid w:val="003929F3"/>
    <w:rsid w:val="00393C72"/>
    <w:rsid w:val="003A6BE9"/>
    <w:rsid w:val="003A7A64"/>
    <w:rsid w:val="003B3F02"/>
    <w:rsid w:val="003B4385"/>
    <w:rsid w:val="003B66DD"/>
    <w:rsid w:val="003C0707"/>
    <w:rsid w:val="003C3034"/>
    <w:rsid w:val="003C45F4"/>
    <w:rsid w:val="003C53F0"/>
    <w:rsid w:val="003C6A3D"/>
    <w:rsid w:val="003D276A"/>
    <w:rsid w:val="003D3044"/>
    <w:rsid w:val="003D4DCE"/>
    <w:rsid w:val="003D64A4"/>
    <w:rsid w:val="003D6D0A"/>
    <w:rsid w:val="003E0213"/>
    <w:rsid w:val="003E0737"/>
    <w:rsid w:val="003E183B"/>
    <w:rsid w:val="003E235B"/>
    <w:rsid w:val="003E352D"/>
    <w:rsid w:val="003E4894"/>
    <w:rsid w:val="003E59B8"/>
    <w:rsid w:val="003F241E"/>
    <w:rsid w:val="003F4829"/>
    <w:rsid w:val="003F580C"/>
    <w:rsid w:val="003F67E8"/>
    <w:rsid w:val="004008E1"/>
    <w:rsid w:val="004017EF"/>
    <w:rsid w:val="00401AD8"/>
    <w:rsid w:val="004023FE"/>
    <w:rsid w:val="00403E38"/>
    <w:rsid w:val="00405871"/>
    <w:rsid w:val="0040742D"/>
    <w:rsid w:val="00410E1B"/>
    <w:rsid w:val="00414BBB"/>
    <w:rsid w:val="00416439"/>
    <w:rsid w:val="00416E4D"/>
    <w:rsid w:val="0041742B"/>
    <w:rsid w:val="00420DBE"/>
    <w:rsid w:val="00424EC0"/>
    <w:rsid w:val="004310F7"/>
    <w:rsid w:val="00431774"/>
    <w:rsid w:val="0043193E"/>
    <w:rsid w:val="004349FA"/>
    <w:rsid w:val="00446C36"/>
    <w:rsid w:val="00451226"/>
    <w:rsid w:val="00452576"/>
    <w:rsid w:val="00453018"/>
    <w:rsid w:val="00453DBD"/>
    <w:rsid w:val="00455127"/>
    <w:rsid w:val="004559CD"/>
    <w:rsid w:val="00463318"/>
    <w:rsid w:val="00463F0C"/>
    <w:rsid w:val="00471E6C"/>
    <w:rsid w:val="0047203A"/>
    <w:rsid w:val="00474473"/>
    <w:rsid w:val="004759F0"/>
    <w:rsid w:val="00476C10"/>
    <w:rsid w:val="0048271B"/>
    <w:rsid w:val="0048294D"/>
    <w:rsid w:val="00482DF1"/>
    <w:rsid w:val="00484C2C"/>
    <w:rsid w:val="0048517C"/>
    <w:rsid w:val="00486B47"/>
    <w:rsid w:val="0049213D"/>
    <w:rsid w:val="00492C41"/>
    <w:rsid w:val="00493B94"/>
    <w:rsid w:val="00496039"/>
    <w:rsid w:val="004A1385"/>
    <w:rsid w:val="004A2460"/>
    <w:rsid w:val="004A392D"/>
    <w:rsid w:val="004B0228"/>
    <w:rsid w:val="004B4377"/>
    <w:rsid w:val="004B4F57"/>
    <w:rsid w:val="004B6282"/>
    <w:rsid w:val="004B73EB"/>
    <w:rsid w:val="004C33C5"/>
    <w:rsid w:val="004C458A"/>
    <w:rsid w:val="004C5313"/>
    <w:rsid w:val="004C70D8"/>
    <w:rsid w:val="004D2C51"/>
    <w:rsid w:val="004E0190"/>
    <w:rsid w:val="004E1E27"/>
    <w:rsid w:val="004E2E8D"/>
    <w:rsid w:val="004E44DB"/>
    <w:rsid w:val="004E47A1"/>
    <w:rsid w:val="004F07C6"/>
    <w:rsid w:val="004F1349"/>
    <w:rsid w:val="004F1A86"/>
    <w:rsid w:val="004F4E21"/>
    <w:rsid w:val="00502C59"/>
    <w:rsid w:val="0050431C"/>
    <w:rsid w:val="005116B3"/>
    <w:rsid w:val="00511FE7"/>
    <w:rsid w:val="0051760B"/>
    <w:rsid w:val="00517BA8"/>
    <w:rsid w:val="00517CE8"/>
    <w:rsid w:val="00517DCF"/>
    <w:rsid w:val="00520376"/>
    <w:rsid w:val="00526511"/>
    <w:rsid w:val="00533AFA"/>
    <w:rsid w:val="00533D28"/>
    <w:rsid w:val="00537380"/>
    <w:rsid w:val="0054254C"/>
    <w:rsid w:val="005426E0"/>
    <w:rsid w:val="00542BD4"/>
    <w:rsid w:val="005446A1"/>
    <w:rsid w:val="00545563"/>
    <w:rsid w:val="00547115"/>
    <w:rsid w:val="0055163F"/>
    <w:rsid w:val="0055330D"/>
    <w:rsid w:val="005557DA"/>
    <w:rsid w:val="005565A1"/>
    <w:rsid w:val="00557E73"/>
    <w:rsid w:val="005625D7"/>
    <w:rsid w:val="00562C2F"/>
    <w:rsid w:val="0056619D"/>
    <w:rsid w:val="0057017F"/>
    <w:rsid w:val="005819DB"/>
    <w:rsid w:val="005822C6"/>
    <w:rsid w:val="005861A1"/>
    <w:rsid w:val="005917AA"/>
    <w:rsid w:val="00595051"/>
    <w:rsid w:val="0059573C"/>
    <w:rsid w:val="005957BD"/>
    <w:rsid w:val="005A0EFF"/>
    <w:rsid w:val="005A3E1B"/>
    <w:rsid w:val="005A5580"/>
    <w:rsid w:val="005B1E7D"/>
    <w:rsid w:val="005B5496"/>
    <w:rsid w:val="005B5602"/>
    <w:rsid w:val="005B613D"/>
    <w:rsid w:val="005B743E"/>
    <w:rsid w:val="005B7C49"/>
    <w:rsid w:val="005C0F05"/>
    <w:rsid w:val="005C2E82"/>
    <w:rsid w:val="005C606A"/>
    <w:rsid w:val="005C61E9"/>
    <w:rsid w:val="005D2276"/>
    <w:rsid w:val="005D37C7"/>
    <w:rsid w:val="005D454B"/>
    <w:rsid w:val="005D50A8"/>
    <w:rsid w:val="005D5A6F"/>
    <w:rsid w:val="005E0733"/>
    <w:rsid w:val="005E1ADF"/>
    <w:rsid w:val="005E2DFF"/>
    <w:rsid w:val="005E53DB"/>
    <w:rsid w:val="005E6BA1"/>
    <w:rsid w:val="005F1791"/>
    <w:rsid w:val="005F48E7"/>
    <w:rsid w:val="005F4EED"/>
    <w:rsid w:val="005F5907"/>
    <w:rsid w:val="006047D1"/>
    <w:rsid w:val="00604F2D"/>
    <w:rsid w:val="006110CD"/>
    <w:rsid w:val="0061215B"/>
    <w:rsid w:val="006154E4"/>
    <w:rsid w:val="00616BF9"/>
    <w:rsid w:val="00620A39"/>
    <w:rsid w:val="0062254C"/>
    <w:rsid w:val="00622CF1"/>
    <w:rsid w:val="00624B56"/>
    <w:rsid w:val="00625E4C"/>
    <w:rsid w:val="00626E03"/>
    <w:rsid w:val="0063414B"/>
    <w:rsid w:val="00640570"/>
    <w:rsid w:val="00641556"/>
    <w:rsid w:val="00645139"/>
    <w:rsid w:val="00647087"/>
    <w:rsid w:val="00650527"/>
    <w:rsid w:val="00651C3A"/>
    <w:rsid w:val="006544E5"/>
    <w:rsid w:val="0066060E"/>
    <w:rsid w:val="00661544"/>
    <w:rsid w:val="00661D14"/>
    <w:rsid w:val="00661E4D"/>
    <w:rsid w:val="00662610"/>
    <w:rsid w:val="006629C6"/>
    <w:rsid w:val="00664980"/>
    <w:rsid w:val="00665F33"/>
    <w:rsid w:val="00666A63"/>
    <w:rsid w:val="00672A8A"/>
    <w:rsid w:val="00673CB6"/>
    <w:rsid w:val="00674246"/>
    <w:rsid w:val="00684E3F"/>
    <w:rsid w:val="0069200D"/>
    <w:rsid w:val="0069431A"/>
    <w:rsid w:val="00696705"/>
    <w:rsid w:val="00697388"/>
    <w:rsid w:val="006A0E9D"/>
    <w:rsid w:val="006A377E"/>
    <w:rsid w:val="006A623B"/>
    <w:rsid w:val="006B153F"/>
    <w:rsid w:val="006B301D"/>
    <w:rsid w:val="006B6264"/>
    <w:rsid w:val="006C12F6"/>
    <w:rsid w:val="006C1F94"/>
    <w:rsid w:val="006C2B91"/>
    <w:rsid w:val="006C6125"/>
    <w:rsid w:val="006C6EDC"/>
    <w:rsid w:val="006D26F3"/>
    <w:rsid w:val="006D3AE4"/>
    <w:rsid w:val="006E0434"/>
    <w:rsid w:val="006E08CB"/>
    <w:rsid w:val="006E38BE"/>
    <w:rsid w:val="006E5796"/>
    <w:rsid w:val="006E5B9F"/>
    <w:rsid w:val="006F1B59"/>
    <w:rsid w:val="006F32DE"/>
    <w:rsid w:val="006F3920"/>
    <w:rsid w:val="006F3DD1"/>
    <w:rsid w:val="006F7A62"/>
    <w:rsid w:val="00702963"/>
    <w:rsid w:val="0070509A"/>
    <w:rsid w:val="0070519E"/>
    <w:rsid w:val="00706BE7"/>
    <w:rsid w:val="00712298"/>
    <w:rsid w:val="00715929"/>
    <w:rsid w:val="007212F2"/>
    <w:rsid w:val="00721629"/>
    <w:rsid w:val="00722B9D"/>
    <w:rsid w:val="0072485C"/>
    <w:rsid w:val="00724DAA"/>
    <w:rsid w:val="007251CB"/>
    <w:rsid w:val="00725901"/>
    <w:rsid w:val="007320CE"/>
    <w:rsid w:val="00744235"/>
    <w:rsid w:val="00744F1F"/>
    <w:rsid w:val="0075048E"/>
    <w:rsid w:val="0075118E"/>
    <w:rsid w:val="007525DC"/>
    <w:rsid w:val="00754ABD"/>
    <w:rsid w:val="00755249"/>
    <w:rsid w:val="007564E5"/>
    <w:rsid w:val="00756905"/>
    <w:rsid w:val="00761230"/>
    <w:rsid w:val="00761CA1"/>
    <w:rsid w:val="00764A2A"/>
    <w:rsid w:val="00771591"/>
    <w:rsid w:val="00773DC3"/>
    <w:rsid w:val="00774976"/>
    <w:rsid w:val="007752CC"/>
    <w:rsid w:val="00776FF9"/>
    <w:rsid w:val="007802C6"/>
    <w:rsid w:val="007802E2"/>
    <w:rsid w:val="007839B9"/>
    <w:rsid w:val="00786B4D"/>
    <w:rsid w:val="00787A5D"/>
    <w:rsid w:val="00795B4B"/>
    <w:rsid w:val="007A0CCF"/>
    <w:rsid w:val="007A2415"/>
    <w:rsid w:val="007A282F"/>
    <w:rsid w:val="007A28D4"/>
    <w:rsid w:val="007A2BF9"/>
    <w:rsid w:val="007A4083"/>
    <w:rsid w:val="007A53AA"/>
    <w:rsid w:val="007B0A41"/>
    <w:rsid w:val="007B28A3"/>
    <w:rsid w:val="007B50DC"/>
    <w:rsid w:val="007B5B4D"/>
    <w:rsid w:val="007B657B"/>
    <w:rsid w:val="007C4F29"/>
    <w:rsid w:val="007C587C"/>
    <w:rsid w:val="007C7762"/>
    <w:rsid w:val="007D01A7"/>
    <w:rsid w:val="007D0392"/>
    <w:rsid w:val="007D0DA1"/>
    <w:rsid w:val="007D3D56"/>
    <w:rsid w:val="007E2866"/>
    <w:rsid w:val="007E510A"/>
    <w:rsid w:val="007E6B8C"/>
    <w:rsid w:val="007E7A63"/>
    <w:rsid w:val="007F2A7F"/>
    <w:rsid w:val="007F60D5"/>
    <w:rsid w:val="008029D1"/>
    <w:rsid w:val="008035AD"/>
    <w:rsid w:val="00803B4C"/>
    <w:rsid w:val="00806D31"/>
    <w:rsid w:val="00811E73"/>
    <w:rsid w:val="0081537A"/>
    <w:rsid w:val="00815A94"/>
    <w:rsid w:val="00816A41"/>
    <w:rsid w:val="00816F42"/>
    <w:rsid w:val="00820019"/>
    <w:rsid w:val="0082149B"/>
    <w:rsid w:val="008216AB"/>
    <w:rsid w:val="00823463"/>
    <w:rsid w:val="008248B9"/>
    <w:rsid w:val="00824A03"/>
    <w:rsid w:val="008262CD"/>
    <w:rsid w:val="00827445"/>
    <w:rsid w:val="0083012A"/>
    <w:rsid w:val="00831987"/>
    <w:rsid w:val="008407E9"/>
    <w:rsid w:val="00840ECF"/>
    <w:rsid w:val="00842CC9"/>
    <w:rsid w:val="00842D8A"/>
    <w:rsid w:val="00843A8D"/>
    <w:rsid w:val="00850F8B"/>
    <w:rsid w:val="008559DE"/>
    <w:rsid w:val="00856D97"/>
    <w:rsid w:val="0086438B"/>
    <w:rsid w:val="00871662"/>
    <w:rsid w:val="00871985"/>
    <w:rsid w:val="00871FE4"/>
    <w:rsid w:val="008725E8"/>
    <w:rsid w:val="00873C9E"/>
    <w:rsid w:val="0087461F"/>
    <w:rsid w:val="00880312"/>
    <w:rsid w:val="00883C32"/>
    <w:rsid w:val="0088589A"/>
    <w:rsid w:val="0088601D"/>
    <w:rsid w:val="008864B7"/>
    <w:rsid w:val="00887FCC"/>
    <w:rsid w:val="00894362"/>
    <w:rsid w:val="00894FD3"/>
    <w:rsid w:val="008A2677"/>
    <w:rsid w:val="008B2E3C"/>
    <w:rsid w:val="008B4121"/>
    <w:rsid w:val="008B6971"/>
    <w:rsid w:val="008C347C"/>
    <w:rsid w:val="008D48F5"/>
    <w:rsid w:val="008D6E81"/>
    <w:rsid w:val="008E0159"/>
    <w:rsid w:val="008E2BDB"/>
    <w:rsid w:val="008E565F"/>
    <w:rsid w:val="008E6E5A"/>
    <w:rsid w:val="008F3FCA"/>
    <w:rsid w:val="008F5B04"/>
    <w:rsid w:val="008F62B6"/>
    <w:rsid w:val="008F6E5E"/>
    <w:rsid w:val="00902649"/>
    <w:rsid w:val="00905485"/>
    <w:rsid w:val="00905B58"/>
    <w:rsid w:val="00905BF0"/>
    <w:rsid w:val="00905EB1"/>
    <w:rsid w:val="00907C6C"/>
    <w:rsid w:val="00910B0B"/>
    <w:rsid w:val="00912529"/>
    <w:rsid w:val="0091325E"/>
    <w:rsid w:val="009149D8"/>
    <w:rsid w:val="00915C14"/>
    <w:rsid w:val="00922298"/>
    <w:rsid w:val="00923774"/>
    <w:rsid w:val="00923E48"/>
    <w:rsid w:val="00925AB2"/>
    <w:rsid w:val="009309BE"/>
    <w:rsid w:val="009331CD"/>
    <w:rsid w:val="00934048"/>
    <w:rsid w:val="00941F6A"/>
    <w:rsid w:val="009436F4"/>
    <w:rsid w:val="00943D5F"/>
    <w:rsid w:val="0094557F"/>
    <w:rsid w:val="00946623"/>
    <w:rsid w:val="00960481"/>
    <w:rsid w:val="00961887"/>
    <w:rsid w:val="00965127"/>
    <w:rsid w:val="00976743"/>
    <w:rsid w:val="0097700F"/>
    <w:rsid w:val="00981028"/>
    <w:rsid w:val="0098226F"/>
    <w:rsid w:val="00983251"/>
    <w:rsid w:val="009832F2"/>
    <w:rsid w:val="00983E71"/>
    <w:rsid w:val="00984DD2"/>
    <w:rsid w:val="009878A4"/>
    <w:rsid w:val="00990A04"/>
    <w:rsid w:val="00990FBE"/>
    <w:rsid w:val="0099321A"/>
    <w:rsid w:val="009969F0"/>
    <w:rsid w:val="00996C53"/>
    <w:rsid w:val="009977D3"/>
    <w:rsid w:val="00997E95"/>
    <w:rsid w:val="009A678F"/>
    <w:rsid w:val="009A79AA"/>
    <w:rsid w:val="009A7C12"/>
    <w:rsid w:val="009B793F"/>
    <w:rsid w:val="009C6893"/>
    <w:rsid w:val="009C7159"/>
    <w:rsid w:val="009C7A30"/>
    <w:rsid w:val="009D0AAD"/>
    <w:rsid w:val="009D0B4D"/>
    <w:rsid w:val="009D1399"/>
    <w:rsid w:val="009D4BC2"/>
    <w:rsid w:val="009E2279"/>
    <w:rsid w:val="009E4EE0"/>
    <w:rsid w:val="009F09E0"/>
    <w:rsid w:val="009F0CF7"/>
    <w:rsid w:val="00A004D9"/>
    <w:rsid w:val="00A00CC6"/>
    <w:rsid w:val="00A02916"/>
    <w:rsid w:val="00A072A3"/>
    <w:rsid w:val="00A12E7C"/>
    <w:rsid w:val="00A14D57"/>
    <w:rsid w:val="00A15815"/>
    <w:rsid w:val="00A15C45"/>
    <w:rsid w:val="00A16484"/>
    <w:rsid w:val="00A17A99"/>
    <w:rsid w:val="00A17CD4"/>
    <w:rsid w:val="00A2232E"/>
    <w:rsid w:val="00A230A0"/>
    <w:rsid w:val="00A2341E"/>
    <w:rsid w:val="00A25861"/>
    <w:rsid w:val="00A268F8"/>
    <w:rsid w:val="00A306EA"/>
    <w:rsid w:val="00A325B1"/>
    <w:rsid w:val="00A358D3"/>
    <w:rsid w:val="00A3719B"/>
    <w:rsid w:val="00A3735D"/>
    <w:rsid w:val="00A401AF"/>
    <w:rsid w:val="00A42E4C"/>
    <w:rsid w:val="00A45B54"/>
    <w:rsid w:val="00A45DB8"/>
    <w:rsid w:val="00A47CE6"/>
    <w:rsid w:val="00A47E69"/>
    <w:rsid w:val="00A51574"/>
    <w:rsid w:val="00A51A79"/>
    <w:rsid w:val="00A6345B"/>
    <w:rsid w:val="00A63D31"/>
    <w:rsid w:val="00A63E11"/>
    <w:rsid w:val="00A66C58"/>
    <w:rsid w:val="00A81C65"/>
    <w:rsid w:val="00A83993"/>
    <w:rsid w:val="00A8510F"/>
    <w:rsid w:val="00AA04A8"/>
    <w:rsid w:val="00AA2946"/>
    <w:rsid w:val="00AA58A9"/>
    <w:rsid w:val="00AA6095"/>
    <w:rsid w:val="00AB0840"/>
    <w:rsid w:val="00AB49BD"/>
    <w:rsid w:val="00AC51A3"/>
    <w:rsid w:val="00AC534E"/>
    <w:rsid w:val="00AC73FB"/>
    <w:rsid w:val="00AD04E7"/>
    <w:rsid w:val="00AD2FF9"/>
    <w:rsid w:val="00AD3049"/>
    <w:rsid w:val="00AD56A7"/>
    <w:rsid w:val="00AD665A"/>
    <w:rsid w:val="00AD6791"/>
    <w:rsid w:val="00AE105C"/>
    <w:rsid w:val="00AE3803"/>
    <w:rsid w:val="00AE4848"/>
    <w:rsid w:val="00AE4A37"/>
    <w:rsid w:val="00AE65BD"/>
    <w:rsid w:val="00AE7005"/>
    <w:rsid w:val="00AF0047"/>
    <w:rsid w:val="00B00CCD"/>
    <w:rsid w:val="00B01B9D"/>
    <w:rsid w:val="00B028F1"/>
    <w:rsid w:val="00B03FF4"/>
    <w:rsid w:val="00B05E89"/>
    <w:rsid w:val="00B06241"/>
    <w:rsid w:val="00B12E97"/>
    <w:rsid w:val="00B162E4"/>
    <w:rsid w:val="00B17C70"/>
    <w:rsid w:val="00B21923"/>
    <w:rsid w:val="00B21936"/>
    <w:rsid w:val="00B2450D"/>
    <w:rsid w:val="00B25376"/>
    <w:rsid w:val="00B25A1B"/>
    <w:rsid w:val="00B2680B"/>
    <w:rsid w:val="00B3093F"/>
    <w:rsid w:val="00B31768"/>
    <w:rsid w:val="00B35F73"/>
    <w:rsid w:val="00B37709"/>
    <w:rsid w:val="00B42303"/>
    <w:rsid w:val="00B45343"/>
    <w:rsid w:val="00B53FA2"/>
    <w:rsid w:val="00B60F64"/>
    <w:rsid w:val="00B61C34"/>
    <w:rsid w:val="00B62221"/>
    <w:rsid w:val="00B657DA"/>
    <w:rsid w:val="00B670BF"/>
    <w:rsid w:val="00B71A61"/>
    <w:rsid w:val="00B740DE"/>
    <w:rsid w:val="00B75557"/>
    <w:rsid w:val="00B76B84"/>
    <w:rsid w:val="00B82148"/>
    <w:rsid w:val="00B860B8"/>
    <w:rsid w:val="00B958DD"/>
    <w:rsid w:val="00B959A3"/>
    <w:rsid w:val="00B96198"/>
    <w:rsid w:val="00B97A67"/>
    <w:rsid w:val="00B97C67"/>
    <w:rsid w:val="00BA31A6"/>
    <w:rsid w:val="00BA4A83"/>
    <w:rsid w:val="00BB2805"/>
    <w:rsid w:val="00BB74B8"/>
    <w:rsid w:val="00BB7EC6"/>
    <w:rsid w:val="00BC07F6"/>
    <w:rsid w:val="00BC5314"/>
    <w:rsid w:val="00BC5D21"/>
    <w:rsid w:val="00BD2BFF"/>
    <w:rsid w:val="00BD325E"/>
    <w:rsid w:val="00BD4394"/>
    <w:rsid w:val="00BD463F"/>
    <w:rsid w:val="00BD703B"/>
    <w:rsid w:val="00BD7A98"/>
    <w:rsid w:val="00BE061F"/>
    <w:rsid w:val="00BE164B"/>
    <w:rsid w:val="00BE2ABF"/>
    <w:rsid w:val="00BE4BFD"/>
    <w:rsid w:val="00BE6B8C"/>
    <w:rsid w:val="00BF446D"/>
    <w:rsid w:val="00BF6F0E"/>
    <w:rsid w:val="00BF7B53"/>
    <w:rsid w:val="00C03F3E"/>
    <w:rsid w:val="00C05B52"/>
    <w:rsid w:val="00C06A66"/>
    <w:rsid w:val="00C1112A"/>
    <w:rsid w:val="00C154B1"/>
    <w:rsid w:val="00C2267E"/>
    <w:rsid w:val="00C23325"/>
    <w:rsid w:val="00C30CA6"/>
    <w:rsid w:val="00C31043"/>
    <w:rsid w:val="00C316EF"/>
    <w:rsid w:val="00C34C26"/>
    <w:rsid w:val="00C356BF"/>
    <w:rsid w:val="00C416B9"/>
    <w:rsid w:val="00C42518"/>
    <w:rsid w:val="00C46573"/>
    <w:rsid w:val="00C47328"/>
    <w:rsid w:val="00C50841"/>
    <w:rsid w:val="00C511F0"/>
    <w:rsid w:val="00C527A4"/>
    <w:rsid w:val="00C54337"/>
    <w:rsid w:val="00C55F3B"/>
    <w:rsid w:val="00C56770"/>
    <w:rsid w:val="00C573F0"/>
    <w:rsid w:val="00C676DE"/>
    <w:rsid w:val="00C7183A"/>
    <w:rsid w:val="00C71FA0"/>
    <w:rsid w:val="00C77E59"/>
    <w:rsid w:val="00C816E8"/>
    <w:rsid w:val="00C83FEB"/>
    <w:rsid w:val="00C85F3D"/>
    <w:rsid w:val="00C92C9B"/>
    <w:rsid w:val="00C93841"/>
    <w:rsid w:val="00C94D05"/>
    <w:rsid w:val="00C97ED9"/>
    <w:rsid w:val="00CA0D30"/>
    <w:rsid w:val="00CA32BB"/>
    <w:rsid w:val="00CA5A35"/>
    <w:rsid w:val="00CA6FDC"/>
    <w:rsid w:val="00CB18BD"/>
    <w:rsid w:val="00CB5F95"/>
    <w:rsid w:val="00CB71F3"/>
    <w:rsid w:val="00CC18D9"/>
    <w:rsid w:val="00CC28FD"/>
    <w:rsid w:val="00CC2E81"/>
    <w:rsid w:val="00CC3F57"/>
    <w:rsid w:val="00CC4077"/>
    <w:rsid w:val="00CC72F2"/>
    <w:rsid w:val="00CD08BE"/>
    <w:rsid w:val="00CD1A75"/>
    <w:rsid w:val="00CD3E62"/>
    <w:rsid w:val="00CD562A"/>
    <w:rsid w:val="00CE0742"/>
    <w:rsid w:val="00CE0A9D"/>
    <w:rsid w:val="00CE11E5"/>
    <w:rsid w:val="00CE225D"/>
    <w:rsid w:val="00CE6203"/>
    <w:rsid w:val="00CE6448"/>
    <w:rsid w:val="00CE7249"/>
    <w:rsid w:val="00CF0CD8"/>
    <w:rsid w:val="00CF1CB9"/>
    <w:rsid w:val="00CF506B"/>
    <w:rsid w:val="00CF5F3E"/>
    <w:rsid w:val="00D059E5"/>
    <w:rsid w:val="00D065E6"/>
    <w:rsid w:val="00D0720D"/>
    <w:rsid w:val="00D10E91"/>
    <w:rsid w:val="00D123FF"/>
    <w:rsid w:val="00D12B6D"/>
    <w:rsid w:val="00D23D28"/>
    <w:rsid w:val="00D30C7F"/>
    <w:rsid w:val="00D30DC5"/>
    <w:rsid w:val="00D333B0"/>
    <w:rsid w:val="00D33AE1"/>
    <w:rsid w:val="00D40398"/>
    <w:rsid w:val="00D44448"/>
    <w:rsid w:val="00D47256"/>
    <w:rsid w:val="00D5389A"/>
    <w:rsid w:val="00D606C7"/>
    <w:rsid w:val="00D63034"/>
    <w:rsid w:val="00D6480B"/>
    <w:rsid w:val="00D64BAE"/>
    <w:rsid w:val="00D654AF"/>
    <w:rsid w:val="00D6668E"/>
    <w:rsid w:val="00D72EF8"/>
    <w:rsid w:val="00D807E0"/>
    <w:rsid w:val="00D815BA"/>
    <w:rsid w:val="00D90D69"/>
    <w:rsid w:val="00D973EC"/>
    <w:rsid w:val="00D978CC"/>
    <w:rsid w:val="00DA05DF"/>
    <w:rsid w:val="00DA36AE"/>
    <w:rsid w:val="00DA52BB"/>
    <w:rsid w:val="00DA6610"/>
    <w:rsid w:val="00DC1A51"/>
    <w:rsid w:val="00DC5A3C"/>
    <w:rsid w:val="00DD4D9A"/>
    <w:rsid w:val="00DD51DA"/>
    <w:rsid w:val="00DD53CB"/>
    <w:rsid w:val="00DD71C6"/>
    <w:rsid w:val="00DD73FC"/>
    <w:rsid w:val="00DE0F00"/>
    <w:rsid w:val="00DE314E"/>
    <w:rsid w:val="00DE5834"/>
    <w:rsid w:val="00DE62D3"/>
    <w:rsid w:val="00DF4BCB"/>
    <w:rsid w:val="00DF4D2D"/>
    <w:rsid w:val="00DF7EB9"/>
    <w:rsid w:val="00E00931"/>
    <w:rsid w:val="00E02215"/>
    <w:rsid w:val="00E03175"/>
    <w:rsid w:val="00E05A61"/>
    <w:rsid w:val="00E1222A"/>
    <w:rsid w:val="00E12DED"/>
    <w:rsid w:val="00E21E32"/>
    <w:rsid w:val="00E22C19"/>
    <w:rsid w:val="00E242F1"/>
    <w:rsid w:val="00E258FB"/>
    <w:rsid w:val="00E27605"/>
    <w:rsid w:val="00E30C73"/>
    <w:rsid w:val="00E33D08"/>
    <w:rsid w:val="00E34490"/>
    <w:rsid w:val="00E34C80"/>
    <w:rsid w:val="00E35482"/>
    <w:rsid w:val="00E36639"/>
    <w:rsid w:val="00E36909"/>
    <w:rsid w:val="00E407E5"/>
    <w:rsid w:val="00E44BB5"/>
    <w:rsid w:val="00E454E4"/>
    <w:rsid w:val="00E456DB"/>
    <w:rsid w:val="00E57234"/>
    <w:rsid w:val="00E619E8"/>
    <w:rsid w:val="00E64869"/>
    <w:rsid w:val="00E657F6"/>
    <w:rsid w:val="00E65A9A"/>
    <w:rsid w:val="00E67127"/>
    <w:rsid w:val="00E7160B"/>
    <w:rsid w:val="00E716EB"/>
    <w:rsid w:val="00E71C07"/>
    <w:rsid w:val="00E728FA"/>
    <w:rsid w:val="00E7533D"/>
    <w:rsid w:val="00E8058B"/>
    <w:rsid w:val="00E80DC1"/>
    <w:rsid w:val="00E84DF1"/>
    <w:rsid w:val="00E85581"/>
    <w:rsid w:val="00E87301"/>
    <w:rsid w:val="00E91E14"/>
    <w:rsid w:val="00EA0E8C"/>
    <w:rsid w:val="00EA5EF4"/>
    <w:rsid w:val="00EA6C23"/>
    <w:rsid w:val="00EB44A8"/>
    <w:rsid w:val="00EB4846"/>
    <w:rsid w:val="00EB6DA2"/>
    <w:rsid w:val="00EC19BB"/>
    <w:rsid w:val="00EC2931"/>
    <w:rsid w:val="00EC5419"/>
    <w:rsid w:val="00EC7CF9"/>
    <w:rsid w:val="00ED5315"/>
    <w:rsid w:val="00ED5934"/>
    <w:rsid w:val="00EE0826"/>
    <w:rsid w:val="00EE2652"/>
    <w:rsid w:val="00EE2653"/>
    <w:rsid w:val="00EE2683"/>
    <w:rsid w:val="00EE2A89"/>
    <w:rsid w:val="00EE2FA5"/>
    <w:rsid w:val="00EE3E8F"/>
    <w:rsid w:val="00EE5E3D"/>
    <w:rsid w:val="00EF26D7"/>
    <w:rsid w:val="00EF285E"/>
    <w:rsid w:val="00F0058D"/>
    <w:rsid w:val="00F02D94"/>
    <w:rsid w:val="00F0433E"/>
    <w:rsid w:val="00F05815"/>
    <w:rsid w:val="00F07259"/>
    <w:rsid w:val="00F10476"/>
    <w:rsid w:val="00F10548"/>
    <w:rsid w:val="00F14416"/>
    <w:rsid w:val="00F17D42"/>
    <w:rsid w:val="00F20AA3"/>
    <w:rsid w:val="00F22402"/>
    <w:rsid w:val="00F2374B"/>
    <w:rsid w:val="00F247F7"/>
    <w:rsid w:val="00F26921"/>
    <w:rsid w:val="00F278CB"/>
    <w:rsid w:val="00F352AF"/>
    <w:rsid w:val="00F35D2E"/>
    <w:rsid w:val="00F4097E"/>
    <w:rsid w:val="00F418F2"/>
    <w:rsid w:val="00F427D1"/>
    <w:rsid w:val="00F43304"/>
    <w:rsid w:val="00F46E2C"/>
    <w:rsid w:val="00F47093"/>
    <w:rsid w:val="00F47286"/>
    <w:rsid w:val="00F53354"/>
    <w:rsid w:val="00F53CBE"/>
    <w:rsid w:val="00F5667B"/>
    <w:rsid w:val="00F57565"/>
    <w:rsid w:val="00F64908"/>
    <w:rsid w:val="00F700A8"/>
    <w:rsid w:val="00F75883"/>
    <w:rsid w:val="00F8132E"/>
    <w:rsid w:val="00F83D4A"/>
    <w:rsid w:val="00F83D94"/>
    <w:rsid w:val="00F86B65"/>
    <w:rsid w:val="00F92269"/>
    <w:rsid w:val="00F939CD"/>
    <w:rsid w:val="00F94885"/>
    <w:rsid w:val="00F948B3"/>
    <w:rsid w:val="00F97906"/>
    <w:rsid w:val="00FA6026"/>
    <w:rsid w:val="00FB6D55"/>
    <w:rsid w:val="00FC2750"/>
    <w:rsid w:val="00FC4186"/>
    <w:rsid w:val="00FC5748"/>
    <w:rsid w:val="00FC5A68"/>
    <w:rsid w:val="00FD036C"/>
    <w:rsid w:val="00FD3109"/>
    <w:rsid w:val="00FD33F2"/>
    <w:rsid w:val="00FD39FC"/>
    <w:rsid w:val="00FD3EB9"/>
    <w:rsid w:val="00FD4758"/>
    <w:rsid w:val="00FD77DF"/>
    <w:rsid w:val="00FF30D1"/>
    <w:rsid w:val="00FF3BB0"/>
    <w:rsid w:val="00FF5715"/>
    <w:rsid w:val="00FF614B"/>
    <w:rsid w:val="00FF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42FAE"/>
  <w15:docId w15:val="{DFBFDE9D-3C3F-4BA9-94FD-195F71D9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63F"/>
    <w:pPr>
      <w:spacing w:before="240" w:after="240"/>
    </w:pPr>
    <w:rPr>
      <w:rFonts w:ascii="Times New Roman" w:hAnsi="Times New Roman"/>
      <w:sz w:val="24"/>
    </w:rPr>
  </w:style>
  <w:style w:type="paragraph" w:styleId="Heading1">
    <w:name w:val="heading 1"/>
    <w:basedOn w:val="Normal"/>
    <w:next w:val="Normal"/>
    <w:link w:val="Heading1Char"/>
    <w:uiPriority w:val="9"/>
    <w:qFormat/>
    <w:rsid w:val="001757D9"/>
    <w:pPr>
      <w:keepNext/>
      <w:keepLines/>
      <w:jc w:val="center"/>
      <w:outlineLvl w:val="0"/>
    </w:pPr>
    <w:rPr>
      <w:rFonts w:eastAsiaTheme="majorEastAsia" w:cstheme="majorBidi"/>
      <w:szCs w:val="32"/>
      <w:u w:val="single"/>
    </w:rPr>
  </w:style>
  <w:style w:type="paragraph" w:styleId="Heading2">
    <w:name w:val="heading 2"/>
    <w:basedOn w:val="Normal"/>
    <w:next w:val="Normal"/>
    <w:link w:val="Heading2Char"/>
    <w:uiPriority w:val="9"/>
    <w:unhideWhenUsed/>
    <w:qFormat/>
    <w:rsid w:val="00431774"/>
    <w:pPr>
      <w:keepNext/>
      <w:keepLines/>
      <w:spacing w:before="28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56848"/>
    <w:pPr>
      <w:keepNext/>
      <w:keepLines/>
      <w:spacing w:before="280"/>
      <w:outlineLvl w:val="2"/>
    </w:pPr>
    <w:rPr>
      <w:rFonts w:eastAsiaTheme="majorEastAsia" w:cstheme="majorBidi"/>
      <w:b/>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7D9"/>
    <w:rPr>
      <w:rFonts w:ascii="Times New Roman" w:eastAsiaTheme="majorEastAsia" w:hAnsi="Times New Roman" w:cstheme="majorBidi"/>
      <w:sz w:val="24"/>
      <w:szCs w:val="32"/>
      <w:u w:val="single"/>
    </w:rPr>
  </w:style>
  <w:style w:type="character" w:customStyle="1" w:styleId="Heading2Char">
    <w:name w:val="Heading 2 Char"/>
    <w:basedOn w:val="DefaultParagraphFont"/>
    <w:link w:val="Heading2"/>
    <w:uiPriority w:val="9"/>
    <w:rsid w:val="00431774"/>
    <w:rPr>
      <w:rFonts w:ascii="Times New Roman" w:eastAsiaTheme="majorEastAsia" w:hAnsi="Times New Roman" w:cstheme="majorBidi"/>
      <w:b/>
      <w:sz w:val="24"/>
      <w:szCs w:val="26"/>
    </w:rPr>
  </w:style>
  <w:style w:type="table" w:styleId="TableGrid">
    <w:name w:val="Table Grid"/>
    <w:basedOn w:val="TableNormal"/>
    <w:uiPriority w:val="39"/>
    <w:rsid w:val="00E57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7234"/>
    <w:rPr>
      <w:sz w:val="16"/>
      <w:szCs w:val="16"/>
    </w:rPr>
  </w:style>
  <w:style w:type="paragraph" w:styleId="CommentText">
    <w:name w:val="annotation text"/>
    <w:basedOn w:val="Normal"/>
    <w:link w:val="CommentTextChar"/>
    <w:uiPriority w:val="99"/>
    <w:semiHidden/>
    <w:unhideWhenUsed/>
    <w:rsid w:val="00E57234"/>
    <w:pPr>
      <w:spacing w:line="240" w:lineRule="auto"/>
    </w:pPr>
    <w:rPr>
      <w:sz w:val="20"/>
      <w:szCs w:val="20"/>
    </w:rPr>
  </w:style>
  <w:style w:type="character" w:customStyle="1" w:styleId="CommentTextChar">
    <w:name w:val="Comment Text Char"/>
    <w:basedOn w:val="DefaultParagraphFont"/>
    <w:link w:val="CommentText"/>
    <w:uiPriority w:val="99"/>
    <w:semiHidden/>
    <w:rsid w:val="00E57234"/>
    <w:rPr>
      <w:sz w:val="20"/>
      <w:szCs w:val="20"/>
    </w:rPr>
  </w:style>
  <w:style w:type="paragraph" w:styleId="BalloonText">
    <w:name w:val="Balloon Text"/>
    <w:basedOn w:val="Normal"/>
    <w:link w:val="BalloonTextChar"/>
    <w:uiPriority w:val="99"/>
    <w:semiHidden/>
    <w:unhideWhenUsed/>
    <w:rsid w:val="00E57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234"/>
    <w:rPr>
      <w:rFonts w:ascii="Segoe UI" w:hAnsi="Segoe UI" w:cs="Segoe UI"/>
      <w:sz w:val="18"/>
      <w:szCs w:val="18"/>
    </w:rPr>
  </w:style>
  <w:style w:type="paragraph" w:styleId="Header">
    <w:name w:val="header"/>
    <w:basedOn w:val="Normal"/>
    <w:link w:val="HeaderChar"/>
    <w:uiPriority w:val="99"/>
    <w:unhideWhenUsed/>
    <w:rsid w:val="00E57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234"/>
  </w:style>
  <w:style w:type="paragraph" w:styleId="Footer">
    <w:name w:val="footer"/>
    <w:basedOn w:val="Normal"/>
    <w:link w:val="FooterChar"/>
    <w:uiPriority w:val="99"/>
    <w:unhideWhenUsed/>
    <w:rsid w:val="00E57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234"/>
  </w:style>
  <w:style w:type="character" w:customStyle="1" w:styleId="singlehighlightclass">
    <w:name w:val="single_highlight_class"/>
    <w:basedOn w:val="DefaultParagraphFont"/>
    <w:rsid w:val="00E57234"/>
  </w:style>
  <w:style w:type="character" w:styleId="Hyperlink">
    <w:name w:val="Hyperlink"/>
    <w:basedOn w:val="DefaultParagraphFont"/>
    <w:uiPriority w:val="99"/>
    <w:unhideWhenUsed/>
    <w:rsid w:val="00E57234"/>
    <w:rPr>
      <w:color w:val="0563C1" w:themeColor="hyperlink"/>
      <w:u w:val="single"/>
    </w:rPr>
  </w:style>
  <w:style w:type="character" w:customStyle="1" w:styleId="UnresolvedMention1">
    <w:name w:val="Unresolved Mention1"/>
    <w:basedOn w:val="DefaultParagraphFont"/>
    <w:uiPriority w:val="99"/>
    <w:semiHidden/>
    <w:unhideWhenUsed/>
    <w:rsid w:val="00E57234"/>
    <w:rPr>
      <w:color w:val="808080"/>
      <w:shd w:val="clear" w:color="auto" w:fill="E6E6E6"/>
    </w:rPr>
  </w:style>
  <w:style w:type="table" w:customStyle="1" w:styleId="TableGrid1">
    <w:name w:val="Table Grid1"/>
    <w:basedOn w:val="TableNormal"/>
    <w:next w:val="TableGrid"/>
    <w:uiPriority w:val="39"/>
    <w:rsid w:val="00E57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57234"/>
    <w:rPr>
      <w:b/>
      <w:bCs/>
    </w:rPr>
  </w:style>
  <w:style w:type="character" w:customStyle="1" w:styleId="CommentSubjectChar">
    <w:name w:val="Comment Subject Char"/>
    <w:basedOn w:val="CommentTextChar"/>
    <w:link w:val="CommentSubject"/>
    <w:uiPriority w:val="99"/>
    <w:semiHidden/>
    <w:rsid w:val="00E57234"/>
    <w:rPr>
      <w:b/>
      <w:bCs/>
      <w:sz w:val="20"/>
      <w:szCs w:val="20"/>
    </w:rPr>
  </w:style>
  <w:style w:type="paragraph" w:styleId="Revision">
    <w:name w:val="Revision"/>
    <w:hidden/>
    <w:uiPriority w:val="99"/>
    <w:semiHidden/>
    <w:rsid w:val="00E57234"/>
    <w:pPr>
      <w:spacing w:after="0" w:line="240" w:lineRule="auto"/>
    </w:pPr>
  </w:style>
  <w:style w:type="paragraph" w:styleId="ListParagraph">
    <w:name w:val="List Paragraph"/>
    <w:basedOn w:val="Normal"/>
    <w:uiPriority w:val="34"/>
    <w:qFormat/>
    <w:rsid w:val="00E57234"/>
    <w:pPr>
      <w:spacing w:after="200" w:line="276" w:lineRule="auto"/>
      <w:ind w:left="720"/>
      <w:contextualSpacing/>
    </w:pPr>
    <w:rPr>
      <w:noProof/>
    </w:rPr>
  </w:style>
  <w:style w:type="character" w:customStyle="1" w:styleId="UnresolvedMention2">
    <w:name w:val="Unresolved Mention2"/>
    <w:basedOn w:val="DefaultParagraphFont"/>
    <w:uiPriority w:val="99"/>
    <w:semiHidden/>
    <w:unhideWhenUsed/>
    <w:rsid w:val="00E57234"/>
    <w:rPr>
      <w:color w:val="605E5C"/>
      <w:shd w:val="clear" w:color="auto" w:fill="E1DFDD"/>
    </w:rPr>
  </w:style>
  <w:style w:type="character" w:styleId="LineNumber">
    <w:name w:val="line number"/>
    <w:basedOn w:val="DefaultParagraphFont"/>
    <w:uiPriority w:val="99"/>
    <w:unhideWhenUsed/>
    <w:rsid w:val="00E57234"/>
    <w:rPr>
      <w:rFonts w:ascii="Times New Roman" w:hAnsi="Times New Roman"/>
      <w:sz w:val="24"/>
    </w:rPr>
  </w:style>
  <w:style w:type="character" w:customStyle="1" w:styleId="UnresolvedMention3">
    <w:name w:val="Unresolved Mention3"/>
    <w:basedOn w:val="DefaultParagraphFont"/>
    <w:uiPriority w:val="99"/>
    <w:semiHidden/>
    <w:unhideWhenUsed/>
    <w:rsid w:val="00E57234"/>
    <w:rPr>
      <w:color w:val="605E5C"/>
      <w:shd w:val="clear" w:color="auto" w:fill="E1DFDD"/>
    </w:rPr>
  </w:style>
  <w:style w:type="character" w:customStyle="1" w:styleId="Heading3Char">
    <w:name w:val="Heading 3 Char"/>
    <w:basedOn w:val="DefaultParagraphFont"/>
    <w:link w:val="Heading3"/>
    <w:uiPriority w:val="9"/>
    <w:rsid w:val="00056848"/>
    <w:rPr>
      <w:rFonts w:ascii="Times New Roman" w:eastAsiaTheme="majorEastAsia" w:hAnsi="Times New Roman" w:cstheme="majorBidi"/>
      <w:b/>
      <w:i/>
      <w:color w:val="000000" w:themeColor="text1"/>
      <w:sz w:val="24"/>
      <w:szCs w:val="24"/>
    </w:rPr>
  </w:style>
  <w:style w:type="character" w:customStyle="1" w:styleId="doilink">
    <w:name w:val="doi_link"/>
    <w:basedOn w:val="DefaultParagraphFont"/>
    <w:rsid w:val="00F02D94"/>
  </w:style>
  <w:style w:type="character" w:styleId="FollowedHyperlink">
    <w:name w:val="FollowedHyperlink"/>
    <w:basedOn w:val="DefaultParagraphFont"/>
    <w:uiPriority w:val="99"/>
    <w:semiHidden/>
    <w:unhideWhenUsed/>
    <w:rsid w:val="00F02D94"/>
    <w:rPr>
      <w:color w:val="954F72" w:themeColor="followedHyperlink"/>
      <w:u w:val="single"/>
    </w:rPr>
  </w:style>
  <w:style w:type="paragraph" w:styleId="NoSpacing">
    <w:name w:val="No Spacing"/>
    <w:uiPriority w:val="1"/>
    <w:qFormat/>
    <w:rsid w:val="00056848"/>
    <w:pPr>
      <w:spacing w:after="0" w:line="240" w:lineRule="auto"/>
    </w:pPr>
    <w:rPr>
      <w:rFonts w:ascii="Times New Roman" w:hAnsi="Times New Roman"/>
      <w:sz w:val="24"/>
    </w:rPr>
  </w:style>
  <w:style w:type="character" w:customStyle="1" w:styleId="UnresolvedMention4">
    <w:name w:val="Unresolved Mention4"/>
    <w:basedOn w:val="DefaultParagraphFont"/>
    <w:uiPriority w:val="99"/>
    <w:semiHidden/>
    <w:unhideWhenUsed/>
    <w:rsid w:val="00E34490"/>
    <w:rPr>
      <w:color w:val="605E5C"/>
      <w:shd w:val="clear" w:color="auto" w:fill="E1DFDD"/>
    </w:rPr>
  </w:style>
  <w:style w:type="character" w:customStyle="1" w:styleId="UnresolvedMention5">
    <w:name w:val="Unresolved Mention5"/>
    <w:basedOn w:val="DefaultParagraphFont"/>
    <w:uiPriority w:val="99"/>
    <w:semiHidden/>
    <w:unhideWhenUsed/>
    <w:rsid w:val="001146B6"/>
    <w:rPr>
      <w:color w:val="605E5C"/>
      <w:shd w:val="clear" w:color="auto" w:fill="E1DFDD"/>
    </w:rPr>
  </w:style>
  <w:style w:type="character" w:customStyle="1" w:styleId="UnresolvedMention6">
    <w:name w:val="Unresolved Mention6"/>
    <w:basedOn w:val="DefaultParagraphFont"/>
    <w:uiPriority w:val="99"/>
    <w:semiHidden/>
    <w:unhideWhenUsed/>
    <w:rsid w:val="003435F0"/>
    <w:rPr>
      <w:color w:val="605E5C"/>
      <w:shd w:val="clear" w:color="auto" w:fill="E1DFDD"/>
    </w:rPr>
  </w:style>
  <w:style w:type="table" w:customStyle="1" w:styleId="TableGrid11">
    <w:name w:val="Table Grid11"/>
    <w:basedOn w:val="TableNormal"/>
    <w:next w:val="TableGrid"/>
    <w:uiPriority w:val="39"/>
    <w:rsid w:val="00684E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7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76464-B9C6-4B0E-B4B3-48AE7476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8337</Words>
  <Characters>47525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Manchester United Football Club Limited</Company>
  <LinksUpToDate>false</LinksUpToDate>
  <CharactersWithSpaces>55751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Pocock</dc:creator>
  <cp:lastModifiedBy>Chris Pocock</cp:lastModifiedBy>
  <cp:revision>2</cp:revision>
  <cp:lastPrinted>2020-05-01T13:36:00Z</cp:lastPrinted>
  <dcterms:created xsi:type="dcterms:W3CDTF">2022-09-07T09:27:00Z</dcterms:created>
  <dcterms:modified xsi:type="dcterms:W3CDTF">2022-09-07T09:27:00Z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d05f1cb6-a5e5-350e-a940-a8900bde1038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