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63605" w14:textId="77777777" w:rsidR="00E630DF" w:rsidRDefault="00E630DF" w:rsidP="00E630DF">
      <w:pPr>
        <w:rPr>
          <w:rFonts w:cs="Courier New"/>
          <w:lang w:val="en-GB"/>
        </w:rPr>
      </w:pPr>
      <w:r w:rsidRPr="00096BAF">
        <w:rPr>
          <w:rFonts w:cs="Courier New"/>
          <w:i/>
          <w:lang w:val="en-GB"/>
        </w:rPr>
        <w:t>Dances on Street Corners,</w:t>
      </w:r>
      <w:r>
        <w:rPr>
          <w:rFonts w:cs="Courier New"/>
          <w:lang w:val="en-GB"/>
        </w:rPr>
        <w:t xml:space="preserve"> is the title for my new, outdoor solo, dance work. The title</w:t>
      </w:r>
      <w:r w:rsidRPr="00096BAF">
        <w:rPr>
          <w:rFonts w:cs="Courier New"/>
          <w:lang w:val="en-GB"/>
        </w:rPr>
        <w:t xml:space="preserve"> presents a metaphor for exploration into how choreography can be used to capture the relationship between prescribed, and un-prescribed images within the context of live out door dance performance.</w:t>
      </w:r>
      <w:r>
        <w:rPr>
          <w:rFonts w:cs="Courier New"/>
          <w:lang w:val="en-GB"/>
        </w:rPr>
        <w:t xml:space="preserve"> </w:t>
      </w:r>
    </w:p>
    <w:p w14:paraId="56A30BBF" w14:textId="77777777" w:rsidR="00E630DF" w:rsidRPr="00096BAF" w:rsidRDefault="00E630DF" w:rsidP="00E630DF">
      <w:pPr>
        <w:rPr>
          <w:rFonts w:ascii="Courier New" w:hAnsi="Courier New" w:cs="Courier New"/>
          <w:sz w:val="22"/>
          <w:szCs w:val="22"/>
          <w:lang w:val="en-GB"/>
        </w:rPr>
      </w:pPr>
      <w:r>
        <w:rPr>
          <w:rFonts w:eastAsia="Calibri" w:cs="Calibri"/>
          <w:lang w:val="en-GB"/>
        </w:rPr>
        <w:t>The dance</w:t>
      </w:r>
      <w:r>
        <w:rPr>
          <w:rFonts w:eastAsia="Calibri" w:cs="Calibri"/>
          <w:lang w:val="en-GB"/>
        </w:rPr>
        <w:t xml:space="preserve"> critiques the relationship between bodies, space, audience participation, and choreographic languages, and responds to the provocation that performing in outdoor places is a transgressive act that ‘can be subversive, and suggest ways of rethinking subjectivity’ (</w:t>
      </w:r>
      <w:proofErr w:type="spellStart"/>
      <w:r>
        <w:rPr>
          <w:rFonts w:eastAsia="Calibri" w:cs="Calibri"/>
          <w:lang w:val="en-GB"/>
        </w:rPr>
        <w:t>Briginshaw</w:t>
      </w:r>
      <w:proofErr w:type="spellEnd"/>
      <w:r>
        <w:rPr>
          <w:rFonts w:eastAsia="Calibri" w:cs="Calibri"/>
          <w:lang w:val="en-GB"/>
        </w:rPr>
        <w:t>, 2001).</w:t>
      </w:r>
      <w:r w:rsidRPr="00204D20">
        <w:rPr>
          <w:rFonts w:eastAsia="Calibri" w:cs="Calibri"/>
          <w:lang w:val="en-GB"/>
        </w:rPr>
        <w:t xml:space="preserve"> </w:t>
      </w:r>
    </w:p>
    <w:p w14:paraId="4806857D" w14:textId="77777777" w:rsidR="00E630DF" w:rsidRDefault="00E630DF" w:rsidP="00E630DF">
      <w:pPr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Drawing on a my past</w:t>
      </w:r>
      <w:r>
        <w:rPr>
          <w:rFonts w:eastAsia="Calibri" w:cs="Calibri"/>
          <w:lang w:val="en-GB"/>
        </w:rPr>
        <w:t xml:space="preserve"> choreographic practice for non-theatre spaces, (The </w:t>
      </w:r>
      <w:proofErr w:type="spellStart"/>
      <w:r>
        <w:rPr>
          <w:rFonts w:eastAsia="Calibri" w:cs="Calibri"/>
          <w:lang w:val="en-GB"/>
        </w:rPr>
        <w:t>Ric</w:t>
      </w:r>
      <w:proofErr w:type="spellEnd"/>
      <w:r>
        <w:rPr>
          <w:rFonts w:eastAsia="Calibri" w:cs="Calibri"/>
          <w:lang w:val="en-GB"/>
        </w:rPr>
        <w:t xml:space="preserve">, </w:t>
      </w:r>
      <w:proofErr w:type="spellStart"/>
      <w:r>
        <w:rPr>
          <w:rFonts w:eastAsia="Calibri" w:cs="Calibri"/>
          <w:lang w:val="en-GB"/>
        </w:rPr>
        <w:t>Dic</w:t>
      </w:r>
      <w:proofErr w:type="spellEnd"/>
      <w:r>
        <w:rPr>
          <w:rFonts w:eastAsia="Calibri" w:cs="Calibri"/>
          <w:lang w:val="en-GB"/>
        </w:rPr>
        <w:t xml:space="preserve"> and Vic Show 2009, The Original Pedestrian 2010, and Bicycle Ballet Mass Touring show 2006 - 16)and, a now well-established European tradition of performance making for outside spaces, the piece investigates how choreographic compositional practice can represent an </w:t>
      </w:r>
      <w:r w:rsidRPr="00365392">
        <w:rPr>
          <w:rFonts w:eastAsia="Calibri" w:cs="Calibri"/>
          <w:lang w:val="en-GB"/>
        </w:rPr>
        <w:t>understanding of</w:t>
      </w:r>
      <w:r>
        <w:rPr>
          <w:rFonts w:eastAsia="Calibri" w:cs="Calibri"/>
          <w:lang w:val="en-GB"/>
        </w:rPr>
        <w:t xml:space="preserve"> </w:t>
      </w:r>
      <w:r w:rsidRPr="00365392">
        <w:rPr>
          <w:rFonts w:eastAsia="Calibri" w:cs="Calibri"/>
          <w:lang w:val="en-GB"/>
        </w:rPr>
        <w:t>’(a)</w:t>
      </w:r>
      <w:proofErr w:type="spellStart"/>
      <w:r w:rsidRPr="00365392">
        <w:rPr>
          <w:rFonts w:eastAsia="Calibri" w:cs="Calibri"/>
          <w:lang w:val="en-GB"/>
        </w:rPr>
        <w:t>lternative</w:t>
      </w:r>
      <w:proofErr w:type="spellEnd"/>
      <w:r>
        <w:rPr>
          <w:rFonts w:eastAsia="Calibri" w:cs="Calibri"/>
          <w:lang w:val="en-GB"/>
        </w:rPr>
        <w:t xml:space="preserve"> ways of perceiving, responding and existing in the world, in public and with one another’ (</w:t>
      </w:r>
      <w:proofErr w:type="spellStart"/>
      <w:r>
        <w:rPr>
          <w:rFonts w:eastAsia="Calibri" w:cs="Calibri"/>
          <w:lang w:val="en-GB"/>
        </w:rPr>
        <w:t>Beringa</w:t>
      </w:r>
      <w:proofErr w:type="spellEnd"/>
      <w:r>
        <w:rPr>
          <w:rFonts w:eastAsia="Calibri" w:cs="Calibri"/>
          <w:lang w:val="en-GB"/>
        </w:rPr>
        <w:t xml:space="preserve"> and Ramstad 2009, quoted by </w:t>
      </w:r>
      <w:proofErr w:type="spellStart"/>
      <w:r>
        <w:rPr>
          <w:rFonts w:eastAsia="Calibri" w:cs="Calibri"/>
          <w:lang w:val="en-GB"/>
        </w:rPr>
        <w:t>Somdahl</w:t>
      </w:r>
      <w:proofErr w:type="spellEnd"/>
      <w:r>
        <w:rPr>
          <w:rFonts w:eastAsia="Calibri" w:cs="Calibri"/>
          <w:lang w:val="en-GB"/>
        </w:rPr>
        <w:t xml:space="preserve"> – Sands 2015). </w:t>
      </w:r>
    </w:p>
    <w:p w14:paraId="3D3BE3DA" w14:textId="77777777" w:rsidR="00E630DF" w:rsidRDefault="00E630DF" w:rsidP="00E630DF">
      <w:pPr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 xml:space="preserve">The performance represents </w:t>
      </w:r>
      <w:r>
        <w:rPr>
          <w:rFonts w:eastAsia="Calibri" w:cs="Calibri"/>
          <w:lang w:val="en-GB"/>
        </w:rPr>
        <w:t xml:space="preserve">an innovative investigation into how dance composition and performance for non-theatre settings can be used to; </w:t>
      </w:r>
    </w:p>
    <w:p w14:paraId="3DA0FB10" w14:textId="77777777" w:rsidR="00E630DF" w:rsidRPr="00096BAF" w:rsidRDefault="00E630DF" w:rsidP="00E630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 w:themeColor="text1"/>
        </w:rPr>
      </w:pPr>
      <w:r w:rsidRPr="00096BAF">
        <w:rPr>
          <w:rFonts w:eastAsia="Calibri" w:cs="Calibri"/>
          <w:lang w:val="en-GB"/>
        </w:rPr>
        <w:t>Disrupt and reconfigure inside/outside, performer/audience binaries by immersing the audience- participants into the theatrical ‘encounter’ (</w:t>
      </w:r>
      <w:proofErr w:type="spellStart"/>
      <w:r w:rsidRPr="00096BAF">
        <w:rPr>
          <w:rFonts w:eastAsia="Calibri" w:cs="Calibri"/>
          <w:lang w:val="en-GB"/>
        </w:rPr>
        <w:t>Machon</w:t>
      </w:r>
      <w:proofErr w:type="spellEnd"/>
      <w:r w:rsidRPr="00096BAF">
        <w:rPr>
          <w:rFonts w:eastAsia="Calibri" w:cs="Calibri"/>
          <w:lang w:val="en-GB"/>
        </w:rPr>
        <w:t>, 2013).</w:t>
      </w:r>
    </w:p>
    <w:p w14:paraId="63CC589F" w14:textId="77777777" w:rsidR="00E630DF" w:rsidRPr="00096BAF" w:rsidRDefault="00E630DF" w:rsidP="00E630DF">
      <w:pPr>
        <w:pStyle w:val="ListParagraph"/>
        <w:numPr>
          <w:ilvl w:val="0"/>
          <w:numId w:val="1"/>
        </w:numPr>
        <w:rPr>
          <w:rFonts w:eastAsia="Calibri" w:cs="Calibri"/>
          <w:u w:val="single"/>
          <w:lang w:val="en-GB"/>
        </w:rPr>
      </w:pPr>
      <w:r w:rsidRPr="00096BAF">
        <w:rPr>
          <w:rFonts w:eastAsia="Calibri" w:cs="Calibri"/>
          <w:lang w:val="en-GB"/>
        </w:rPr>
        <w:t xml:space="preserve">Generate an aesthetics language that </w:t>
      </w:r>
      <w:r w:rsidRPr="00096BAF">
        <w:rPr>
          <w:rFonts w:eastAsia="Calibri" w:cs="Arial Hebrew"/>
          <w:color w:val="000000" w:themeColor="text1"/>
          <w:lang w:val="en-GB"/>
        </w:rPr>
        <w:t>engages with ‘</w:t>
      </w:r>
      <w:r w:rsidRPr="00096BAF">
        <w:rPr>
          <w:rFonts w:eastAsia="Calibri" w:cs="Calibri"/>
          <w:color w:val="000000" w:themeColor="text1"/>
          <w:lang w:val="en-GB"/>
        </w:rPr>
        <w:t>ways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of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telling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place</w:t>
      </w:r>
      <w:r w:rsidRPr="00096BAF">
        <w:rPr>
          <w:rFonts w:eastAsia="Calibri" w:cs="Arial Hebrew"/>
          <w:color w:val="000000" w:themeColor="text1"/>
          <w:lang w:val="en-GB"/>
        </w:rPr>
        <w:t>’</w:t>
      </w:r>
      <w:r w:rsidRPr="00096BAF">
        <w:rPr>
          <w:rFonts w:cs="Arial Hebrew"/>
          <w:color w:val="000000" w:themeColor="text1"/>
          <w:lang w:val="en-GB"/>
        </w:rPr>
        <w:t xml:space="preserve"> (</w:t>
      </w:r>
      <w:proofErr w:type="spellStart"/>
      <w:r w:rsidRPr="00096BAF">
        <w:rPr>
          <w:rFonts w:cs="Arial Hebrew"/>
          <w:color w:val="000000" w:themeColor="text1"/>
          <w:lang w:val="en-GB"/>
        </w:rPr>
        <w:t>Holdsworth</w:t>
      </w:r>
      <w:proofErr w:type="spellEnd"/>
      <w:r w:rsidRPr="00096BAF">
        <w:rPr>
          <w:rFonts w:cs="Arial Hebrew"/>
          <w:color w:val="000000" w:themeColor="text1"/>
          <w:lang w:val="en-GB"/>
        </w:rPr>
        <w:t xml:space="preserve"> in </w:t>
      </w:r>
      <w:proofErr w:type="spellStart"/>
      <w:r w:rsidRPr="00096BAF">
        <w:rPr>
          <w:rFonts w:eastAsia="Calibri" w:cs="Calibri"/>
          <w:color w:val="000000" w:themeColor="text1"/>
          <w:lang w:val="en-GB"/>
        </w:rPr>
        <w:t>Machon</w:t>
      </w:r>
      <w:proofErr w:type="spellEnd"/>
      <w:r w:rsidRPr="00096BAF">
        <w:rPr>
          <w:rFonts w:eastAsia="Calibri" w:cs="Calibri"/>
          <w:color w:val="000000" w:themeColor="text1"/>
          <w:lang w:val="en-GB"/>
        </w:rPr>
        <w:t xml:space="preserve"> 2013</w:t>
      </w:r>
      <w:r w:rsidRPr="00096BAF">
        <w:rPr>
          <w:rFonts w:cs="Arial Hebrew"/>
          <w:color w:val="000000" w:themeColor="text1"/>
          <w:lang w:val="en-GB"/>
        </w:rPr>
        <w:t xml:space="preserve">) </w:t>
      </w:r>
      <w:r w:rsidRPr="00096BAF">
        <w:rPr>
          <w:rFonts w:eastAsia="Calibri" w:cs="Calibri"/>
          <w:color w:val="000000" w:themeColor="text1"/>
          <w:lang w:val="en-GB"/>
        </w:rPr>
        <w:t>that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include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the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view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of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the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body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as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Arial Hebrew"/>
          <w:color w:val="000000" w:themeColor="text1"/>
          <w:lang w:val="en-GB"/>
        </w:rPr>
        <w:t>‘</w:t>
      </w:r>
      <w:r w:rsidRPr="00096BAF">
        <w:rPr>
          <w:rFonts w:eastAsia="Calibri" w:cs="Calibri"/>
          <w:color w:val="000000" w:themeColor="text1"/>
          <w:lang w:val="en-GB"/>
        </w:rPr>
        <w:t>continuous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with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place</w:t>
      </w:r>
      <w:r w:rsidRPr="00096BAF">
        <w:rPr>
          <w:rFonts w:eastAsia="Calibri" w:cs="Arial Hebrew"/>
          <w:color w:val="000000" w:themeColor="text1"/>
          <w:lang w:val="en-GB"/>
        </w:rPr>
        <w:t>,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and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belongs(</w:t>
      </w:r>
      <w:proofErr w:type="spellStart"/>
      <w:r w:rsidRPr="00096BAF">
        <w:rPr>
          <w:rFonts w:eastAsia="Calibri" w:cs="Calibri"/>
          <w:color w:val="000000" w:themeColor="text1"/>
          <w:lang w:val="en-GB"/>
        </w:rPr>
        <w:t>ing</w:t>
      </w:r>
      <w:proofErr w:type="spellEnd"/>
      <w:r w:rsidRPr="00096BAF">
        <w:rPr>
          <w:rFonts w:eastAsia="Calibri" w:cs="Calibri"/>
          <w:color w:val="000000" w:themeColor="text1"/>
          <w:lang w:val="en-GB"/>
        </w:rPr>
        <w:t>)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to</w:t>
      </w:r>
      <w:r w:rsidRPr="00096BAF">
        <w:rPr>
          <w:rFonts w:cs="Arial Hebrew"/>
          <w:color w:val="000000" w:themeColor="text1"/>
          <w:lang w:val="en-GB"/>
        </w:rPr>
        <w:t xml:space="preserve"> </w:t>
      </w:r>
      <w:r w:rsidRPr="00096BAF">
        <w:rPr>
          <w:rFonts w:eastAsia="Calibri" w:cs="Calibri"/>
          <w:color w:val="000000" w:themeColor="text1"/>
          <w:lang w:val="en-GB"/>
        </w:rPr>
        <w:t>it</w:t>
      </w:r>
      <w:r w:rsidRPr="00096BAF">
        <w:rPr>
          <w:rFonts w:eastAsia="Calibri" w:cs="Arial Hebrew"/>
          <w:color w:val="000000" w:themeColor="text1"/>
          <w:lang w:val="en-GB"/>
        </w:rPr>
        <w:t>’</w:t>
      </w:r>
      <w:r w:rsidRPr="00096BAF">
        <w:rPr>
          <w:rFonts w:cs="Arial Hebrew"/>
          <w:color w:val="000000" w:themeColor="text1"/>
          <w:lang w:val="en-GB"/>
        </w:rPr>
        <w:t xml:space="preserve"> (</w:t>
      </w:r>
      <w:r w:rsidRPr="00096BAF">
        <w:rPr>
          <w:rFonts w:eastAsia="Calibri" w:cs="Calibri"/>
          <w:color w:val="000000" w:themeColor="text1"/>
          <w:lang w:val="en-GB"/>
        </w:rPr>
        <w:t>Brown. 2015</w:t>
      </w:r>
      <w:r w:rsidRPr="00096BAF">
        <w:rPr>
          <w:rFonts w:cs="Arial Hebrew"/>
          <w:color w:val="000000" w:themeColor="text1"/>
          <w:lang w:val="en-GB"/>
        </w:rPr>
        <w:t>),</w:t>
      </w:r>
      <w:r w:rsidRPr="00096BAF">
        <w:rPr>
          <w:rFonts w:eastAsia="Calibri" w:cs="Calibri"/>
          <w:u w:val="single"/>
          <w:lang w:val="en-GB"/>
        </w:rPr>
        <w:t xml:space="preserve"> </w:t>
      </w:r>
    </w:p>
    <w:p w14:paraId="3170B45D" w14:textId="77777777" w:rsidR="00E630DF" w:rsidRDefault="00E630DF" w:rsidP="00E630DF">
      <w:pPr>
        <w:pStyle w:val="ListParagraph"/>
        <w:numPr>
          <w:ilvl w:val="0"/>
          <w:numId w:val="1"/>
        </w:numPr>
        <w:rPr>
          <w:rFonts w:eastAsia="Calibri" w:cs="Calibri"/>
          <w:lang w:val="en-GB"/>
        </w:rPr>
      </w:pPr>
      <w:r w:rsidRPr="00096BAF">
        <w:rPr>
          <w:rFonts w:eastAsia="Calibri" w:cs="Calibri"/>
          <w:lang w:val="en-GB"/>
        </w:rPr>
        <w:t xml:space="preserve">Galvanise Communities of audience–participants by addressing questions of </w:t>
      </w:r>
      <w:r>
        <w:rPr>
          <w:rFonts w:eastAsia="Calibri" w:cs="Calibri"/>
          <w:lang w:val="en-GB"/>
        </w:rPr>
        <w:t xml:space="preserve">framing, </w:t>
      </w:r>
      <w:r w:rsidRPr="00096BAF">
        <w:rPr>
          <w:rFonts w:eastAsia="Calibri" w:cs="Calibri"/>
          <w:lang w:val="en-GB"/>
        </w:rPr>
        <w:t xml:space="preserve">spectatorship </w:t>
      </w:r>
      <w:r>
        <w:rPr>
          <w:rFonts w:eastAsia="Calibri" w:cs="Calibri"/>
          <w:lang w:val="en-GB"/>
        </w:rPr>
        <w:t>(Stewart in Hunter 2015)</w:t>
      </w:r>
      <w:r>
        <w:rPr>
          <w:rFonts w:eastAsia="Calibri" w:cs="Calibri"/>
          <w:lang w:val="en-GB"/>
        </w:rPr>
        <w:t xml:space="preserve"> </w:t>
      </w:r>
      <w:r w:rsidRPr="00096BAF">
        <w:rPr>
          <w:rFonts w:eastAsia="Calibri" w:cs="Calibri"/>
          <w:lang w:val="en-GB"/>
        </w:rPr>
        <w:t>and virtuosity.</w:t>
      </w:r>
    </w:p>
    <w:p w14:paraId="4BC41D24" w14:textId="77777777" w:rsidR="00D57E68" w:rsidRDefault="00D57E68"/>
    <w:p w14:paraId="3D9EC140" w14:textId="77777777" w:rsidR="00E630DF" w:rsidRDefault="00E630DF">
      <w:r>
        <w:t xml:space="preserve">Photographs @Otis </w:t>
      </w:r>
      <w:proofErr w:type="spellStart"/>
      <w:r>
        <w:t>Schorr</w:t>
      </w:r>
      <w:proofErr w:type="spellEnd"/>
      <w:r>
        <w:t xml:space="preserve">- </w:t>
      </w:r>
      <w:proofErr w:type="spellStart"/>
      <w:r>
        <w:t>Kon</w:t>
      </w:r>
      <w:proofErr w:type="spellEnd"/>
      <w:r>
        <w:t xml:space="preserve"> 2016. </w:t>
      </w:r>
    </w:p>
    <w:p w14:paraId="0E687F8E" w14:textId="77777777" w:rsidR="00E630DF" w:rsidRDefault="00E630DF">
      <w:r>
        <w:t>All photographs are the property of</w:t>
      </w:r>
      <w:bookmarkStart w:id="0" w:name="_GoBack"/>
      <w:bookmarkEnd w:id="0"/>
      <w:r>
        <w:t xml:space="preserve"> Virginia Farman</w:t>
      </w:r>
    </w:p>
    <w:sectPr w:rsidR="00E630DF" w:rsidSect="00B971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95905"/>
    <w:multiLevelType w:val="hybridMultilevel"/>
    <w:tmpl w:val="DC90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DF"/>
    <w:rsid w:val="00B97108"/>
    <w:rsid w:val="00D57E68"/>
    <w:rsid w:val="00E6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A3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Macintosh Word</Application>
  <DocSecurity>0</DocSecurity>
  <Lines>13</Lines>
  <Paragraphs>3</Paragraphs>
  <ScaleCrop>false</ScaleCrop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2016-10-25T13:39:00Z</dcterms:created>
  <dcterms:modified xsi:type="dcterms:W3CDTF">2016-10-25T13:41:00Z</dcterms:modified>
</cp:coreProperties>
</file>