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3E6EE" w14:textId="0C0EADCD" w:rsidR="002A52F6" w:rsidRDefault="00582777" w:rsidP="00582777">
      <w:pPr>
        <w:pStyle w:val="NormalWeb"/>
        <w:rPr>
          <w:rFonts w:ascii="PalatinoLinotype" w:hAnsi="PalatinoLinotype"/>
          <w:b/>
          <w:bCs/>
          <w:sz w:val="34"/>
          <w:szCs w:val="34"/>
        </w:rPr>
      </w:pPr>
      <w:r>
        <w:rPr>
          <w:rFonts w:ascii="PalatinoLinotype" w:hAnsi="PalatinoLinotype"/>
          <w:b/>
          <w:bCs/>
          <w:sz w:val="34"/>
          <w:szCs w:val="34"/>
        </w:rPr>
        <w:t xml:space="preserve">Men Are from Quartile One, Women Are from? Relative Age Effect in European Soccer and the Influence of Age, Success, and Playing Status </w:t>
      </w:r>
    </w:p>
    <w:p w14:paraId="1B61A549" w14:textId="77777777" w:rsidR="002A52F6" w:rsidRDefault="002A52F6" w:rsidP="002A52F6">
      <w:pPr>
        <w:pStyle w:val="NormalWeb"/>
      </w:pPr>
      <w:r>
        <w:rPr>
          <w:rFonts w:ascii="PalatinoLinotype" w:hAnsi="PalatinoLinotype"/>
          <w:b/>
          <w:bCs/>
          <w:sz w:val="18"/>
          <w:szCs w:val="18"/>
        </w:rPr>
        <w:t xml:space="preserve">Matthew Andrew </w:t>
      </w:r>
      <w:proofErr w:type="gramStart"/>
      <w:r>
        <w:rPr>
          <w:rFonts w:ascii="PalatinoLinotype" w:hAnsi="PalatinoLinotype"/>
          <w:b/>
          <w:bCs/>
          <w:position w:val="4"/>
          <w:sz w:val="12"/>
          <w:szCs w:val="12"/>
        </w:rPr>
        <w:t>1,</w:t>
      </w:r>
      <w:r>
        <w:rPr>
          <w:rFonts w:ascii="PalatinoLinotype" w:hAnsi="PalatinoLinotype"/>
          <w:b/>
          <w:bCs/>
          <w:sz w:val="18"/>
          <w:szCs w:val="18"/>
        </w:rPr>
        <w:t>*</w:t>
      </w:r>
      <w:proofErr w:type="gramEnd"/>
      <w:r>
        <w:rPr>
          <w:rFonts w:ascii="PalatinoLinotype" w:hAnsi="PalatinoLinotype"/>
          <w:b/>
          <w:bCs/>
          <w:sz w:val="18"/>
          <w:szCs w:val="18"/>
        </w:rPr>
        <w:t xml:space="preserve">, Laura Finnegan </w:t>
      </w:r>
      <w:r>
        <w:rPr>
          <w:rFonts w:ascii="PalatinoLinotype" w:hAnsi="PalatinoLinotype"/>
          <w:b/>
          <w:bCs/>
          <w:position w:val="4"/>
          <w:sz w:val="12"/>
          <w:szCs w:val="12"/>
        </w:rPr>
        <w:t>2</w:t>
      </w:r>
      <w:r>
        <w:rPr>
          <w:rFonts w:ascii="PalatinoLinotype" w:hAnsi="PalatinoLinotype"/>
          <w:b/>
          <w:bCs/>
          <w:sz w:val="18"/>
          <w:szCs w:val="18"/>
        </w:rPr>
        <w:t xml:space="preserve">, Naomi </w:t>
      </w:r>
      <w:proofErr w:type="spellStart"/>
      <w:r>
        <w:rPr>
          <w:rFonts w:ascii="PalatinoLinotype" w:hAnsi="PalatinoLinotype"/>
          <w:b/>
          <w:bCs/>
          <w:sz w:val="18"/>
          <w:szCs w:val="18"/>
        </w:rPr>
        <w:t>Datson</w:t>
      </w:r>
      <w:proofErr w:type="spellEnd"/>
      <w:r>
        <w:rPr>
          <w:rFonts w:ascii="PalatinoLinotype" w:hAnsi="PalatinoLinotype"/>
          <w:b/>
          <w:bCs/>
          <w:sz w:val="18"/>
          <w:szCs w:val="18"/>
        </w:rPr>
        <w:t xml:space="preserve"> </w:t>
      </w:r>
      <w:r>
        <w:rPr>
          <w:rFonts w:ascii="PalatinoLinotype" w:hAnsi="PalatinoLinotype"/>
          <w:b/>
          <w:bCs/>
          <w:position w:val="4"/>
          <w:sz w:val="12"/>
          <w:szCs w:val="12"/>
        </w:rPr>
        <w:t xml:space="preserve">3 </w:t>
      </w:r>
      <w:r>
        <w:rPr>
          <w:rFonts w:ascii="PalatinoLinotype" w:hAnsi="PalatinoLinotype"/>
          <w:b/>
          <w:bCs/>
          <w:sz w:val="18"/>
          <w:szCs w:val="18"/>
        </w:rPr>
        <w:t xml:space="preserve">and James H. Dugdale </w:t>
      </w:r>
      <w:r>
        <w:rPr>
          <w:rFonts w:ascii="PalatinoLinotype" w:hAnsi="PalatinoLinotype"/>
          <w:b/>
          <w:bCs/>
          <w:position w:val="4"/>
          <w:sz w:val="12"/>
          <w:szCs w:val="12"/>
        </w:rPr>
        <w:t xml:space="preserve">4 </w:t>
      </w:r>
    </w:p>
    <w:p w14:paraId="139A15CB" w14:textId="32C38623" w:rsidR="002A52F6" w:rsidRDefault="002A52F6" w:rsidP="002A52F6">
      <w:pPr>
        <w:pStyle w:val="NormalWeb"/>
        <w:numPr>
          <w:ilvl w:val="0"/>
          <w:numId w:val="1"/>
        </w:numPr>
        <w:rPr>
          <w:rFonts w:ascii="PalatinoLinotype" w:hAnsi="PalatinoLinotype"/>
          <w:sz w:val="16"/>
          <w:szCs w:val="16"/>
        </w:rPr>
      </w:pPr>
      <w:r>
        <w:rPr>
          <w:rFonts w:ascii="PalatinoLinotype" w:hAnsi="PalatinoLinotype"/>
          <w:sz w:val="16"/>
          <w:szCs w:val="16"/>
        </w:rPr>
        <w:t>Department of Sport and Exercise Sciences, Institute of Sport, Manchester Metropolitan University, Manchester M15 6BH, UK</w:t>
      </w:r>
    </w:p>
    <w:p w14:paraId="3F4994A5" w14:textId="333BAE4A" w:rsidR="002A52F6" w:rsidRPr="002A52F6" w:rsidRDefault="002A52F6" w:rsidP="002A52F6">
      <w:pPr>
        <w:pStyle w:val="NormalWeb"/>
        <w:numPr>
          <w:ilvl w:val="0"/>
          <w:numId w:val="1"/>
        </w:numPr>
        <w:rPr>
          <w:rFonts w:ascii="PalatinoLinotype" w:hAnsi="PalatinoLinotype"/>
          <w:sz w:val="16"/>
          <w:szCs w:val="16"/>
        </w:rPr>
      </w:pPr>
      <w:r>
        <w:rPr>
          <w:rFonts w:ascii="PalatinoLinotype" w:hAnsi="PalatinoLinotype"/>
          <w:sz w:val="16"/>
          <w:szCs w:val="16"/>
        </w:rPr>
        <w:t xml:space="preserve">Football Research Group, Department of Sport and Exercise Science, </w:t>
      </w:r>
      <w:proofErr w:type="gramStart"/>
      <w:r>
        <w:rPr>
          <w:rFonts w:ascii="PalatinoLinotype" w:hAnsi="PalatinoLinotype"/>
          <w:sz w:val="16"/>
          <w:szCs w:val="16"/>
        </w:rPr>
        <w:t>South East</w:t>
      </w:r>
      <w:proofErr w:type="gramEnd"/>
      <w:r>
        <w:rPr>
          <w:rFonts w:ascii="PalatinoLinotype" w:hAnsi="PalatinoLinotype"/>
          <w:sz w:val="16"/>
          <w:szCs w:val="16"/>
        </w:rPr>
        <w:t xml:space="preserve"> Technological University, Munster X91 HE36, Ireland </w:t>
      </w:r>
    </w:p>
    <w:p w14:paraId="04D84A99" w14:textId="2426DF66" w:rsidR="002A52F6" w:rsidRPr="002A52F6" w:rsidRDefault="002A52F6" w:rsidP="002A52F6">
      <w:pPr>
        <w:pStyle w:val="NormalWeb"/>
        <w:numPr>
          <w:ilvl w:val="0"/>
          <w:numId w:val="1"/>
        </w:numPr>
        <w:rPr>
          <w:rFonts w:ascii="PalatinoLinotype" w:hAnsi="PalatinoLinotype"/>
          <w:sz w:val="16"/>
          <w:szCs w:val="16"/>
        </w:rPr>
      </w:pPr>
      <w:r>
        <w:rPr>
          <w:rFonts w:ascii="PalatinoLinotype" w:hAnsi="PalatinoLinotype"/>
          <w:sz w:val="16"/>
          <w:szCs w:val="16"/>
        </w:rPr>
        <w:t xml:space="preserve">Institute of Sport, Nursing and Allied Health, University of Chichester, Chichester PO19 6PE, UK </w:t>
      </w:r>
    </w:p>
    <w:p w14:paraId="78B27C16" w14:textId="02207BD8" w:rsidR="002A52F6" w:rsidRPr="002A52F6" w:rsidRDefault="002A52F6" w:rsidP="002A52F6">
      <w:pPr>
        <w:pStyle w:val="NormalWeb"/>
        <w:numPr>
          <w:ilvl w:val="0"/>
          <w:numId w:val="1"/>
        </w:numPr>
        <w:rPr>
          <w:rFonts w:ascii="PalatinoLinotype" w:hAnsi="PalatinoLinotype"/>
          <w:sz w:val="16"/>
          <w:szCs w:val="16"/>
        </w:rPr>
      </w:pPr>
      <w:r>
        <w:rPr>
          <w:rFonts w:ascii="PalatinoLinotype" w:hAnsi="PalatinoLinotype"/>
          <w:sz w:val="16"/>
          <w:szCs w:val="16"/>
        </w:rPr>
        <w:t xml:space="preserve">School of Applied Sciences, Edinburgh Napier University, Edinburgh EH14 1DJ, UK </w:t>
      </w:r>
    </w:p>
    <w:p w14:paraId="724F5425" w14:textId="77777777" w:rsidR="002A52F6" w:rsidRDefault="002A52F6" w:rsidP="002A52F6">
      <w:pPr>
        <w:pStyle w:val="NormalWeb"/>
      </w:pPr>
      <w:r>
        <w:rPr>
          <w:rFonts w:ascii="PalatinoLinotype" w:hAnsi="PalatinoLinotype"/>
          <w:b/>
          <w:bCs/>
          <w:sz w:val="16"/>
          <w:szCs w:val="16"/>
        </w:rPr>
        <w:t xml:space="preserve">* </w:t>
      </w:r>
      <w:r>
        <w:rPr>
          <w:rFonts w:ascii="PalatinoLinotype" w:hAnsi="PalatinoLinotype"/>
          <w:sz w:val="16"/>
          <w:szCs w:val="16"/>
        </w:rPr>
        <w:t>Correspondence: matthew.andrew@mmu.ac.uk; Tel.: +44‐(</w:t>
      </w:r>
      <w:proofErr w:type="gramStart"/>
      <w:r>
        <w:rPr>
          <w:rFonts w:ascii="PalatinoLinotype" w:hAnsi="PalatinoLinotype"/>
          <w:sz w:val="16"/>
          <w:szCs w:val="16"/>
        </w:rPr>
        <w:t>0)‐</w:t>
      </w:r>
      <w:proofErr w:type="gramEnd"/>
      <w:r>
        <w:rPr>
          <w:rFonts w:ascii="PalatinoLinotype" w:hAnsi="PalatinoLinotype"/>
          <w:sz w:val="16"/>
          <w:szCs w:val="16"/>
        </w:rPr>
        <w:t xml:space="preserve">161‐247‐2000 </w:t>
      </w:r>
    </w:p>
    <w:p w14:paraId="2A827028" w14:textId="238BF330" w:rsidR="00582777" w:rsidRDefault="00582777" w:rsidP="00582777">
      <w:pPr>
        <w:pStyle w:val="NormalWeb"/>
      </w:pPr>
      <w:r>
        <w:rPr>
          <w:rFonts w:ascii="PalatinoLinotype" w:hAnsi="PalatinoLinotype"/>
          <w:b/>
          <w:bCs/>
          <w:sz w:val="16"/>
          <w:szCs w:val="16"/>
        </w:rPr>
        <w:t xml:space="preserve">Abstract: </w:t>
      </w:r>
      <w:r>
        <w:rPr>
          <w:rFonts w:ascii="PalatinoLinotype" w:hAnsi="PalatinoLinotype"/>
          <w:sz w:val="16"/>
          <w:szCs w:val="16"/>
        </w:rPr>
        <w:t>The relative age effect (RAE) is characterised by an overrepresentation of athletes born earlier in the selection year. Whilst an RAE is consistently evident in male soccer, examinations in female players remain limited. The aim of the present study was to examine the influence of sex, as well as age, success, and playing status in European soccer players. The sample consisted of a total of 6546 soccer players from 55 soccer nations that competed in recent European Championship qualification campaigns. Results indicated an evident RAE in male [</w:t>
      </w:r>
      <w:r>
        <w:rPr>
          <w:rFonts w:ascii="PalatinoLinotype" w:hAnsi="PalatinoLinotype"/>
          <w:i/>
          <w:iCs/>
          <w:sz w:val="16"/>
          <w:szCs w:val="16"/>
        </w:rPr>
        <w:t xml:space="preserve">p </w:t>
      </w:r>
      <w:r>
        <w:rPr>
          <w:rFonts w:ascii="PalatinoLinotype" w:hAnsi="PalatinoLinotype"/>
          <w:sz w:val="16"/>
          <w:szCs w:val="16"/>
        </w:rPr>
        <w:t>= 0.017] but not female [</w:t>
      </w:r>
      <w:r>
        <w:rPr>
          <w:rFonts w:ascii="PalatinoLinotype" w:hAnsi="PalatinoLinotype"/>
          <w:i/>
          <w:iCs/>
          <w:sz w:val="16"/>
          <w:szCs w:val="16"/>
        </w:rPr>
        <w:t xml:space="preserve">p </w:t>
      </w:r>
      <w:r>
        <w:rPr>
          <w:rFonts w:ascii="PalatinoLinotype" w:hAnsi="PalatinoLinotype"/>
          <w:sz w:val="16"/>
          <w:szCs w:val="16"/>
        </w:rPr>
        <w:t>= 0.765] players. Male players were over‐represented by players born in the first quartile for the U17 [</w:t>
      </w:r>
      <w:r>
        <w:rPr>
          <w:rFonts w:ascii="PalatinoLinotype" w:hAnsi="PalatinoLinotype"/>
          <w:i/>
          <w:iCs/>
          <w:sz w:val="16"/>
          <w:szCs w:val="16"/>
        </w:rPr>
        <w:t xml:space="preserve">p </w:t>
      </w:r>
      <w:r>
        <w:rPr>
          <w:rFonts w:ascii="PalatinoLinotype" w:hAnsi="PalatinoLinotype"/>
          <w:sz w:val="16"/>
          <w:szCs w:val="16"/>
        </w:rPr>
        <w:t>&lt; 0.001] and U19 [</w:t>
      </w:r>
      <w:r>
        <w:rPr>
          <w:rFonts w:ascii="PalatinoLinotype" w:hAnsi="PalatinoLinotype"/>
          <w:i/>
          <w:iCs/>
          <w:sz w:val="16"/>
          <w:szCs w:val="16"/>
        </w:rPr>
        <w:t xml:space="preserve">p </w:t>
      </w:r>
      <w:r>
        <w:rPr>
          <w:rFonts w:ascii="PalatinoLinotype" w:hAnsi="PalatinoLinotype"/>
          <w:sz w:val="16"/>
          <w:szCs w:val="16"/>
        </w:rPr>
        <w:t xml:space="preserve">= 0.001] levels, however, this over‐representation did not transfer to senior levels. No RAE was observed at any level for female players. Inside each age group, a slight selection bias towards those born in the first quartile for successful squads was observed but did not significantly differentiate between qualification status for either male or female players. Results from this study highlight the disparity in RAE prevalence between male and female players and raise further questions regarding the value of selecting relatively older players to metrics of success, transition, and selection for senior international soccer. </w:t>
      </w:r>
    </w:p>
    <w:p w14:paraId="680D4E03" w14:textId="77777777" w:rsidR="00582777" w:rsidRDefault="00582777" w:rsidP="00582777">
      <w:pPr>
        <w:pStyle w:val="NormalWeb"/>
      </w:pPr>
      <w:r>
        <w:rPr>
          <w:rFonts w:ascii="PalatinoLinotype" w:hAnsi="PalatinoLinotype"/>
          <w:b/>
          <w:bCs/>
          <w:sz w:val="16"/>
          <w:szCs w:val="16"/>
        </w:rPr>
        <w:t xml:space="preserve">Keywords: </w:t>
      </w:r>
      <w:r>
        <w:rPr>
          <w:rFonts w:ascii="PalatinoLinotype" w:hAnsi="PalatinoLinotype"/>
          <w:sz w:val="16"/>
          <w:szCs w:val="16"/>
        </w:rPr>
        <w:t xml:space="preserve">talent; identification; development; selection; football </w:t>
      </w:r>
    </w:p>
    <w:p w14:paraId="1C0B3C02" w14:textId="77777777" w:rsidR="00582777" w:rsidRDefault="00582777" w:rsidP="00582777">
      <w:pPr>
        <w:pStyle w:val="NormalWeb"/>
      </w:pPr>
      <w:r>
        <w:rPr>
          <w:rFonts w:ascii="PalatinoLinotype" w:hAnsi="PalatinoLinotype"/>
          <w:b/>
          <w:bCs/>
          <w:sz w:val="18"/>
          <w:szCs w:val="18"/>
        </w:rPr>
        <w:t xml:space="preserve">1. Introduction </w:t>
      </w:r>
    </w:p>
    <w:p w14:paraId="7609CD9F" w14:textId="293C688D" w:rsidR="00582777" w:rsidRDefault="00582777" w:rsidP="00582777">
      <w:pPr>
        <w:pStyle w:val="NormalWeb"/>
        <w:rPr>
          <w:rFonts w:ascii="PalatinoLinotype" w:hAnsi="PalatinoLinotype"/>
          <w:sz w:val="18"/>
          <w:szCs w:val="18"/>
        </w:rPr>
      </w:pPr>
      <w:r>
        <w:rPr>
          <w:rFonts w:ascii="PalatinoLinotype" w:hAnsi="PalatinoLinotype"/>
          <w:sz w:val="18"/>
          <w:szCs w:val="18"/>
        </w:rPr>
        <w:t xml:space="preserve">Soccer is one of the most popular sports worldwide, particularly in Europe. Recently, female participation and popularity have increased exponentially. Between 2016–2017, the number of registered female youth players within Europe increased by ~130,000 (14%; [1]. Female soccer has also experienced an increase in both attendance figures (live and television) and sponsorship, as demonstrated by the creation of relatively new professional leagues (e.g., The FA Women’s Super League in England), resulting in a rise of professionalism in the sport [1]. Accordingly, approaches to talent identification in female soccer may have evolved, but research examining these approaches is limited [2]. Result‐ ant of this exponential growth, approaches to talent identification and causality have been incorrectly </w:t>
      </w:r>
      <w:r>
        <w:rPr>
          <w:rFonts w:ascii="PalatinoLinotype" w:hAnsi="PalatinoLinotype"/>
          <w:sz w:val="18"/>
          <w:szCs w:val="18"/>
          <w:shd w:val="clear" w:color="auto" w:fill="FFFFFF"/>
        </w:rPr>
        <w:t xml:space="preserve">extrapolated to the female game, which may be erroneous </w:t>
      </w:r>
      <w:r>
        <w:rPr>
          <w:rFonts w:ascii="PalatinoLinotype" w:hAnsi="PalatinoLinotype"/>
          <w:sz w:val="18"/>
          <w:szCs w:val="18"/>
        </w:rPr>
        <w:t xml:space="preserve">[3]. Though a continuous growth in research attention on female soccer has been seen, the numbers are not equal to outputs in male soccer. Thus, </w:t>
      </w:r>
      <w:r>
        <w:rPr>
          <w:rFonts w:ascii="PalatinoLinotype" w:hAnsi="PalatinoLinotype"/>
          <w:sz w:val="18"/>
          <w:szCs w:val="18"/>
        </w:rPr>
        <w:t>calls for a growth of research within women’s soccer; particularly talent identification, have been made (e.g., [2,4]).</w:t>
      </w:r>
    </w:p>
    <w:p w14:paraId="3C0FCEF3" w14:textId="4AC309B3" w:rsidR="00582777" w:rsidRDefault="00582777" w:rsidP="00582777">
      <w:pPr>
        <w:pStyle w:val="NormalWeb"/>
      </w:pPr>
      <w:r>
        <w:rPr>
          <w:rFonts w:ascii="PalatinoLinotype" w:hAnsi="PalatinoLinotype"/>
          <w:sz w:val="18"/>
          <w:szCs w:val="18"/>
        </w:rPr>
        <w:t>For male soccer, a contentious issue related to talent identification is the relative age effect (RAE; [5]). The RAE is characterised by an overrepresentation of players born earlier in the selection year [5]. Researchers suggest that chronologically older athletes may be selected for talent development programmes due to acute anthropometrical and physical advantages or perception of increased skill [6]. However, these advantages often dissipate or reverse at the senior level [7], raising awareness of this process relative to long‐term development and success. In contrast, negative implications for relatively younger athletes have been identified, such as higher drop‐out rates and limited selection opportunities [8,9]</w:t>
      </w:r>
      <w:r>
        <w:rPr>
          <w:rFonts w:ascii="PalatinoLinotype" w:hAnsi="PalatinoLinotype"/>
          <w:sz w:val="20"/>
          <w:szCs w:val="20"/>
        </w:rPr>
        <w:t xml:space="preserve">. </w:t>
      </w:r>
      <w:r>
        <w:rPr>
          <w:rFonts w:ascii="PalatinoLinotype" w:hAnsi="PalatinoLinotype"/>
          <w:sz w:val="18"/>
          <w:szCs w:val="18"/>
        </w:rPr>
        <w:t xml:space="preserve">While this phenomenon has been extensively examined in male players over the last few decades with consistent results (e.g., [10]), examinations in female soccer have been less consistent (e.g., [11]). For example, there was no RAE observed for female US Olympic development program players [12], Division 1 </w:t>
      </w:r>
      <w:proofErr w:type="spellStart"/>
      <w:r>
        <w:rPr>
          <w:rFonts w:ascii="PalatinoLinotype" w:hAnsi="PalatinoLinotype"/>
          <w:sz w:val="18"/>
          <w:szCs w:val="18"/>
        </w:rPr>
        <w:t>Féminine</w:t>
      </w:r>
      <w:proofErr w:type="spellEnd"/>
      <w:r>
        <w:rPr>
          <w:rFonts w:ascii="PalatinoLinotype" w:hAnsi="PalatinoLinotype"/>
          <w:sz w:val="18"/>
          <w:szCs w:val="18"/>
        </w:rPr>
        <w:t xml:space="preserve"> (France) players [8], or Swiss national team players [13]. Yet others report a significant RAE in female youth international players from Europe and North and Central America [14] and domestic players in Spain [15]. Recently, </w:t>
      </w:r>
      <w:proofErr w:type="spellStart"/>
      <w:r>
        <w:rPr>
          <w:rFonts w:ascii="PalatinoLinotype" w:hAnsi="PalatinoLinotype"/>
          <w:sz w:val="18"/>
          <w:szCs w:val="18"/>
        </w:rPr>
        <w:t>Go</w:t>
      </w:r>
      <w:r>
        <w:rPr>
          <w:sz w:val="18"/>
          <w:szCs w:val="18"/>
        </w:rPr>
        <w:t>̈</w:t>
      </w:r>
      <w:r>
        <w:rPr>
          <w:rFonts w:ascii="PalatinoLinotype" w:hAnsi="PalatinoLinotype"/>
          <w:sz w:val="18"/>
          <w:szCs w:val="18"/>
        </w:rPr>
        <w:t>tze</w:t>
      </w:r>
      <w:proofErr w:type="spellEnd"/>
      <w:r>
        <w:rPr>
          <w:rFonts w:ascii="PalatinoLinotype" w:hAnsi="PalatinoLinotype"/>
          <w:sz w:val="18"/>
          <w:szCs w:val="18"/>
        </w:rPr>
        <w:t xml:space="preserve"> and Hoppe [16] compared </w:t>
      </w:r>
      <w:r>
        <w:rPr>
          <w:rFonts w:ascii="PalatinoLinotype" w:hAnsi="PalatinoLinotype"/>
          <w:sz w:val="18"/>
          <w:szCs w:val="18"/>
          <w:shd w:val="clear" w:color="auto" w:fill="FFFFFF"/>
        </w:rPr>
        <w:t xml:space="preserve">the prevalence of a </w:t>
      </w:r>
      <w:r>
        <w:rPr>
          <w:rFonts w:ascii="PalatinoLinotype" w:hAnsi="PalatinoLinotype"/>
          <w:sz w:val="18"/>
          <w:szCs w:val="18"/>
        </w:rPr>
        <w:t xml:space="preserve">RAE bias in </w:t>
      </w:r>
      <w:r>
        <w:rPr>
          <w:rFonts w:ascii="PalatinoLinotype" w:hAnsi="PalatinoLinotype"/>
          <w:sz w:val="18"/>
          <w:szCs w:val="18"/>
        </w:rPr>
        <w:lastRenderedPageBreak/>
        <w:t xml:space="preserve">1763 male and female national and domestic level players in Germany. Results indicated that an RAE was only prevalent in senior female players competing in the second tier, compared to significant RAE in both male first and second tiers and at youth international level. The inconsistency in observed RAE prevalence, combined with disparities in male samples, raise questions around the pervasiveness of the RAE as an issue related to talent identification and selection in female soccer. </w:t>
      </w:r>
    </w:p>
    <w:p w14:paraId="5ECC767B" w14:textId="57FA6164" w:rsidR="00582777" w:rsidRDefault="00582777" w:rsidP="00582777">
      <w:pPr>
        <w:pStyle w:val="NormalWeb"/>
        <w:rPr>
          <w:rFonts w:ascii="PalatinoLinotype" w:hAnsi="PalatinoLinotype"/>
          <w:sz w:val="18"/>
          <w:szCs w:val="18"/>
        </w:rPr>
      </w:pPr>
      <w:r>
        <w:rPr>
          <w:rFonts w:ascii="PalatinoLinotype" w:hAnsi="PalatinoLinotype"/>
          <w:sz w:val="18"/>
          <w:szCs w:val="18"/>
        </w:rPr>
        <w:t xml:space="preserve">Though </w:t>
      </w:r>
      <w:proofErr w:type="spellStart"/>
      <w:r>
        <w:rPr>
          <w:rFonts w:ascii="PalatinoLinotype" w:hAnsi="PalatinoLinotype"/>
          <w:sz w:val="18"/>
          <w:szCs w:val="18"/>
        </w:rPr>
        <w:t>Go</w:t>
      </w:r>
      <w:r>
        <w:rPr>
          <w:sz w:val="18"/>
          <w:szCs w:val="18"/>
        </w:rPr>
        <w:t>̈</w:t>
      </w:r>
      <w:r>
        <w:rPr>
          <w:rFonts w:ascii="PalatinoLinotype" w:hAnsi="PalatinoLinotype"/>
          <w:sz w:val="18"/>
          <w:szCs w:val="18"/>
        </w:rPr>
        <w:t>tze</w:t>
      </w:r>
      <w:proofErr w:type="spellEnd"/>
      <w:r>
        <w:rPr>
          <w:rFonts w:ascii="PalatinoLinotype" w:hAnsi="PalatinoLinotype"/>
          <w:sz w:val="18"/>
          <w:szCs w:val="18"/>
        </w:rPr>
        <w:t xml:space="preserve"> and Hoppe [16] directly compared male and female soccer players, they, and other previous reports, focus on a single soccer nation. Most published reports explore RAE prevalence and draw conclusions related to talent identification and development practices in established soccer nations. Acknowledging the substantial differences in talent pools, participation rates, domestic competition, and financial resources it is possible that the RAE prevalence may differ across soccer nations [17]. Typically, reports from established soccer nations report RAE bias at youth levels [16,18,19] but not at senior levels [7] and suggest that RAE prevalence may influence the competitive success [20]. For example, a significant correlation was identified between RAE and success (final league position) in U17 soccer players in Germany [21]. In contrast, only a select number of </w:t>
      </w:r>
      <w:proofErr w:type="gramStart"/>
      <w:r>
        <w:rPr>
          <w:rFonts w:ascii="PalatinoLinotype" w:hAnsi="PalatinoLinotype"/>
          <w:sz w:val="18"/>
          <w:szCs w:val="18"/>
        </w:rPr>
        <w:t>stud</w:t>
      </w:r>
      <w:proofErr w:type="gramEnd"/>
      <w:r>
        <w:rPr>
          <w:rFonts w:ascii="PalatinoLinotype" w:hAnsi="PalatinoLinotype"/>
          <w:sz w:val="18"/>
          <w:szCs w:val="18"/>
        </w:rPr>
        <w:t xml:space="preserve">‐ </w:t>
      </w:r>
      <w:proofErr w:type="spellStart"/>
      <w:r>
        <w:rPr>
          <w:rFonts w:ascii="PalatinoLinotype" w:hAnsi="PalatinoLinotype"/>
          <w:sz w:val="18"/>
          <w:szCs w:val="18"/>
        </w:rPr>
        <w:t>ies</w:t>
      </w:r>
      <w:proofErr w:type="spellEnd"/>
      <w:r>
        <w:rPr>
          <w:rFonts w:ascii="PalatinoLinotype" w:hAnsi="PalatinoLinotype"/>
          <w:sz w:val="18"/>
          <w:szCs w:val="18"/>
        </w:rPr>
        <w:t xml:space="preserve"> have examined prevalence of an RAE in less established or developing soccer nations. Finnegan et al. [22] examined the birth dates of 1936 U14 male players from Ireland that had been selected for the ‘emerging talent programme’. The authors observed that 68% of selected players were born in the first half of the selection year. Moreover, Dugdale et al. [23] examined birthdate distributions of male soccer players across varying age groups and performance levels in Scotland. These authors observed a significant RAE for players within academy structures but not at the senior professional level. Unsurprisingly, given the paucity of published reports investigating RAE prevalence in female compared to male players, limited data are available concerning RAE for female soccer players across diverse soccer nations. </w:t>
      </w:r>
    </w:p>
    <w:p w14:paraId="79F04804" w14:textId="4F837411" w:rsidR="00582777" w:rsidRDefault="00582777" w:rsidP="00582777">
      <w:pPr>
        <w:pStyle w:val="NormalWeb"/>
      </w:pPr>
      <w:r>
        <w:rPr>
          <w:rFonts w:ascii="PalatinoLinotype" w:hAnsi="PalatinoLinotype"/>
          <w:sz w:val="18"/>
          <w:szCs w:val="18"/>
        </w:rPr>
        <w:t xml:space="preserve">Lastly, one factor that may moderate RAE prevalence, yet has received little attention, is players that are deemed to possess the skills to compete at higher age levels, also referred to as ‘playing up’. Many studies have independently examined RAE in youth‐ level soccer and investigations into ‘playing up’ (e.g., [24]); however, research merging these two topics of interest remains scarce. It may be suggested that players that are moved up a chronological age grouping to account for biases typically exacerbated by RAE prevalence and allow for a more appropriate ‘challenge point’ for players at both ends of the selection spectrum (i.e., Q1 and Q4). Subjective evidence posits that athletes that ‘play up’ engage in practice and competition that has a higher yet appropriate challenge point and can have important implications for their developmental outcomes [25]. Whilst theoretically sensical, limited data examine this phenomenon across comprehensive samples of male and female soccer players [24,26]. </w:t>
      </w:r>
    </w:p>
    <w:p w14:paraId="05872966" w14:textId="0A9D1117" w:rsidR="00582777" w:rsidRDefault="00582777" w:rsidP="00582777">
      <w:pPr>
        <w:pStyle w:val="NormalWeb"/>
        <w:rPr>
          <w:rFonts w:ascii="PalatinoLinotype" w:hAnsi="PalatinoLinotype"/>
          <w:sz w:val="18"/>
          <w:szCs w:val="18"/>
        </w:rPr>
      </w:pPr>
      <w:r>
        <w:rPr>
          <w:rFonts w:ascii="PalatinoLinotype" w:hAnsi="PalatinoLinotype"/>
          <w:sz w:val="18"/>
          <w:szCs w:val="18"/>
        </w:rPr>
        <w:t>Accordingly, the aim of the present study was to examine the prevalence of RAE in international female European soccer players. To provide a comparison, we also examined RAE in equivalent international male European soccer players. It was hypothesised that a</w:t>
      </w:r>
      <w:r>
        <w:rPr>
          <w:rFonts w:ascii="PalatinoLinotype" w:hAnsi="PalatinoLinotype"/>
          <w:sz w:val="18"/>
          <w:szCs w:val="18"/>
        </w:rPr>
        <w:t xml:space="preserve"> </w:t>
      </w:r>
      <w:r>
        <w:rPr>
          <w:rFonts w:ascii="PalatinoLinotype" w:hAnsi="PalatinoLinotype"/>
          <w:sz w:val="18"/>
          <w:szCs w:val="18"/>
        </w:rPr>
        <w:t xml:space="preserve">significant RAE bias would be observed in European male, but not female, players. Furthermore, we hypothesised that an RAE would be prevalent in younger (i.e., U17; U19) but not senior male players, comparable to previous reports [7,23]. Acknowledging the inconsistency in female RAE prevalence, we hypothesised that this observation would not translate to female international players. Given the limited research examining the influence of competition level and ‘playing up’ on RAE in soccer, we forgo making a priori hypotheses. </w:t>
      </w:r>
    </w:p>
    <w:p w14:paraId="7F1EEE35" w14:textId="77777777" w:rsidR="00582777" w:rsidRDefault="00582777" w:rsidP="00582777">
      <w:pPr>
        <w:pStyle w:val="NormalWeb"/>
      </w:pPr>
      <w:r>
        <w:rPr>
          <w:rFonts w:ascii="PalatinoLinotype" w:hAnsi="PalatinoLinotype"/>
          <w:b/>
          <w:bCs/>
          <w:sz w:val="18"/>
          <w:szCs w:val="18"/>
        </w:rPr>
        <w:t xml:space="preserve">2. Materials and Methods </w:t>
      </w:r>
    </w:p>
    <w:p w14:paraId="60A56F66" w14:textId="77777777" w:rsidR="00582777" w:rsidRDefault="00582777" w:rsidP="00582777">
      <w:pPr>
        <w:pStyle w:val="NormalWeb"/>
      </w:pPr>
      <w:r>
        <w:rPr>
          <w:rFonts w:ascii="PalatinoLinotype" w:hAnsi="PalatinoLinotype"/>
          <w:i/>
          <w:iCs/>
          <w:sz w:val="18"/>
          <w:szCs w:val="18"/>
        </w:rPr>
        <w:t xml:space="preserve">2.1. Participants </w:t>
      </w:r>
    </w:p>
    <w:p w14:paraId="45AF778B" w14:textId="4B16B8F8" w:rsidR="00582777" w:rsidRDefault="00582777" w:rsidP="00582777">
      <w:pPr>
        <w:pStyle w:val="NormalWeb"/>
      </w:pPr>
      <w:r>
        <w:rPr>
          <w:rFonts w:ascii="PalatinoLinotype" w:hAnsi="PalatinoLinotype"/>
          <w:sz w:val="18"/>
          <w:szCs w:val="18"/>
        </w:rPr>
        <w:t>Birthdates of 6546 active European soccer players were obtained in March 2021 from the official data centres of the Union of European Football Association [27] and individual nations. Birthdates were collected from all 55 associations under the UEFA governing body and from the qualification squads/teams for the most recent European Champion‐ ship campaign, respectively (2019 women’s U17 Championships, Bulgaria; 2019 men’s U17 Championships, Ireland; 2019 women’s U19 Championships, Scotland; 2019 men’s U19 Championships, Armenia; 2022 women’s senior Championships, England; 2020 men’s senior Championships, Europe). Players were categorised by sex: female (2387); male (4159), competition level (i.e., age group): U17 (Female = 324; Male = 1187); U19 (Fe‐ male = 293; Male = 1229); senior (Female = 1770; Male = 1743), qualification status (i.e., did they qualify for the knockout round(s) of their respective competitions): qualified (Female = 994; Male = 1405); non‐</w:t>
      </w:r>
      <w:r>
        <w:rPr>
          <w:rFonts w:ascii="PalatinoLinotype" w:hAnsi="PalatinoLinotype"/>
          <w:sz w:val="18"/>
          <w:szCs w:val="18"/>
        </w:rPr>
        <w:lastRenderedPageBreak/>
        <w:t xml:space="preserve">qualified (Female = 1393; Male = 2754), and by playing status (i.e., they are playing inside, or above their chronological age group): age group (Female = 337; Male = 2020); playing up (Female = 280; Male = 396). Any players that were listed twice (e.g., making appearances at U17 and U19) were categorised based on the most appearances. Because data were freely available via the internet, no approval by an ethical committee was required. The study was conducted in accordance with the declaration of Helsinki. For a full breakdown of the categories and definitions, please see Table 1. </w:t>
      </w:r>
    </w:p>
    <w:p w14:paraId="034B78C1" w14:textId="77777777" w:rsidR="00582777" w:rsidRDefault="00582777" w:rsidP="00582777">
      <w:pPr>
        <w:pStyle w:val="NormalWeb"/>
        <w:rPr>
          <w:rFonts w:ascii="PalatinoLinotype" w:hAnsi="PalatinoLinotype"/>
          <w:b/>
          <w:bCs/>
          <w:sz w:val="16"/>
          <w:szCs w:val="16"/>
        </w:rPr>
      </w:pPr>
    </w:p>
    <w:p w14:paraId="7CE64B54" w14:textId="77777777" w:rsidR="00582777" w:rsidRDefault="00582777" w:rsidP="00582777">
      <w:pPr>
        <w:pStyle w:val="NormalWeb"/>
        <w:rPr>
          <w:rFonts w:ascii="PalatinoLinotype" w:hAnsi="PalatinoLinotype"/>
          <w:b/>
          <w:bCs/>
          <w:sz w:val="16"/>
          <w:szCs w:val="16"/>
        </w:rPr>
      </w:pPr>
    </w:p>
    <w:p w14:paraId="3184832C" w14:textId="7783237A" w:rsidR="00582777" w:rsidRDefault="00582777" w:rsidP="00582777">
      <w:pPr>
        <w:pStyle w:val="NormalWeb"/>
        <w:rPr>
          <w:rFonts w:ascii="PalatinoLinotype" w:hAnsi="PalatinoLinotype"/>
          <w:sz w:val="16"/>
          <w:szCs w:val="16"/>
        </w:rPr>
      </w:pPr>
      <w:r>
        <w:rPr>
          <w:rFonts w:ascii="PalatinoLinotype" w:hAnsi="PalatinoLinotype"/>
          <w:b/>
          <w:bCs/>
          <w:sz w:val="16"/>
          <w:szCs w:val="16"/>
        </w:rPr>
        <w:t xml:space="preserve">Table 1. </w:t>
      </w:r>
      <w:r>
        <w:rPr>
          <w:rFonts w:ascii="PalatinoLinotype" w:hAnsi="PalatinoLinotype"/>
          <w:sz w:val="16"/>
          <w:szCs w:val="16"/>
        </w:rPr>
        <w:t xml:space="preserve">Categories, subcategories, and definitions of independent variables. </w:t>
      </w:r>
    </w:p>
    <w:p w14:paraId="7CF4F122" w14:textId="259F9D92" w:rsidR="00582777" w:rsidRDefault="00582777" w:rsidP="00582777">
      <w:pPr>
        <w:pStyle w:val="NormalWeb"/>
        <w:rPr>
          <w:rFonts w:ascii="PalatinoLinotype" w:hAnsi="PalatinoLinotype"/>
          <w:sz w:val="16"/>
          <w:szCs w:val="16"/>
        </w:rPr>
      </w:pPr>
      <w:r>
        <w:rPr>
          <w:rFonts w:ascii="PalatinoLinotype" w:hAnsi="PalatinoLinotype"/>
          <w:noProof/>
          <w:sz w:val="16"/>
          <w:szCs w:val="16"/>
        </w:rPr>
        <w:drawing>
          <wp:inline distT="0" distB="0" distL="0" distR="0" wp14:anchorId="776CA395" wp14:editId="154FAF7A">
            <wp:extent cx="5727700" cy="146177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7700" cy="1461770"/>
                    </a:xfrm>
                    <a:prstGeom prst="rect">
                      <a:avLst/>
                    </a:prstGeom>
                  </pic:spPr>
                </pic:pic>
              </a:graphicData>
            </a:graphic>
          </wp:inline>
        </w:drawing>
      </w:r>
    </w:p>
    <w:p w14:paraId="7771D8F3" w14:textId="3D4BBA81" w:rsidR="00582777" w:rsidRPr="00582777" w:rsidRDefault="00582777" w:rsidP="00582777">
      <w:pPr>
        <w:pStyle w:val="NormalWeb"/>
      </w:pPr>
      <w:r>
        <w:rPr>
          <w:rFonts w:ascii="PalatinoLinotype" w:hAnsi="PalatinoLinotype"/>
          <w:i/>
          <w:iCs/>
          <w:sz w:val="18"/>
          <w:szCs w:val="18"/>
        </w:rPr>
        <w:t>2.</w:t>
      </w:r>
      <w:r>
        <w:rPr>
          <w:rFonts w:ascii="PalatinoLinotype" w:hAnsi="PalatinoLinotype"/>
          <w:i/>
          <w:iCs/>
          <w:sz w:val="18"/>
          <w:szCs w:val="18"/>
        </w:rPr>
        <w:t>2</w:t>
      </w:r>
      <w:r>
        <w:rPr>
          <w:rFonts w:ascii="PalatinoLinotype" w:hAnsi="PalatinoLinotype"/>
          <w:i/>
          <w:iCs/>
          <w:sz w:val="18"/>
          <w:szCs w:val="18"/>
        </w:rPr>
        <w:t>. P</w:t>
      </w:r>
      <w:r>
        <w:rPr>
          <w:rFonts w:ascii="PalatinoLinotype" w:hAnsi="PalatinoLinotype"/>
          <w:i/>
          <w:iCs/>
          <w:sz w:val="18"/>
          <w:szCs w:val="18"/>
        </w:rPr>
        <w:t>rocedure</w:t>
      </w:r>
    </w:p>
    <w:p w14:paraId="6D1BCECC" w14:textId="081531DD" w:rsidR="00582777" w:rsidRDefault="00582777" w:rsidP="00582777">
      <w:pPr>
        <w:pStyle w:val="NormalWeb"/>
      </w:pPr>
      <w:r>
        <w:rPr>
          <w:rFonts w:ascii="PalatinoLinotype" w:hAnsi="PalatinoLinotype"/>
          <w:sz w:val="18"/>
          <w:szCs w:val="18"/>
        </w:rPr>
        <w:t xml:space="preserve">The birth month for each player was used to define the birth quarter‐ and half‐year distribution per semester [5]. We adopted cut‐off dates defined as: Q1 = Jan‐Mar; Q2 = Apr‐Jun; Q3 = Jul‐Sep; Q4 = Oct‐Dec, and semesters: S1 = Jan‐Jun; S2 = Jul‐Dec. Due to England having different selection cut‐off dates to other European countries, we adjusted their quartiles/semesters, specifically (Q1 = Sep‐Nov; Q2 = Dec‐Feb; Q3 = Mar‐May; Q4 = Jun‐Aug, and semesters: S1 = Sep‐Feb; S2 = Mar‐Aug). A failure to be aware of this difference can lead to skewed results within large‐scale RAE studies [28]. </w:t>
      </w:r>
    </w:p>
    <w:p w14:paraId="19C7CF5D" w14:textId="77777777" w:rsidR="00582777" w:rsidRDefault="00582777" w:rsidP="00582777">
      <w:pPr>
        <w:pStyle w:val="NormalWeb"/>
      </w:pPr>
      <w:r>
        <w:rPr>
          <w:rFonts w:ascii="PalatinoLinotype" w:hAnsi="PalatinoLinotype"/>
          <w:i/>
          <w:iCs/>
          <w:sz w:val="18"/>
          <w:szCs w:val="18"/>
        </w:rPr>
        <w:t xml:space="preserve">2.3. Data Analysis </w:t>
      </w:r>
    </w:p>
    <w:p w14:paraId="216AE2DA" w14:textId="77777777" w:rsidR="00582777" w:rsidRDefault="00582777" w:rsidP="00582777">
      <w:pPr>
        <w:pStyle w:val="NormalWeb"/>
      </w:pPr>
      <w:r>
        <w:rPr>
          <w:rFonts w:ascii="PalatinoLinotype" w:hAnsi="PalatinoLinotype"/>
          <w:sz w:val="18"/>
          <w:szCs w:val="18"/>
        </w:rPr>
        <w:t>The Chi‐squared (</w:t>
      </w:r>
      <w:r>
        <w:rPr>
          <w:rFonts w:ascii="PalatinoLinotype" w:hAnsi="PalatinoLinotype"/>
          <w:i/>
          <w:iCs/>
          <w:sz w:val="18"/>
          <w:szCs w:val="18"/>
        </w:rPr>
        <w:t>χ</w:t>
      </w:r>
      <w:r>
        <w:rPr>
          <w:rFonts w:ascii="PalatinoLinotype" w:hAnsi="PalatinoLinotype"/>
          <w:i/>
          <w:iCs/>
          <w:position w:val="4"/>
          <w:sz w:val="12"/>
          <w:szCs w:val="12"/>
        </w:rPr>
        <w:t>2</w:t>
      </w:r>
      <w:r>
        <w:rPr>
          <w:rFonts w:ascii="PalatinoLinotype" w:hAnsi="PalatinoLinotype"/>
          <w:sz w:val="18"/>
          <w:szCs w:val="18"/>
        </w:rPr>
        <w:t xml:space="preserve">) test was used to assess differences between observed and ex‐ </w:t>
      </w:r>
      <w:proofErr w:type="spellStart"/>
      <w:r>
        <w:rPr>
          <w:rFonts w:ascii="PalatinoLinotype" w:hAnsi="PalatinoLinotype"/>
          <w:sz w:val="18"/>
          <w:szCs w:val="18"/>
        </w:rPr>
        <w:t>pected</w:t>
      </w:r>
      <w:proofErr w:type="spellEnd"/>
      <w:r>
        <w:rPr>
          <w:rFonts w:ascii="PalatinoLinotype" w:hAnsi="PalatinoLinotype"/>
          <w:sz w:val="18"/>
          <w:szCs w:val="18"/>
        </w:rPr>
        <w:t xml:space="preserve"> birthdate distributions across quartiles for: (1) Each sex irrespective of age or play‐ </w:t>
      </w:r>
      <w:proofErr w:type="spellStart"/>
      <w:r>
        <w:rPr>
          <w:rFonts w:ascii="PalatinoLinotype" w:hAnsi="PalatinoLinotype"/>
          <w:sz w:val="18"/>
          <w:szCs w:val="18"/>
        </w:rPr>
        <w:t>ing</w:t>
      </w:r>
      <w:proofErr w:type="spellEnd"/>
      <w:r>
        <w:rPr>
          <w:rFonts w:ascii="PalatinoLinotype" w:hAnsi="PalatinoLinotype"/>
          <w:sz w:val="18"/>
          <w:szCs w:val="18"/>
        </w:rPr>
        <w:t xml:space="preserve"> level; (2) Each sex, age group, and qualification status; and (3) Each sex and playing status. Expected birthdates were obtained from a European database [29]. They reflected the average population birthdate distributions for all available nations under the UEFA governing body from 1978–2004, capturing the population records for the birth years of the oldest to youngest players within the sample. Population birthdate distributions were identified as: Q1 = 24.4%; Q2 = 25.4%; Q3 = 26.0%; Q4 = 24.2%. Odds ratios (ORs) and 95% confidence intervals (95% CI) were calculated to compare the odds of the frequency of a quartile/semester to another with a reference group consisting of the relatively youngest players (Q4 or S2, respectively). An OR of 1.0 indicated that the frequency is equal in both quarters/semesters whilst an OR of 2.0 indicated that the frequency of one quarter/semes‐ </w:t>
      </w:r>
      <w:proofErr w:type="spellStart"/>
      <w:r>
        <w:rPr>
          <w:rFonts w:ascii="PalatinoLinotype" w:hAnsi="PalatinoLinotype"/>
          <w:sz w:val="18"/>
          <w:szCs w:val="18"/>
        </w:rPr>
        <w:t>ter</w:t>
      </w:r>
      <w:proofErr w:type="spellEnd"/>
      <w:r>
        <w:rPr>
          <w:rFonts w:ascii="PalatinoLinotype" w:hAnsi="PalatinoLinotype"/>
          <w:sz w:val="18"/>
          <w:szCs w:val="18"/>
        </w:rPr>
        <w:t xml:space="preserve"> is twice as high as the other [11, 16]. ORs were considered significant if the 95% CI range did not include a value &lt;1.00. Furthermore, effect sizes (Cohen’s W) were calculated to determine the magnitude of chi‐squared tests, Cohen [30] proposed that where </w:t>
      </w:r>
      <w:r>
        <w:rPr>
          <w:rFonts w:ascii="PalatinoLinotype" w:hAnsi="PalatinoLinotype"/>
          <w:i/>
          <w:iCs/>
          <w:sz w:val="18"/>
          <w:szCs w:val="18"/>
        </w:rPr>
        <w:t xml:space="preserve">w </w:t>
      </w:r>
      <w:r>
        <w:rPr>
          <w:rFonts w:ascii="PalatinoLinotype" w:hAnsi="PalatinoLinotype"/>
          <w:sz w:val="18"/>
          <w:szCs w:val="18"/>
        </w:rPr>
        <w:t xml:space="preserve">= 0.10, </w:t>
      </w:r>
      <w:r>
        <w:rPr>
          <w:rFonts w:ascii="PalatinoLinotype" w:hAnsi="PalatinoLinotype"/>
          <w:i/>
          <w:iCs/>
          <w:sz w:val="18"/>
          <w:szCs w:val="18"/>
        </w:rPr>
        <w:t xml:space="preserve">w </w:t>
      </w:r>
      <w:r>
        <w:rPr>
          <w:rFonts w:ascii="PalatinoLinotype" w:hAnsi="PalatinoLinotype"/>
          <w:sz w:val="18"/>
          <w:szCs w:val="18"/>
        </w:rPr>
        <w:t xml:space="preserve">= 0.30, and </w:t>
      </w:r>
      <w:r>
        <w:rPr>
          <w:rFonts w:ascii="PalatinoLinotype" w:hAnsi="PalatinoLinotype"/>
          <w:i/>
          <w:iCs/>
          <w:sz w:val="18"/>
          <w:szCs w:val="18"/>
        </w:rPr>
        <w:t xml:space="preserve">w </w:t>
      </w:r>
      <w:r>
        <w:rPr>
          <w:rFonts w:ascii="PalatinoLinotype" w:hAnsi="PalatinoLinotype"/>
          <w:sz w:val="18"/>
          <w:szCs w:val="18"/>
        </w:rPr>
        <w:t xml:space="preserve">= 0.50, they specified small, medium, and large effect sizes, respectively. Where appropriate, alpha was set at </w:t>
      </w:r>
      <w:r>
        <w:rPr>
          <w:rFonts w:ascii="PalatinoLinotype" w:hAnsi="PalatinoLinotype"/>
          <w:i/>
          <w:iCs/>
          <w:sz w:val="18"/>
          <w:szCs w:val="18"/>
        </w:rPr>
        <w:t xml:space="preserve">p </w:t>
      </w:r>
      <w:r>
        <w:rPr>
          <w:rFonts w:ascii="PalatinoLinotype" w:hAnsi="PalatinoLinotype"/>
          <w:sz w:val="18"/>
          <w:szCs w:val="18"/>
        </w:rPr>
        <w:t xml:space="preserve">&lt; 0.05. Data were analysed via SPSS Statistics Ver‐ </w:t>
      </w:r>
      <w:proofErr w:type="spellStart"/>
      <w:r>
        <w:rPr>
          <w:rFonts w:ascii="PalatinoLinotype" w:hAnsi="PalatinoLinotype"/>
          <w:sz w:val="18"/>
          <w:szCs w:val="18"/>
        </w:rPr>
        <w:t>sion</w:t>
      </w:r>
      <w:proofErr w:type="spellEnd"/>
      <w:r>
        <w:rPr>
          <w:rFonts w:ascii="PalatinoLinotype" w:hAnsi="PalatinoLinotype"/>
          <w:sz w:val="18"/>
          <w:szCs w:val="18"/>
        </w:rPr>
        <w:t xml:space="preserve"> 26.0 for Windows (IBM, Chicago, Illinois, United States). </w:t>
      </w:r>
    </w:p>
    <w:p w14:paraId="7169BCF9" w14:textId="77777777" w:rsidR="00582777" w:rsidRDefault="00582777" w:rsidP="00582777">
      <w:pPr>
        <w:pStyle w:val="NormalWeb"/>
      </w:pPr>
      <w:r>
        <w:rPr>
          <w:rFonts w:ascii="PalatinoLinotype" w:hAnsi="PalatinoLinotype"/>
          <w:b/>
          <w:bCs/>
          <w:sz w:val="18"/>
          <w:szCs w:val="18"/>
        </w:rPr>
        <w:t xml:space="preserve">3. Results </w:t>
      </w:r>
    </w:p>
    <w:p w14:paraId="00839446" w14:textId="77777777" w:rsidR="00582777" w:rsidRDefault="00582777" w:rsidP="00582777">
      <w:pPr>
        <w:pStyle w:val="NormalWeb"/>
      </w:pPr>
      <w:r>
        <w:rPr>
          <w:rFonts w:ascii="PalatinoLinotype" w:hAnsi="PalatinoLinotype"/>
          <w:sz w:val="18"/>
          <w:szCs w:val="18"/>
        </w:rPr>
        <w:t>There was a statistically significant RAE for male players [</w:t>
      </w:r>
      <w:r>
        <w:rPr>
          <w:rFonts w:ascii="PalatinoLinotype" w:hAnsi="PalatinoLinotype"/>
          <w:i/>
          <w:iCs/>
          <w:sz w:val="18"/>
          <w:szCs w:val="18"/>
        </w:rPr>
        <w:t>χ</w:t>
      </w:r>
      <w:r>
        <w:rPr>
          <w:rFonts w:ascii="PalatinoLinotype" w:hAnsi="PalatinoLinotype"/>
          <w:i/>
          <w:iCs/>
          <w:position w:val="4"/>
          <w:sz w:val="12"/>
          <w:szCs w:val="12"/>
        </w:rPr>
        <w:t xml:space="preserve">2 </w:t>
      </w:r>
      <w:r>
        <w:rPr>
          <w:rFonts w:ascii="PalatinoLinotype" w:hAnsi="PalatinoLinotype"/>
          <w:sz w:val="18"/>
          <w:szCs w:val="18"/>
        </w:rPr>
        <w:t>= (</w:t>
      </w:r>
      <w:r>
        <w:rPr>
          <w:rFonts w:ascii="PalatinoLinotype" w:hAnsi="PalatinoLinotype"/>
          <w:i/>
          <w:iCs/>
          <w:sz w:val="18"/>
          <w:szCs w:val="18"/>
        </w:rPr>
        <w:t xml:space="preserve">n </w:t>
      </w:r>
      <w:r>
        <w:rPr>
          <w:rFonts w:ascii="PalatinoLinotype" w:hAnsi="PalatinoLinotype"/>
          <w:sz w:val="18"/>
          <w:szCs w:val="18"/>
        </w:rPr>
        <w:t xml:space="preserve">= 4159) = 10.2, </w:t>
      </w:r>
      <w:r>
        <w:rPr>
          <w:rFonts w:ascii="PalatinoLinotype" w:hAnsi="PalatinoLinotype"/>
          <w:i/>
          <w:iCs/>
          <w:sz w:val="18"/>
          <w:szCs w:val="18"/>
        </w:rPr>
        <w:t xml:space="preserve">p </w:t>
      </w:r>
      <w:r>
        <w:rPr>
          <w:rFonts w:ascii="PalatinoLinotype" w:hAnsi="PalatinoLinotype"/>
          <w:sz w:val="18"/>
          <w:szCs w:val="18"/>
        </w:rPr>
        <w:t>= 0.017], but not female players [</w:t>
      </w:r>
      <w:r>
        <w:rPr>
          <w:rFonts w:ascii="PalatinoLinotype" w:hAnsi="PalatinoLinotype"/>
          <w:i/>
          <w:iCs/>
          <w:sz w:val="18"/>
          <w:szCs w:val="18"/>
        </w:rPr>
        <w:t>χ</w:t>
      </w:r>
      <w:r>
        <w:rPr>
          <w:rFonts w:ascii="PalatinoLinotype" w:hAnsi="PalatinoLinotype"/>
          <w:i/>
          <w:iCs/>
          <w:position w:val="4"/>
          <w:sz w:val="12"/>
          <w:szCs w:val="12"/>
        </w:rPr>
        <w:t xml:space="preserve">2 </w:t>
      </w:r>
      <w:r>
        <w:rPr>
          <w:rFonts w:ascii="PalatinoLinotype" w:hAnsi="PalatinoLinotype"/>
          <w:sz w:val="18"/>
          <w:szCs w:val="18"/>
        </w:rPr>
        <w:t>= (</w:t>
      </w:r>
      <w:r>
        <w:rPr>
          <w:rFonts w:ascii="PalatinoLinotype" w:hAnsi="PalatinoLinotype"/>
          <w:i/>
          <w:iCs/>
          <w:sz w:val="18"/>
          <w:szCs w:val="18"/>
        </w:rPr>
        <w:t xml:space="preserve">n </w:t>
      </w:r>
      <w:r>
        <w:rPr>
          <w:rFonts w:ascii="PalatinoLinotype" w:hAnsi="PalatinoLinotype"/>
          <w:sz w:val="18"/>
          <w:szCs w:val="18"/>
        </w:rPr>
        <w:t xml:space="preserve">= 2387) = 1.2, </w:t>
      </w:r>
      <w:r>
        <w:rPr>
          <w:rFonts w:ascii="PalatinoLinotype" w:hAnsi="PalatinoLinotype"/>
          <w:i/>
          <w:iCs/>
          <w:sz w:val="18"/>
          <w:szCs w:val="18"/>
        </w:rPr>
        <w:t xml:space="preserve">p </w:t>
      </w:r>
      <w:r>
        <w:rPr>
          <w:rFonts w:ascii="PalatinoLinotype" w:hAnsi="PalatinoLinotype"/>
          <w:sz w:val="18"/>
          <w:szCs w:val="18"/>
        </w:rPr>
        <w:t xml:space="preserve">= 0.765]. Male players born in the first quartile were over‐represented (Q1 vs Q4, </w:t>
      </w:r>
      <w:r>
        <w:rPr>
          <w:rFonts w:ascii="PalatinoLinotype" w:hAnsi="PalatinoLinotype"/>
          <w:i/>
          <w:iCs/>
          <w:sz w:val="18"/>
          <w:szCs w:val="18"/>
        </w:rPr>
        <w:t xml:space="preserve">OR </w:t>
      </w:r>
      <w:r>
        <w:rPr>
          <w:rFonts w:ascii="PalatinoLinotype" w:hAnsi="PalatinoLinotype"/>
          <w:sz w:val="18"/>
          <w:szCs w:val="18"/>
        </w:rPr>
        <w:t xml:space="preserve">= 2.4, </w:t>
      </w:r>
      <w:r>
        <w:rPr>
          <w:rFonts w:ascii="PalatinoLinotype" w:hAnsi="PalatinoLinotype"/>
          <w:i/>
          <w:iCs/>
          <w:sz w:val="18"/>
          <w:szCs w:val="18"/>
        </w:rPr>
        <w:lastRenderedPageBreak/>
        <w:t xml:space="preserve">CI </w:t>
      </w:r>
      <w:r>
        <w:rPr>
          <w:rFonts w:ascii="PalatinoLinotype" w:hAnsi="PalatinoLinotype"/>
          <w:sz w:val="18"/>
          <w:szCs w:val="18"/>
        </w:rPr>
        <w:t xml:space="preserve">= 0.8–3.7 Figure 1), and the ORs declined marginally for comparisons later in the year, with Q4 being inferior for each </w:t>
      </w:r>
    </w:p>
    <w:p w14:paraId="3B771B8F" w14:textId="52DBDFA0" w:rsidR="00582777" w:rsidRDefault="00582777" w:rsidP="00582777">
      <w:pPr>
        <w:pStyle w:val="NormalWeb"/>
      </w:pPr>
    </w:p>
    <w:p w14:paraId="581EDEAF" w14:textId="3351B18C" w:rsidR="00582777" w:rsidRDefault="00582777" w:rsidP="00582777">
      <w:pPr>
        <w:pStyle w:val="NormalWeb"/>
      </w:pPr>
    </w:p>
    <w:p w14:paraId="601516C2" w14:textId="2416F495" w:rsidR="00582777" w:rsidRDefault="00582777" w:rsidP="00582777">
      <w:pPr>
        <w:pStyle w:val="NormalWeb"/>
      </w:pPr>
    </w:p>
    <w:p w14:paraId="1FB1C562" w14:textId="01EDFE7F" w:rsidR="00582777" w:rsidRDefault="00582777" w:rsidP="00582777">
      <w:pPr>
        <w:pStyle w:val="NormalWeb"/>
      </w:pPr>
    </w:p>
    <w:p w14:paraId="2D6E432E" w14:textId="5E351225" w:rsidR="00582777" w:rsidRDefault="00582777" w:rsidP="00582777">
      <w:pPr>
        <w:pStyle w:val="NormalWeb"/>
      </w:pPr>
      <w:r>
        <w:rPr>
          <w:noProof/>
        </w:rPr>
        <w:drawing>
          <wp:inline distT="0" distB="0" distL="0" distR="0" wp14:anchorId="60C8F70B" wp14:editId="1F2C312A">
            <wp:extent cx="5727700" cy="3252470"/>
            <wp:effectExtent l="0" t="0" r="0" b="0"/>
            <wp:docPr id="2" name="Picture 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7700" cy="3252470"/>
                    </a:xfrm>
                    <a:prstGeom prst="rect">
                      <a:avLst/>
                    </a:prstGeom>
                  </pic:spPr>
                </pic:pic>
              </a:graphicData>
            </a:graphic>
          </wp:inline>
        </w:drawing>
      </w:r>
    </w:p>
    <w:p w14:paraId="4F42F4ED" w14:textId="77777777" w:rsidR="00582777" w:rsidRDefault="00582777" w:rsidP="00582777">
      <w:pPr>
        <w:pStyle w:val="NormalWeb"/>
      </w:pPr>
      <w:r>
        <w:rPr>
          <w:rFonts w:ascii="PalatinoLinotype" w:hAnsi="PalatinoLinotype"/>
          <w:b/>
          <w:bCs/>
          <w:sz w:val="16"/>
          <w:szCs w:val="16"/>
        </w:rPr>
        <w:t xml:space="preserve">Figure 1. </w:t>
      </w:r>
      <w:r>
        <w:rPr>
          <w:rFonts w:ascii="PalatinoLinotype" w:hAnsi="PalatinoLinotype"/>
          <w:sz w:val="16"/>
          <w:szCs w:val="16"/>
        </w:rPr>
        <w:t xml:space="preserve">Birth quartile distribution for female (light grey) and male (dark grey) soccer players. </w:t>
      </w:r>
    </w:p>
    <w:p w14:paraId="7FF32016" w14:textId="3844F404" w:rsidR="00582777" w:rsidRDefault="00582777" w:rsidP="00582777">
      <w:pPr>
        <w:pStyle w:val="NormalWeb"/>
      </w:pPr>
      <w:r>
        <w:rPr>
          <w:rFonts w:ascii="PalatinoLinotype" w:hAnsi="PalatinoLinotype"/>
          <w:sz w:val="18"/>
          <w:szCs w:val="18"/>
        </w:rPr>
        <w:t xml:space="preserve">The frequency and percentage distributions of players’ birth quartiles for competition level and qualification status are presented in Table 2. For competition level, irrespective of qualification status, there were statistically significant RAEs for male [U17s: </w:t>
      </w:r>
      <w:r>
        <w:rPr>
          <w:rFonts w:ascii="PalatinoLinotype" w:hAnsi="PalatinoLinotype"/>
          <w:i/>
          <w:iCs/>
          <w:sz w:val="18"/>
          <w:szCs w:val="18"/>
        </w:rPr>
        <w:t>χ</w:t>
      </w:r>
      <w:r>
        <w:rPr>
          <w:rFonts w:ascii="PalatinoLinotype" w:hAnsi="PalatinoLinotype"/>
          <w:i/>
          <w:iCs/>
          <w:position w:val="4"/>
          <w:sz w:val="12"/>
          <w:szCs w:val="12"/>
        </w:rPr>
        <w:t xml:space="preserve">2 </w:t>
      </w:r>
      <w:r>
        <w:rPr>
          <w:rFonts w:ascii="PalatinoLinotype" w:hAnsi="PalatinoLinotype"/>
          <w:sz w:val="18"/>
          <w:szCs w:val="18"/>
        </w:rPr>
        <w:t>= (</w:t>
      </w:r>
      <w:r>
        <w:rPr>
          <w:rFonts w:ascii="PalatinoLinotype" w:hAnsi="PalatinoLinotype"/>
          <w:i/>
          <w:iCs/>
          <w:sz w:val="18"/>
          <w:szCs w:val="18"/>
        </w:rPr>
        <w:t xml:space="preserve">n </w:t>
      </w:r>
      <w:r>
        <w:rPr>
          <w:rFonts w:ascii="PalatinoLinotype" w:hAnsi="PalatinoLinotype"/>
          <w:sz w:val="18"/>
          <w:szCs w:val="18"/>
        </w:rPr>
        <w:t>=1187)=24.6,</w:t>
      </w:r>
      <w:r>
        <w:rPr>
          <w:rFonts w:ascii="PalatinoLinotype" w:hAnsi="PalatinoLinotype"/>
          <w:i/>
          <w:iCs/>
          <w:sz w:val="18"/>
          <w:szCs w:val="18"/>
        </w:rPr>
        <w:t>p</w:t>
      </w:r>
      <w:r>
        <w:rPr>
          <w:rFonts w:ascii="PalatinoLinotype" w:hAnsi="PalatinoLinotype"/>
          <w:sz w:val="18"/>
          <w:szCs w:val="18"/>
        </w:rPr>
        <w:t>&lt;0.001;U19s:</w:t>
      </w:r>
      <w:r>
        <w:rPr>
          <w:rFonts w:ascii="PalatinoLinotype" w:hAnsi="PalatinoLinotype"/>
          <w:i/>
          <w:iCs/>
          <w:sz w:val="18"/>
          <w:szCs w:val="18"/>
        </w:rPr>
        <w:t>χ</w:t>
      </w:r>
      <w:r>
        <w:rPr>
          <w:rFonts w:ascii="PalatinoLinotype" w:hAnsi="PalatinoLinotype"/>
          <w:i/>
          <w:iCs/>
          <w:position w:val="4"/>
          <w:sz w:val="12"/>
          <w:szCs w:val="12"/>
        </w:rPr>
        <w:t xml:space="preserve">2 </w:t>
      </w:r>
      <w:r>
        <w:rPr>
          <w:rFonts w:ascii="PalatinoLinotype" w:hAnsi="PalatinoLinotype"/>
          <w:sz w:val="18"/>
          <w:szCs w:val="18"/>
        </w:rPr>
        <w:t>=(</w:t>
      </w:r>
      <w:r>
        <w:rPr>
          <w:rFonts w:ascii="PalatinoLinotype" w:hAnsi="PalatinoLinotype"/>
          <w:i/>
          <w:iCs/>
          <w:sz w:val="18"/>
          <w:szCs w:val="18"/>
        </w:rPr>
        <w:t>n</w:t>
      </w:r>
      <w:r>
        <w:rPr>
          <w:rFonts w:ascii="PalatinoLinotype" w:hAnsi="PalatinoLinotype"/>
          <w:sz w:val="18"/>
          <w:szCs w:val="18"/>
        </w:rPr>
        <w:t>=1229)=15.7,</w:t>
      </w:r>
      <w:r>
        <w:rPr>
          <w:rFonts w:ascii="PalatinoLinotype" w:hAnsi="PalatinoLinotype"/>
          <w:i/>
          <w:iCs/>
          <w:sz w:val="18"/>
          <w:szCs w:val="18"/>
        </w:rPr>
        <w:t>p</w:t>
      </w:r>
      <w:r>
        <w:rPr>
          <w:rFonts w:ascii="PalatinoLinotype" w:hAnsi="PalatinoLinotype"/>
          <w:sz w:val="18"/>
          <w:szCs w:val="18"/>
        </w:rPr>
        <w:t>=0.001;Senior:</w:t>
      </w:r>
      <w:r>
        <w:rPr>
          <w:rFonts w:ascii="PalatinoLinotype" w:hAnsi="PalatinoLinotype"/>
          <w:i/>
          <w:iCs/>
          <w:sz w:val="18"/>
          <w:szCs w:val="18"/>
        </w:rPr>
        <w:t>χ</w:t>
      </w:r>
      <w:r>
        <w:rPr>
          <w:rFonts w:ascii="PalatinoLinotype" w:hAnsi="PalatinoLinotype"/>
          <w:i/>
          <w:iCs/>
          <w:position w:val="4"/>
          <w:sz w:val="12"/>
          <w:szCs w:val="12"/>
        </w:rPr>
        <w:t xml:space="preserve">2 </w:t>
      </w:r>
      <w:r>
        <w:rPr>
          <w:rFonts w:ascii="PalatinoLinotype" w:hAnsi="PalatinoLinotype"/>
          <w:sz w:val="18"/>
          <w:szCs w:val="18"/>
        </w:rPr>
        <w:t>=(</w:t>
      </w:r>
      <w:r>
        <w:rPr>
          <w:rFonts w:ascii="PalatinoLinotype" w:hAnsi="PalatinoLinotype"/>
          <w:i/>
          <w:iCs/>
          <w:sz w:val="18"/>
          <w:szCs w:val="18"/>
        </w:rPr>
        <w:t>n</w:t>
      </w:r>
      <w:r>
        <w:rPr>
          <w:rFonts w:ascii="PalatinoLinotype" w:hAnsi="PalatinoLinotype"/>
          <w:sz w:val="18"/>
          <w:szCs w:val="18"/>
        </w:rPr>
        <w:t xml:space="preserve">=1743)=2.3, </w:t>
      </w:r>
      <w:r>
        <w:rPr>
          <w:rFonts w:ascii="PalatinoLinotype" w:hAnsi="PalatinoLinotype"/>
          <w:i/>
          <w:iCs/>
          <w:sz w:val="18"/>
          <w:szCs w:val="18"/>
        </w:rPr>
        <w:t>p</w:t>
      </w:r>
      <w:r>
        <w:rPr>
          <w:rFonts w:ascii="PalatinoLinotype" w:hAnsi="PalatinoLinotype"/>
          <w:sz w:val="18"/>
          <w:szCs w:val="18"/>
        </w:rPr>
        <w:t>=0.506],but</w:t>
      </w:r>
      <w:r>
        <w:rPr>
          <w:rFonts w:ascii="PalatinoLinotype" w:hAnsi="PalatinoLinotype"/>
          <w:sz w:val="18"/>
          <w:szCs w:val="18"/>
        </w:rPr>
        <w:t xml:space="preserve"> </w:t>
      </w:r>
      <w:r>
        <w:rPr>
          <w:rFonts w:ascii="PalatinoLinotype" w:hAnsi="PalatinoLinotype"/>
          <w:sz w:val="18"/>
          <w:szCs w:val="18"/>
        </w:rPr>
        <w:t>not</w:t>
      </w:r>
      <w:r>
        <w:rPr>
          <w:rFonts w:ascii="PalatinoLinotype" w:hAnsi="PalatinoLinotype"/>
          <w:sz w:val="18"/>
          <w:szCs w:val="18"/>
        </w:rPr>
        <w:t xml:space="preserve"> </w:t>
      </w:r>
      <w:r>
        <w:rPr>
          <w:rFonts w:ascii="PalatinoLinotype" w:hAnsi="PalatinoLinotype"/>
          <w:sz w:val="18"/>
          <w:szCs w:val="18"/>
        </w:rPr>
        <w:t>female</w:t>
      </w:r>
      <w:r>
        <w:rPr>
          <w:rFonts w:ascii="PalatinoLinotype" w:hAnsi="PalatinoLinotype"/>
          <w:sz w:val="18"/>
          <w:szCs w:val="18"/>
        </w:rPr>
        <w:t xml:space="preserve"> </w:t>
      </w:r>
      <w:r>
        <w:rPr>
          <w:rFonts w:ascii="PalatinoLinotype" w:hAnsi="PalatinoLinotype"/>
          <w:sz w:val="18"/>
          <w:szCs w:val="18"/>
        </w:rPr>
        <w:t>players[U17s:</w:t>
      </w:r>
      <w:r>
        <w:rPr>
          <w:rFonts w:ascii="PalatinoLinotype" w:hAnsi="PalatinoLinotype"/>
          <w:i/>
          <w:iCs/>
          <w:sz w:val="18"/>
          <w:szCs w:val="18"/>
        </w:rPr>
        <w:t>χ</w:t>
      </w:r>
      <w:r>
        <w:rPr>
          <w:rFonts w:ascii="PalatinoLinotype" w:hAnsi="PalatinoLinotype"/>
          <w:i/>
          <w:iCs/>
          <w:position w:val="4"/>
          <w:sz w:val="12"/>
          <w:szCs w:val="12"/>
        </w:rPr>
        <w:t xml:space="preserve">2 </w:t>
      </w:r>
      <w:r>
        <w:rPr>
          <w:rFonts w:ascii="PalatinoLinotype" w:hAnsi="PalatinoLinotype"/>
          <w:sz w:val="18"/>
          <w:szCs w:val="18"/>
        </w:rPr>
        <w:t>=(</w:t>
      </w:r>
      <w:r>
        <w:rPr>
          <w:rFonts w:ascii="PalatinoLinotype" w:hAnsi="PalatinoLinotype"/>
          <w:i/>
          <w:iCs/>
          <w:sz w:val="18"/>
          <w:szCs w:val="18"/>
        </w:rPr>
        <w:t>n</w:t>
      </w:r>
      <w:r>
        <w:rPr>
          <w:rFonts w:ascii="PalatinoLinotype" w:hAnsi="PalatinoLinotype"/>
          <w:sz w:val="18"/>
          <w:szCs w:val="18"/>
        </w:rPr>
        <w:t>=324)=1.5,</w:t>
      </w:r>
      <w:r>
        <w:rPr>
          <w:rFonts w:ascii="PalatinoLinotype" w:hAnsi="PalatinoLinotype"/>
          <w:i/>
          <w:iCs/>
          <w:sz w:val="18"/>
          <w:szCs w:val="18"/>
        </w:rPr>
        <w:t>p</w:t>
      </w:r>
      <w:r>
        <w:rPr>
          <w:rFonts w:ascii="PalatinoLinotype" w:hAnsi="PalatinoLinotype"/>
          <w:sz w:val="18"/>
          <w:szCs w:val="18"/>
        </w:rPr>
        <w:t>=0.680;U19s:</w:t>
      </w:r>
      <w:r>
        <w:rPr>
          <w:rFonts w:ascii="PalatinoLinotype" w:hAnsi="PalatinoLinotype"/>
          <w:i/>
          <w:iCs/>
          <w:sz w:val="18"/>
          <w:szCs w:val="18"/>
        </w:rPr>
        <w:t>χ</w:t>
      </w:r>
      <w:r>
        <w:rPr>
          <w:rFonts w:ascii="PalatinoLinotype" w:hAnsi="PalatinoLinotype"/>
          <w:i/>
          <w:iCs/>
          <w:position w:val="4"/>
          <w:sz w:val="12"/>
          <w:szCs w:val="12"/>
        </w:rPr>
        <w:t xml:space="preserve">2 </w:t>
      </w:r>
      <w:r>
        <w:rPr>
          <w:rFonts w:ascii="PalatinoLinotype" w:hAnsi="PalatinoLinotype"/>
          <w:sz w:val="18"/>
          <w:szCs w:val="18"/>
        </w:rPr>
        <w:t>=(</w:t>
      </w:r>
      <w:r>
        <w:rPr>
          <w:rFonts w:ascii="PalatinoLinotype" w:hAnsi="PalatinoLinotype"/>
          <w:i/>
          <w:iCs/>
          <w:sz w:val="18"/>
          <w:szCs w:val="18"/>
        </w:rPr>
        <w:t>n</w:t>
      </w:r>
      <w:r>
        <w:rPr>
          <w:rFonts w:ascii="PalatinoLinotype" w:hAnsi="PalatinoLinotype"/>
          <w:sz w:val="18"/>
          <w:szCs w:val="18"/>
        </w:rPr>
        <w:t xml:space="preserve">=293)= 4.8, </w:t>
      </w:r>
      <w:r>
        <w:rPr>
          <w:rFonts w:ascii="PalatinoLinotype" w:hAnsi="PalatinoLinotype"/>
          <w:i/>
          <w:iCs/>
          <w:sz w:val="18"/>
          <w:szCs w:val="18"/>
        </w:rPr>
        <w:t xml:space="preserve">p </w:t>
      </w:r>
      <w:r>
        <w:rPr>
          <w:rFonts w:ascii="PalatinoLinotype" w:hAnsi="PalatinoLinotype"/>
          <w:sz w:val="18"/>
          <w:szCs w:val="18"/>
        </w:rPr>
        <w:t xml:space="preserve">= 0.187; Senior: </w:t>
      </w:r>
      <w:r>
        <w:rPr>
          <w:rFonts w:ascii="PalatinoLinotype" w:hAnsi="PalatinoLinotype"/>
          <w:i/>
          <w:iCs/>
          <w:sz w:val="18"/>
          <w:szCs w:val="18"/>
        </w:rPr>
        <w:t>χ</w:t>
      </w:r>
      <w:r>
        <w:rPr>
          <w:rFonts w:ascii="PalatinoLinotype" w:hAnsi="PalatinoLinotype"/>
          <w:i/>
          <w:iCs/>
          <w:position w:val="4"/>
          <w:sz w:val="12"/>
          <w:szCs w:val="12"/>
        </w:rPr>
        <w:t xml:space="preserve">2 </w:t>
      </w:r>
      <w:r>
        <w:rPr>
          <w:rFonts w:ascii="PalatinoLinotype" w:hAnsi="PalatinoLinotype"/>
          <w:sz w:val="18"/>
          <w:szCs w:val="18"/>
        </w:rPr>
        <w:t>= (</w:t>
      </w:r>
      <w:r>
        <w:rPr>
          <w:rFonts w:ascii="PalatinoLinotype" w:hAnsi="PalatinoLinotype"/>
          <w:i/>
          <w:iCs/>
          <w:sz w:val="18"/>
          <w:szCs w:val="18"/>
        </w:rPr>
        <w:t xml:space="preserve">n </w:t>
      </w:r>
      <w:r>
        <w:rPr>
          <w:rFonts w:ascii="PalatinoLinotype" w:hAnsi="PalatinoLinotype"/>
          <w:sz w:val="18"/>
          <w:szCs w:val="18"/>
        </w:rPr>
        <w:t xml:space="preserve">= 1101) = 1.1, </w:t>
      </w:r>
      <w:r>
        <w:rPr>
          <w:rFonts w:ascii="PalatinoLinotype" w:hAnsi="PalatinoLinotype"/>
          <w:i/>
          <w:iCs/>
          <w:sz w:val="18"/>
          <w:szCs w:val="18"/>
        </w:rPr>
        <w:t xml:space="preserve">p </w:t>
      </w:r>
      <w:r>
        <w:rPr>
          <w:rFonts w:ascii="PalatinoLinotype" w:hAnsi="PalatinoLinotype"/>
          <w:sz w:val="18"/>
          <w:szCs w:val="18"/>
        </w:rPr>
        <w:t>= 0.788]. In male players, the chi‐squared test</w:t>
      </w:r>
      <w:r>
        <w:rPr>
          <w:rFonts w:ascii="PalatinoLinotype" w:hAnsi="PalatinoLinotype"/>
          <w:sz w:val="18"/>
          <w:szCs w:val="18"/>
        </w:rPr>
        <w:t xml:space="preserve"> </w:t>
      </w:r>
      <w:r>
        <w:rPr>
          <w:rFonts w:ascii="PalatinoLinotype" w:hAnsi="PalatinoLinotype"/>
          <w:sz w:val="18"/>
          <w:szCs w:val="18"/>
        </w:rPr>
        <w:t xml:space="preserve">indicated significant deviations in birth quartiles for the U17 and U19 levels only, with players born in the first quartile (U17 = 43.2%; U19 = 39.6%) being over‐represented (Q1 vs Q4, U17: </w:t>
      </w:r>
      <w:r>
        <w:rPr>
          <w:rFonts w:ascii="PalatinoLinotype" w:hAnsi="PalatinoLinotype"/>
          <w:i/>
          <w:iCs/>
          <w:sz w:val="18"/>
          <w:szCs w:val="18"/>
        </w:rPr>
        <w:t xml:space="preserve">OR </w:t>
      </w:r>
      <w:r>
        <w:rPr>
          <w:rFonts w:ascii="PalatinoLinotype" w:hAnsi="PalatinoLinotype"/>
          <w:sz w:val="18"/>
          <w:szCs w:val="18"/>
        </w:rPr>
        <w:t xml:space="preserve">= 4.3, </w:t>
      </w:r>
      <w:r>
        <w:rPr>
          <w:rFonts w:ascii="PalatinoLinotype" w:hAnsi="PalatinoLinotype"/>
          <w:i/>
          <w:iCs/>
          <w:sz w:val="18"/>
          <w:szCs w:val="18"/>
        </w:rPr>
        <w:t xml:space="preserve">CI </w:t>
      </w:r>
      <w:r>
        <w:rPr>
          <w:rFonts w:ascii="PalatinoLinotype" w:hAnsi="PalatinoLinotype"/>
          <w:sz w:val="18"/>
          <w:szCs w:val="18"/>
        </w:rPr>
        <w:t xml:space="preserve">= 1.8–10.4; U19: </w:t>
      </w:r>
      <w:r>
        <w:rPr>
          <w:rFonts w:ascii="PalatinoLinotype" w:hAnsi="PalatinoLinotype"/>
          <w:i/>
          <w:iCs/>
          <w:sz w:val="18"/>
          <w:szCs w:val="18"/>
        </w:rPr>
        <w:t xml:space="preserve">OR </w:t>
      </w:r>
      <w:r>
        <w:rPr>
          <w:rFonts w:ascii="PalatinoLinotype" w:hAnsi="PalatinoLinotype"/>
          <w:sz w:val="18"/>
          <w:szCs w:val="18"/>
        </w:rPr>
        <w:t xml:space="preserve">= 2.6, </w:t>
      </w:r>
      <w:r>
        <w:rPr>
          <w:rFonts w:ascii="PalatinoLinotype" w:hAnsi="PalatinoLinotype"/>
          <w:i/>
          <w:iCs/>
          <w:sz w:val="18"/>
          <w:szCs w:val="18"/>
        </w:rPr>
        <w:t xml:space="preserve">CI </w:t>
      </w:r>
      <w:r>
        <w:rPr>
          <w:rFonts w:ascii="PalatinoLinotype" w:hAnsi="PalatinoLinotype"/>
          <w:sz w:val="18"/>
          <w:szCs w:val="18"/>
        </w:rPr>
        <w:t xml:space="preserve">= 1.2‐ 5.9, Table 2), and the ORs decreased for comparisons later in the year, with Q4 (U17 = 10.0%; U19 = 15.1%) being inferior for each case (Q2 vs. Q4, U17: </w:t>
      </w:r>
      <w:r>
        <w:rPr>
          <w:rFonts w:ascii="PalatinoLinotype" w:hAnsi="PalatinoLinotype"/>
          <w:i/>
          <w:iCs/>
          <w:sz w:val="18"/>
          <w:szCs w:val="18"/>
        </w:rPr>
        <w:t xml:space="preserve">OR </w:t>
      </w:r>
      <w:r>
        <w:rPr>
          <w:rFonts w:ascii="PalatinoLinotype" w:hAnsi="PalatinoLinotype"/>
          <w:sz w:val="18"/>
          <w:szCs w:val="18"/>
        </w:rPr>
        <w:t xml:space="preserve">= 2.7, </w:t>
      </w:r>
      <w:r>
        <w:rPr>
          <w:rFonts w:ascii="PalatinoLinotype" w:hAnsi="PalatinoLinotype"/>
          <w:i/>
          <w:iCs/>
          <w:sz w:val="18"/>
          <w:szCs w:val="18"/>
        </w:rPr>
        <w:t xml:space="preserve">CI </w:t>
      </w:r>
      <w:r>
        <w:rPr>
          <w:rFonts w:ascii="PalatinoLinotype" w:hAnsi="PalatinoLinotype"/>
          <w:sz w:val="18"/>
          <w:szCs w:val="18"/>
        </w:rPr>
        <w:t xml:space="preserve">= 1.1–6.8; U19: </w:t>
      </w:r>
      <w:r>
        <w:rPr>
          <w:rFonts w:ascii="PalatinoLinotype" w:hAnsi="PalatinoLinotype"/>
          <w:i/>
          <w:iCs/>
          <w:sz w:val="18"/>
          <w:szCs w:val="18"/>
        </w:rPr>
        <w:t xml:space="preserve">OR </w:t>
      </w:r>
      <w:r>
        <w:rPr>
          <w:rFonts w:ascii="PalatinoLinotype" w:hAnsi="PalatinoLinotype"/>
          <w:sz w:val="18"/>
          <w:szCs w:val="18"/>
        </w:rPr>
        <w:t xml:space="preserve">= 1.8, </w:t>
      </w:r>
      <w:r>
        <w:rPr>
          <w:rFonts w:ascii="PalatinoLinotype" w:hAnsi="PalatinoLinotype"/>
          <w:i/>
          <w:iCs/>
          <w:sz w:val="18"/>
          <w:szCs w:val="18"/>
        </w:rPr>
        <w:t xml:space="preserve">CI </w:t>
      </w:r>
      <w:r>
        <w:rPr>
          <w:rFonts w:ascii="PalatinoLinotype" w:hAnsi="PalatinoLinotype"/>
          <w:sz w:val="18"/>
          <w:szCs w:val="18"/>
        </w:rPr>
        <w:t>= 0.8–4.2</w:t>
      </w:r>
      <w:r>
        <w:rPr>
          <w:rFonts w:ascii="PalatinoLinotype" w:hAnsi="PalatinoLinotype"/>
          <w:b/>
          <w:bCs/>
          <w:sz w:val="18"/>
          <w:szCs w:val="18"/>
        </w:rPr>
        <w:t xml:space="preserve">, </w:t>
      </w:r>
      <w:r>
        <w:rPr>
          <w:rFonts w:ascii="PalatinoLinotype" w:hAnsi="PalatinoLinotype"/>
          <w:sz w:val="18"/>
          <w:szCs w:val="18"/>
        </w:rPr>
        <w:t xml:space="preserve">Q3 vs. Q4, U17: </w:t>
      </w:r>
      <w:r>
        <w:rPr>
          <w:rFonts w:ascii="PalatinoLinotype" w:hAnsi="PalatinoLinotype"/>
          <w:i/>
          <w:iCs/>
          <w:sz w:val="18"/>
          <w:szCs w:val="18"/>
        </w:rPr>
        <w:t xml:space="preserve">OR </w:t>
      </w:r>
      <w:r>
        <w:rPr>
          <w:rFonts w:ascii="PalatinoLinotype" w:hAnsi="PalatinoLinotype"/>
          <w:sz w:val="18"/>
          <w:szCs w:val="18"/>
        </w:rPr>
        <w:t xml:space="preserve">= 1.9, </w:t>
      </w:r>
      <w:r>
        <w:rPr>
          <w:rFonts w:ascii="PalatinoLinotype" w:hAnsi="PalatinoLinotype"/>
          <w:i/>
          <w:iCs/>
          <w:sz w:val="18"/>
          <w:szCs w:val="18"/>
        </w:rPr>
        <w:t xml:space="preserve">CI </w:t>
      </w:r>
      <w:r>
        <w:rPr>
          <w:rFonts w:ascii="PalatinoLinotype" w:hAnsi="PalatinoLinotype"/>
          <w:sz w:val="18"/>
          <w:szCs w:val="18"/>
        </w:rPr>
        <w:t xml:space="preserve">= 0.8–5.0; U19: </w:t>
      </w:r>
      <w:r>
        <w:rPr>
          <w:rFonts w:ascii="PalatinoLinotype" w:hAnsi="PalatinoLinotype"/>
          <w:i/>
          <w:iCs/>
          <w:sz w:val="18"/>
          <w:szCs w:val="18"/>
        </w:rPr>
        <w:t xml:space="preserve">OR </w:t>
      </w:r>
      <w:r>
        <w:rPr>
          <w:rFonts w:ascii="PalatinoLinotype" w:hAnsi="PalatinoLinotype"/>
          <w:sz w:val="18"/>
          <w:szCs w:val="18"/>
        </w:rPr>
        <w:t xml:space="preserve">= 1.2, </w:t>
      </w:r>
      <w:r>
        <w:rPr>
          <w:rFonts w:ascii="PalatinoLinotype" w:hAnsi="PalatinoLinotype"/>
          <w:i/>
          <w:iCs/>
          <w:sz w:val="18"/>
          <w:szCs w:val="18"/>
        </w:rPr>
        <w:t xml:space="preserve">CI </w:t>
      </w:r>
      <w:r>
        <w:rPr>
          <w:rFonts w:ascii="PalatinoLinotype" w:hAnsi="PalatinoLinotype"/>
          <w:sz w:val="18"/>
          <w:szCs w:val="18"/>
        </w:rPr>
        <w:t xml:space="preserve">= 0.5–2.9). Analysis revealed that although Q1 were over‐represented, a significant RAE did not exist for senior players. Further analysis on male U17 and U19 players indicated significant deviations in birth quartiles for both players that had qualified [U17s: </w:t>
      </w:r>
      <w:r>
        <w:rPr>
          <w:rFonts w:ascii="PalatinoLinotype" w:hAnsi="PalatinoLinotype"/>
          <w:i/>
          <w:iCs/>
          <w:sz w:val="18"/>
          <w:szCs w:val="18"/>
        </w:rPr>
        <w:t>χ</w:t>
      </w:r>
      <w:r>
        <w:rPr>
          <w:rFonts w:ascii="PalatinoLinotype" w:hAnsi="PalatinoLinotype"/>
          <w:i/>
          <w:iCs/>
          <w:position w:val="4"/>
          <w:sz w:val="12"/>
          <w:szCs w:val="12"/>
        </w:rPr>
        <w:t xml:space="preserve">2 </w:t>
      </w:r>
      <w:r>
        <w:rPr>
          <w:rFonts w:ascii="PalatinoLinotype" w:hAnsi="PalatinoLinotype"/>
          <w:sz w:val="18"/>
          <w:szCs w:val="18"/>
        </w:rPr>
        <w:t>= (</w:t>
      </w:r>
      <w:r>
        <w:rPr>
          <w:rFonts w:ascii="PalatinoLinotype" w:hAnsi="PalatinoLinotype"/>
          <w:i/>
          <w:iCs/>
          <w:sz w:val="18"/>
          <w:szCs w:val="18"/>
        </w:rPr>
        <w:t xml:space="preserve">n </w:t>
      </w:r>
      <w:r>
        <w:rPr>
          <w:rFonts w:ascii="PalatinoLinotype" w:hAnsi="PalatinoLinotype"/>
          <w:sz w:val="18"/>
          <w:szCs w:val="18"/>
        </w:rPr>
        <w:t xml:space="preserve">= 323) = 32.9, </w:t>
      </w:r>
      <w:r>
        <w:rPr>
          <w:rFonts w:ascii="PalatinoLinotype" w:hAnsi="PalatinoLinotype"/>
          <w:i/>
          <w:iCs/>
          <w:sz w:val="18"/>
          <w:szCs w:val="18"/>
        </w:rPr>
        <w:t xml:space="preserve">p </w:t>
      </w:r>
      <w:r>
        <w:rPr>
          <w:rFonts w:ascii="PalatinoLinotype" w:hAnsi="PalatinoLinotype"/>
          <w:sz w:val="18"/>
          <w:szCs w:val="18"/>
        </w:rPr>
        <w:t xml:space="preserve">&lt; 0.001; U19s: </w:t>
      </w:r>
      <w:r>
        <w:rPr>
          <w:rFonts w:ascii="PalatinoLinotype" w:hAnsi="PalatinoLinotype"/>
          <w:i/>
          <w:iCs/>
          <w:sz w:val="18"/>
          <w:szCs w:val="18"/>
        </w:rPr>
        <w:t>χ</w:t>
      </w:r>
      <w:r>
        <w:rPr>
          <w:rFonts w:ascii="PalatinoLinotype" w:hAnsi="PalatinoLinotype"/>
          <w:i/>
          <w:iCs/>
          <w:position w:val="4"/>
          <w:sz w:val="12"/>
          <w:szCs w:val="12"/>
        </w:rPr>
        <w:t xml:space="preserve">2 </w:t>
      </w:r>
      <w:r>
        <w:rPr>
          <w:rFonts w:ascii="PalatinoLinotype" w:hAnsi="PalatinoLinotype"/>
          <w:sz w:val="18"/>
          <w:szCs w:val="18"/>
        </w:rPr>
        <w:t>=(</w:t>
      </w:r>
      <w:r>
        <w:rPr>
          <w:rFonts w:ascii="PalatinoLinotype" w:hAnsi="PalatinoLinotype"/>
          <w:i/>
          <w:iCs/>
          <w:sz w:val="18"/>
          <w:szCs w:val="18"/>
        </w:rPr>
        <w:t>n</w:t>
      </w:r>
      <w:r>
        <w:rPr>
          <w:rFonts w:ascii="PalatinoLinotype" w:hAnsi="PalatinoLinotype"/>
          <w:sz w:val="18"/>
          <w:szCs w:val="18"/>
        </w:rPr>
        <w:t>=159)=19.3,</w:t>
      </w:r>
      <w:r>
        <w:rPr>
          <w:rFonts w:ascii="PalatinoLinotype" w:hAnsi="PalatinoLinotype"/>
          <w:i/>
          <w:iCs/>
          <w:sz w:val="18"/>
          <w:szCs w:val="18"/>
        </w:rPr>
        <w:t>p</w:t>
      </w:r>
      <w:r>
        <w:rPr>
          <w:rFonts w:ascii="PalatinoLinotype" w:hAnsi="PalatinoLinotype"/>
          <w:sz w:val="18"/>
          <w:szCs w:val="18"/>
        </w:rPr>
        <w:t>&lt;0.001]</w:t>
      </w:r>
      <w:r>
        <w:rPr>
          <w:rFonts w:ascii="PalatinoLinotype" w:hAnsi="PalatinoLinotype"/>
          <w:sz w:val="18"/>
          <w:szCs w:val="18"/>
        </w:rPr>
        <w:t xml:space="preserve"> </w:t>
      </w:r>
      <w:r>
        <w:rPr>
          <w:rFonts w:ascii="PalatinoLinotype" w:hAnsi="PalatinoLinotype"/>
          <w:sz w:val="18"/>
          <w:szCs w:val="18"/>
        </w:rPr>
        <w:t>and</w:t>
      </w:r>
      <w:r>
        <w:rPr>
          <w:rFonts w:ascii="PalatinoLinotype" w:hAnsi="PalatinoLinotype"/>
          <w:sz w:val="18"/>
          <w:szCs w:val="18"/>
        </w:rPr>
        <w:t xml:space="preserve"> </w:t>
      </w:r>
      <w:r>
        <w:rPr>
          <w:rFonts w:ascii="PalatinoLinotype" w:hAnsi="PalatinoLinotype"/>
          <w:sz w:val="18"/>
          <w:szCs w:val="18"/>
        </w:rPr>
        <w:t>did</w:t>
      </w:r>
      <w:r>
        <w:rPr>
          <w:rFonts w:ascii="PalatinoLinotype" w:hAnsi="PalatinoLinotype"/>
          <w:sz w:val="18"/>
          <w:szCs w:val="18"/>
        </w:rPr>
        <w:t xml:space="preserve"> </w:t>
      </w:r>
      <w:r>
        <w:rPr>
          <w:rFonts w:ascii="PalatinoLinotype" w:hAnsi="PalatinoLinotype"/>
          <w:sz w:val="18"/>
          <w:szCs w:val="18"/>
        </w:rPr>
        <w:t>not</w:t>
      </w:r>
      <w:r>
        <w:rPr>
          <w:rFonts w:ascii="PalatinoLinotype" w:hAnsi="PalatinoLinotype"/>
          <w:sz w:val="18"/>
          <w:szCs w:val="18"/>
        </w:rPr>
        <w:t xml:space="preserve"> </w:t>
      </w:r>
      <w:r>
        <w:rPr>
          <w:rFonts w:ascii="PalatinoLinotype" w:hAnsi="PalatinoLinotype"/>
          <w:sz w:val="18"/>
          <w:szCs w:val="18"/>
        </w:rPr>
        <w:t>qualify[U17s:</w:t>
      </w:r>
      <w:r>
        <w:rPr>
          <w:rFonts w:ascii="PalatinoLinotype" w:hAnsi="PalatinoLinotype"/>
          <w:i/>
          <w:iCs/>
          <w:sz w:val="18"/>
          <w:szCs w:val="18"/>
        </w:rPr>
        <w:t>χ</w:t>
      </w:r>
      <w:r>
        <w:rPr>
          <w:rFonts w:ascii="PalatinoLinotype" w:hAnsi="PalatinoLinotype"/>
          <w:i/>
          <w:iCs/>
          <w:position w:val="4"/>
          <w:sz w:val="12"/>
          <w:szCs w:val="12"/>
        </w:rPr>
        <w:t xml:space="preserve">2 </w:t>
      </w:r>
      <w:r>
        <w:rPr>
          <w:rFonts w:ascii="PalatinoLinotype" w:hAnsi="PalatinoLinotype"/>
          <w:sz w:val="18"/>
          <w:szCs w:val="18"/>
        </w:rPr>
        <w:t>=(</w:t>
      </w:r>
      <w:r>
        <w:rPr>
          <w:rFonts w:ascii="PalatinoLinotype" w:hAnsi="PalatinoLinotype"/>
          <w:i/>
          <w:iCs/>
          <w:sz w:val="18"/>
          <w:szCs w:val="18"/>
        </w:rPr>
        <w:t>n</w:t>
      </w:r>
      <w:r>
        <w:rPr>
          <w:rFonts w:ascii="PalatinoLinotype" w:hAnsi="PalatinoLinotype"/>
          <w:sz w:val="18"/>
          <w:szCs w:val="18"/>
        </w:rPr>
        <w:t>=864)=21.9,</w:t>
      </w:r>
      <w:r>
        <w:rPr>
          <w:rFonts w:ascii="PalatinoLinotype" w:hAnsi="PalatinoLinotype"/>
          <w:i/>
          <w:iCs/>
          <w:sz w:val="18"/>
          <w:szCs w:val="18"/>
        </w:rPr>
        <w:t>p</w:t>
      </w:r>
      <w:r>
        <w:rPr>
          <w:rFonts w:ascii="PalatinoLinotype" w:hAnsi="PalatinoLinotype"/>
          <w:sz w:val="18"/>
          <w:szCs w:val="18"/>
        </w:rPr>
        <w:t xml:space="preserve">&lt;0.001;U19s: </w:t>
      </w:r>
      <w:r>
        <w:rPr>
          <w:rFonts w:ascii="PalatinoLinotype" w:hAnsi="PalatinoLinotype"/>
          <w:i/>
          <w:iCs/>
          <w:sz w:val="18"/>
          <w:szCs w:val="18"/>
        </w:rPr>
        <w:t>χ</w:t>
      </w:r>
      <w:r>
        <w:rPr>
          <w:rFonts w:ascii="PalatinoLinotype" w:hAnsi="PalatinoLinotype"/>
          <w:i/>
          <w:iCs/>
          <w:position w:val="4"/>
          <w:sz w:val="12"/>
          <w:szCs w:val="12"/>
        </w:rPr>
        <w:t xml:space="preserve">2 </w:t>
      </w:r>
      <w:r>
        <w:rPr>
          <w:rFonts w:ascii="PalatinoLinotype" w:hAnsi="PalatinoLinotype"/>
          <w:sz w:val="18"/>
          <w:szCs w:val="18"/>
        </w:rPr>
        <w:t>= (</w:t>
      </w:r>
      <w:r>
        <w:rPr>
          <w:rFonts w:ascii="PalatinoLinotype" w:hAnsi="PalatinoLinotype"/>
          <w:i/>
          <w:iCs/>
          <w:sz w:val="18"/>
          <w:szCs w:val="18"/>
        </w:rPr>
        <w:t xml:space="preserve">n </w:t>
      </w:r>
      <w:r>
        <w:rPr>
          <w:rFonts w:ascii="PalatinoLinotype" w:hAnsi="PalatinoLinotype"/>
          <w:sz w:val="18"/>
          <w:szCs w:val="18"/>
        </w:rPr>
        <w:t xml:space="preserve">= 1070) = 15.3, </w:t>
      </w:r>
      <w:r>
        <w:rPr>
          <w:rFonts w:ascii="PalatinoLinotype" w:hAnsi="PalatinoLinotype"/>
          <w:i/>
          <w:iCs/>
          <w:sz w:val="18"/>
          <w:szCs w:val="18"/>
        </w:rPr>
        <w:t xml:space="preserve">p </w:t>
      </w:r>
      <w:r>
        <w:rPr>
          <w:rFonts w:ascii="PalatinoLinotype" w:hAnsi="PalatinoLinotype"/>
          <w:sz w:val="18"/>
          <w:szCs w:val="18"/>
        </w:rPr>
        <w:t xml:space="preserve">= 0.002] for their respective competitions. For players that had qualified, a progressive decrease in birth quartiles from Q1 to Q4 was observed (Q1 vs. Q4, U17: </w:t>
      </w:r>
      <w:r>
        <w:rPr>
          <w:rFonts w:ascii="PalatinoLinotype" w:hAnsi="PalatinoLinotype"/>
          <w:i/>
          <w:iCs/>
          <w:sz w:val="18"/>
          <w:szCs w:val="18"/>
        </w:rPr>
        <w:t xml:space="preserve">OR </w:t>
      </w:r>
      <w:r>
        <w:rPr>
          <w:rFonts w:ascii="PalatinoLinotype" w:hAnsi="PalatinoLinotype"/>
          <w:sz w:val="18"/>
          <w:szCs w:val="18"/>
        </w:rPr>
        <w:t xml:space="preserve">= 6.1; U19: </w:t>
      </w:r>
      <w:r>
        <w:rPr>
          <w:rFonts w:ascii="PalatinoLinotype" w:hAnsi="PalatinoLinotype"/>
          <w:i/>
          <w:iCs/>
          <w:sz w:val="18"/>
          <w:szCs w:val="18"/>
        </w:rPr>
        <w:t xml:space="preserve">OR </w:t>
      </w:r>
      <w:r>
        <w:rPr>
          <w:rFonts w:ascii="PalatinoLinotype" w:hAnsi="PalatinoLinotype"/>
          <w:sz w:val="18"/>
          <w:szCs w:val="18"/>
        </w:rPr>
        <w:t xml:space="preserve">= 3.5, Q2 vs. Q4, U17: </w:t>
      </w:r>
      <w:r>
        <w:rPr>
          <w:rFonts w:ascii="PalatinoLinotype" w:hAnsi="PalatinoLinotype"/>
          <w:i/>
          <w:iCs/>
          <w:sz w:val="18"/>
          <w:szCs w:val="18"/>
        </w:rPr>
        <w:t xml:space="preserve">OR </w:t>
      </w:r>
      <w:r>
        <w:rPr>
          <w:rFonts w:ascii="PalatinoLinotype" w:hAnsi="PalatinoLinotype"/>
          <w:sz w:val="18"/>
          <w:szCs w:val="18"/>
        </w:rPr>
        <w:t xml:space="preserve">= 3.9; U19: </w:t>
      </w:r>
      <w:r>
        <w:rPr>
          <w:rFonts w:ascii="PalatinoLinotype" w:hAnsi="PalatinoLinotype"/>
          <w:i/>
          <w:iCs/>
          <w:sz w:val="18"/>
          <w:szCs w:val="18"/>
        </w:rPr>
        <w:t xml:space="preserve">OR </w:t>
      </w:r>
      <w:r>
        <w:rPr>
          <w:rFonts w:ascii="PalatinoLinotype" w:hAnsi="PalatinoLinotype"/>
          <w:sz w:val="18"/>
          <w:szCs w:val="18"/>
        </w:rPr>
        <w:t xml:space="preserve">= 2.2, Q3 vs. Q4, U17: </w:t>
      </w:r>
      <w:r>
        <w:rPr>
          <w:rFonts w:ascii="PalatinoLinotype" w:hAnsi="PalatinoLinotype"/>
          <w:i/>
          <w:iCs/>
          <w:sz w:val="18"/>
          <w:szCs w:val="18"/>
        </w:rPr>
        <w:t xml:space="preserve">OR </w:t>
      </w:r>
      <w:r>
        <w:rPr>
          <w:rFonts w:ascii="PalatinoLinotype" w:hAnsi="PalatinoLinotype"/>
          <w:sz w:val="18"/>
          <w:szCs w:val="18"/>
        </w:rPr>
        <w:t xml:space="preserve">= 2.4; U19: </w:t>
      </w:r>
      <w:r>
        <w:rPr>
          <w:rFonts w:ascii="PalatinoLinotype" w:hAnsi="PalatinoLinotype"/>
          <w:i/>
          <w:iCs/>
          <w:sz w:val="18"/>
          <w:szCs w:val="18"/>
        </w:rPr>
        <w:t xml:space="preserve">OR </w:t>
      </w:r>
      <w:r>
        <w:rPr>
          <w:rFonts w:ascii="PalatinoLinotype" w:hAnsi="PalatinoLinotype"/>
          <w:sz w:val="18"/>
          <w:szCs w:val="18"/>
        </w:rPr>
        <w:t xml:space="preserve">= 1.7, Table 2), with players that did not qualify following the same pattern (Q1 vs. Q4, U17: </w:t>
      </w:r>
      <w:r>
        <w:rPr>
          <w:rFonts w:ascii="PalatinoLinotype" w:hAnsi="PalatinoLinotype"/>
          <w:i/>
          <w:iCs/>
          <w:sz w:val="18"/>
          <w:szCs w:val="18"/>
        </w:rPr>
        <w:t xml:space="preserve">OR </w:t>
      </w:r>
      <w:r>
        <w:rPr>
          <w:rFonts w:ascii="PalatinoLinotype" w:hAnsi="PalatinoLinotype"/>
          <w:sz w:val="18"/>
          <w:szCs w:val="18"/>
        </w:rPr>
        <w:t xml:space="preserve">= 3.9; U19: </w:t>
      </w:r>
      <w:r>
        <w:rPr>
          <w:rFonts w:ascii="PalatinoLinotype" w:hAnsi="PalatinoLinotype"/>
          <w:i/>
          <w:iCs/>
          <w:sz w:val="18"/>
          <w:szCs w:val="18"/>
        </w:rPr>
        <w:t xml:space="preserve">OR </w:t>
      </w:r>
      <w:r>
        <w:rPr>
          <w:rFonts w:ascii="PalatinoLinotype" w:hAnsi="PalatinoLinotype"/>
          <w:sz w:val="18"/>
          <w:szCs w:val="18"/>
        </w:rPr>
        <w:t xml:space="preserve">= 2.5, Q2 vs. Q4, U17: </w:t>
      </w:r>
      <w:r>
        <w:rPr>
          <w:rFonts w:ascii="PalatinoLinotype" w:hAnsi="PalatinoLinotype"/>
          <w:i/>
          <w:iCs/>
          <w:sz w:val="18"/>
          <w:szCs w:val="18"/>
        </w:rPr>
        <w:t xml:space="preserve">OR </w:t>
      </w:r>
      <w:r>
        <w:rPr>
          <w:rFonts w:ascii="PalatinoLinotype" w:hAnsi="PalatinoLinotype"/>
          <w:sz w:val="18"/>
          <w:szCs w:val="18"/>
        </w:rPr>
        <w:t xml:space="preserve">= 2.4; U19: </w:t>
      </w:r>
      <w:r>
        <w:rPr>
          <w:rFonts w:ascii="PalatinoLinotype" w:hAnsi="PalatinoLinotype"/>
          <w:i/>
          <w:iCs/>
          <w:sz w:val="18"/>
          <w:szCs w:val="18"/>
        </w:rPr>
        <w:t xml:space="preserve">OR </w:t>
      </w:r>
      <w:r>
        <w:rPr>
          <w:rFonts w:ascii="PalatinoLinotype" w:hAnsi="PalatinoLinotype"/>
          <w:sz w:val="18"/>
          <w:szCs w:val="18"/>
        </w:rPr>
        <w:t xml:space="preserve">= 1.8, Q3 vs. Q4, U17: </w:t>
      </w:r>
      <w:r>
        <w:rPr>
          <w:rFonts w:ascii="PalatinoLinotype" w:hAnsi="PalatinoLinotype"/>
          <w:i/>
          <w:iCs/>
          <w:sz w:val="18"/>
          <w:szCs w:val="18"/>
        </w:rPr>
        <w:t xml:space="preserve">OR </w:t>
      </w:r>
      <w:r>
        <w:rPr>
          <w:rFonts w:ascii="PalatinoLinotype" w:hAnsi="PalatinoLinotype"/>
          <w:sz w:val="18"/>
          <w:szCs w:val="18"/>
        </w:rPr>
        <w:t xml:space="preserve">= 1.8; U19: </w:t>
      </w:r>
      <w:r>
        <w:rPr>
          <w:rFonts w:ascii="PalatinoLinotype" w:hAnsi="PalatinoLinotype"/>
          <w:i/>
          <w:iCs/>
          <w:sz w:val="18"/>
          <w:szCs w:val="18"/>
        </w:rPr>
        <w:t xml:space="preserve">OR </w:t>
      </w:r>
      <w:r>
        <w:rPr>
          <w:rFonts w:ascii="PalatinoLinotype" w:hAnsi="PalatinoLinotype"/>
          <w:sz w:val="18"/>
          <w:szCs w:val="18"/>
        </w:rPr>
        <w:t xml:space="preserve">= 1.1, Table 2). </w:t>
      </w:r>
    </w:p>
    <w:p w14:paraId="1D6F1AAA" w14:textId="77777777" w:rsidR="00582777" w:rsidRDefault="00582777" w:rsidP="00582777">
      <w:pPr>
        <w:pStyle w:val="NormalWeb"/>
        <w:rPr>
          <w:rFonts w:ascii="PalatinoLinotype" w:hAnsi="PalatinoLinotype"/>
          <w:b/>
          <w:bCs/>
          <w:sz w:val="16"/>
          <w:szCs w:val="16"/>
        </w:rPr>
      </w:pPr>
    </w:p>
    <w:p w14:paraId="2CF27CBE" w14:textId="77777777" w:rsidR="00582777" w:rsidRDefault="00582777" w:rsidP="00582777">
      <w:pPr>
        <w:pStyle w:val="NormalWeb"/>
        <w:rPr>
          <w:rFonts w:ascii="PalatinoLinotype" w:hAnsi="PalatinoLinotype"/>
          <w:b/>
          <w:bCs/>
          <w:sz w:val="16"/>
          <w:szCs w:val="16"/>
        </w:rPr>
      </w:pPr>
    </w:p>
    <w:p w14:paraId="6EF5D9D6" w14:textId="77777777" w:rsidR="00582777" w:rsidRDefault="00582777" w:rsidP="00582777">
      <w:pPr>
        <w:pStyle w:val="NormalWeb"/>
        <w:rPr>
          <w:rFonts w:ascii="PalatinoLinotype" w:hAnsi="PalatinoLinotype"/>
          <w:b/>
          <w:bCs/>
          <w:sz w:val="16"/>
          <w:szCs w:val="16"/>
        </w:rPr>
      </w:pPr>
    </w:p>
    <w:p w14:paraId="2DC957E9" w14:textId="77777777" w:rsidR="00582777" w:rsidRDefault="00582777" w:rsidP="00582777">
      <w:pPr>
        <w:pStyle w:val="NormalWeb"/>
        <w:rPr>
          <w:rFonts w:ascii="PalatinoLinotype" w:hAnsi="PalatinoLinotype"/>
          <w:b/>
          <w:bCs/>
          <w:sz w:val="16"/>
          <w:szCs w:val="16"/>
        </w:rPr>
      </w:pPr>
    </w:p>
    <w:p w14:paraId="1166A64E" w14:textId="77777777" w:rsidR="00582777" w:rsidRDefault="00582777" w:rsidP="00582777">
      <w:pPr>
        <w:pStyle w:val="NormalWeb"/>
        <w:rPr>
          <w:rFonts w:ascii="PalatinoLinotype" w:hAnsi="PalatinoLinotype"/>
          <w:b/>
          <w:bCs/>
          <w:sz w:val="16"/>
          <w:szCs w:val="16"/>
        </w:rPr>
      </w:pPr>
    </w:p>
    <w:p w14:paraId="5C50BC36" w14:textId="77777777" w:rsidR="00582777" w:rsidRDefault="00582777" w:rsidP="00582777">
      <w:pPr>
        <w:pStyle w:val="NormalWeb"/>
        <w:rPr>
          <w:rFonts w:ascii="PalatinoLinotype" w:hAnsi="PalatinoLinotype"/>
          <w:b/>
          <w:bCs/>
          <w:sz w:val="16"/>
          <w:szCs w:val="16"/>
        </w:rPr>
      </w:pPr>
    </w:p>
    <w:p w14:paraId="6739A87A" w14:textId="77777777" w:rsidR="00582777" w:rsidRDefault="00582777" w:rsidP="00582777">
      <w:pPr>
        <w:pStyle w:val="NormalWeb"/>
        <w:rPr>
          <w:rFonts w:ascii="PalatinoLinotype" w:hAnsi="PalatinoLinotype"/>
          <w:b/>
          <w:bCs/>
          <w:sz w:val="16"/>
          <w:szCs w:val="16"/>
        </w:rPr>
      </w:pPr>
    </w:p>
    <w:p w14:paraId="02A70C9C" w14:textId="18D1AE20" w:rsidR="00582777" w:rsidRPr="00582777" w:rsidRDefault="00582777" w:rsidP="00582777">
      <w:pPr>
        <w:pStyle w:val="NormalWeb"/>
        <w:rPr>
          <w:rFonts w:ascii="PalatinoLinotype" w:hAnsi="PalatinoLinotype"/>
          <w:b/>
          <w:bCs/>
          <w:sz w:val="16"/>
          <w:szCs w:val="16"/>
        </w:rPr>
      </w:pPr>
      <w:r>
        <w:rPr>
          <w:rFonts w:ascii="PalatinoLinotype" w:hAnsi="PalatinoLinotype"/>
          <w:b/>
          <w:bCs/>
          <w:sz w:val="16"/>
          <w:szCs w:val="16"/>
        </w:rPr>
        <w:t xml:space="preserve">Table 2. </w:t>
      </w:r>
      <w:r>
        <w:rPr>
          <w:rFonts w:ascii="PalatinoLinotype" w:hAnsi="PalatinoLinotype"/>
          <w:sz w:val="16"/>
          <w:szCs w:val="16"/>
        </w:rPr>
        <w:t xml:space="preserve">Birth quartile distribution by sex, age group, and qualification status (* Significant at an alpha level of </w:t>
      </w:r>
      <w:r>
        <w:rPr>
          <w:rFonts w:ascii="PalatinoLinotype" w:hAnsi="PalatinoLinotype"/>
          <w:i/>
          <w:iCs/>
          <w:sz w:val="16"/>
          <w:szCs w:val="16"/>
        </w:rPr>
        <w:t xml:space="preserve">p </w:t>
      </w:r>
      <w:r>
        <w:rPr>
          <w:rFonts w:ascii="PalatinoLinotype" w:hAnsi="PalatinoLinotype"/>
          <w:sz w:val="16"/>
          <w:szCs w:val="16"/>
        </w:rPr>
        <w:t xml:space="preserve">&lt; 0.05). </w:t>
      </w:r>
    </w:p>
    <w:p w14:paraId="3701F34C" w14:textId="3F11CCC7" w:rsidR="00051D3B" w:rsidRDefault="00582777">
      <w:r>
        <w:rPr>
          <w:noProof/>
        </w:rPr>
        <w:drawing>
          <wp:inline distT="0" distB="0" distL="0" distR="0" wp14:anchorId="49275257" wp14:editId="148A4DA7">
            <wp:extent cx="5727700" cy="2741930"/>
            <wp:effectExtent l="0" t="0" r="0" b="127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2741930"/>
                    </a:xfrm>
                    <a:prstGeom prst="rect">
                      <a:avLst/>
                    </a:prstGeom>
                  </pic:spPr>
                </pic:pic>
              </a:graphicData>
            </a:graphic>
          </wp:inline>
        </w:drawing>
      </w:r>
    </w:p>
    <w:p w14:paraId="28E9CF40" w14:textId="2CC0A5BD" w:rsidR="00582777" w:rsidRDefault="00582777"/>
    <w:p w14:paraId="40E6EADD" w14:textId="53DB0CD7" w:rsidR="00582777" w:rsidRDefault="00582777" w:rsidP="00582777">
      <w:pPr>
        <w:pStyle w:val="NormalWeb"/>
      </w:pPr>
      <w:r>
        <w:rPr>
          <w:rFonts w:ascii="PalatinoLinotype" w:hAnsi="PalatinoLinotype"/>
          <w:sz w:val="18"/>
          <w:szCs w:val="18"/>
        </w:rPr>
        <w:t>The frequency and percentage distributions of players’ birth quartiles for playing status are presented in Table 3. The chi‐squared test indicated significant deviations in birth quartiles for male players playing inside their age group [</w:t>
      </w:r>
      <w:r>
        <w:rPr>
          <w:rFonts w:ascii="PalatinoLinotype" w:hAnsi="PalatinoLinotype"/>
          <w:i/>
          <w:iCs/>
          <w:sz w:val="18"/>
          <w:szCs w:val="18"/>
        </w:rPr>
        <w:t>χ</w:t>
      </w:r>
      <w:r>
        <w:rPr>
          <w:rFonts w:ascii="PalatinoLinotype" w:hAnsi="PalatinoLinotype"/>
          <w:i/>
          <w:iCs/>
          <w:position w:val="4"/>
          <w:sz w:val="12"/>
          <w:szCs w:val="12"/>
        </w:rPr>
        <w:t xml:space="preserve">2 </w:t>
      </w:r>
      <w:r>
        <w:rPr>
          <w:rFonts w:ascii="PalatinoLinotype" w:hAnsi="PalatinoLinotype"/>
          <w:sz w:val="18"/>
          <w:szCs w:val="18"/>
        </w:rPr>
        <w:t>= (</w:t>
      </w:r>
      <w:r>
        <w:rPr>
          <w:rFonts w:ascii="PalatinoLinotype" w:hAnsi="PalatinoLinotype"/>
          <w:i/>
          <w:iCs/>
          <w:sz w:val="18"/>
          <w:szCs w:val="18"/>
        </w:rPr>
        <w:t xml:space="preserve">n </w:t>
      </w:r>
      <w:r>
        <w:rPr>
          <w:rFonts w:ascii="PalatinoLinotype" w:hAnsi="PalatinoLinotype"/>
          <w:sz w:val="18"/>
          <w:szCs w:val="18"/>
        </w:rPr>
        <w:t xml:space="preserve">= 2020) = 20.6, </w:t>
      </w:r>
      <w:r>
        <w:rPr>
          <w:rFonts w:ascii="PalatinoLinotype" w:hAnsi="PalatinoLinotype"/>
          <w:i/>
          <w:iCs/>
          <w:sz w:val="18"/>
          <w:szCs w:val="18"/>
        </w:rPr>
        <w:t xml:space="preserve">p </w:t>
      </w:r>
      <w:r>
        <w:rPr>
          <w:rFonts w:ascii="PalatinoLinotype" w:hAnsi="PalatinoLinotype"/>
          <w:sz w:val="18"/>
          <w:szCs w:val="18"/>
        </w:rPr>
        <w:t>&lt; 0.001], or ‘playing up’ [</w:t>
      </w:r>
      <w:r>
        <w:rPr>
          <w:rFonts w:ascii="PalatinoLinotype" w:hAnsi="PalatinoLinotype"/>
          <w:i/>
          <w:iCs/>
          <w:sz w:val="18"/>
          <w:szCs w:val="18"/>
        </w:rPr>
        <w:t>χ</w:t>
      </w:r>
      <w:r>
        <w:rPr>
          <w:rFonts w:ascii="PalatinoLinotype" w:hAnsi="PalatinoLinotype"/>
          <w:i/>
          <w:iCs/>
          <w:position w:val="4"/>
          <w:sz w:val="12"/>
          <w:szCs w:val="12"/>
        </w:rPr>
        <w:t xml:space="preserve">2 </w:t>
      </w:r>
      <w:r>
        <w:rPr>
          <w:rFonts w:ascii="PalatinoLinotype" w:hAnsi="PalatinoLinotype"/>
          <w:sz w:val="18"/>
          <w:szCs w:val="18"/>
        </w:rPr>
        <w:t>= (</w:t>
      </w:r>
      <w:r>
        <w:rPr>
          <w:rFonts w:ascii="PalatinoLinotype" w:hAnsi="PalatinoLinotype"/>
          <w:i/>
          <w:iCs/>
          <w:sz w:val="18"/>
          <w:szCs w:val="18"/>
        </w:rPr>
        <w:t xml:space="preserve">n </w:t>
      </w:r>
      <w:r>
        <w:rPr>
          <w:rFonts w:ascii="PalatinoLinotype" w:hAnsi="PalatinoLinotype"/>
          <w:sz w:val="18"/>
          <w:szCs w:val="18"/>
        </w:rPr>
        <w:t xml:space="preserve">= 396) = 15.8, </w:t>
      </w:r>
      <w:r>
        <w:rPr>
          <w:rFonts w:ascii="PalatinoLinotype" w:hAnsi="PalatinoLinotype"/>
          <w:i/>
          <w:iCs/>
          <w:sz w:val="18"/>
          <w:szCs w:val="18"/>
        </w:rPr>
        <w:t xml:space="preserve">p </w:t>
      </w:r>
      <w:r>
        <w:rPr>
          <w:rFonts w:ascii="PalatinoLinotype" w:hAnsi="PalatinoLinotype"/>
          <w:sz w:val="18"/>
          <w:szCs w:val="18"/>
        </w:rPr>
        <w:t xml:space="preserve">= 0.001]. Players born in the first quartile were over‐ represented (Q1 vs. Q4, Age‐Group: </w:t>
      </w:r>
      <w:r>
        <w:rPr>
          <w:rFonts w:ascii="PalatinoLinotype" w:hAnsi="PalatinoLinotype"/>
          <w:i/>
          <w:iCs/>
          <w:sz w:val="18"/>
          <w:szCs w:val="18"/>
        </w:rPr>
        <w:t xml:space="preserve">OR </w:t>
      </w:r>
      <w:r>
        <w:rPr>
          <w:rFonts w:ascii="PalatinoLinotype" w:hAnsi="PalatinoLinotype"/>
          <w:sz w:val="18"/>
          <w:szCs w:val="18"/>
        </w:rPr>
        <w:t xml:space="preserve">= 3.3; Playing Up: </w:t>
      </w:r>
      <w:r>
        <w:rPr>
          <w:rFonts w:ascii="PalatinoLinotype" w:hAnsi="PalatinoLinotype"/>
          <w:i/>
          <w:iCs/>
          <w:sz w:val="18"/>
          <w:szCs w:val="18"/>
        </w:rPr>
        <w:t xml:space="preserve">OR </w:t>
      </w:r>
      <w:r>
        <w:rPr>
          <w:rFonts w:ascii="PalatinoLinotype" w:hAnsi="PalatinoLinotype"/>
          <w:sz w:val="18"/>
          <w:szCs w:val="18"/>
        </w:rPr>
        <w:t xml:space="preserve">= 3.2), and the ORs de‐ creased marginally for comparisons later in the year, with Q4 being inferior for each case (Q2 vs. Q4, Age‐Group: </w:t>
      </w:r>
      <w:r>
        <w:rPr>
          <w:rFonts w:ascii="PalatinoLinotype" w:hAnsi="PalatinoLinotype"/>
          <w:i/>
          <w:iCs/>
          <w:sz w:val="18"/>
          <w:szCs w:val="18"/>
        </w:rPr>
        <w:t xml:space="preserve">OR </w:t>
      </w:r>
      <w:r>
        <w:rPr>
          <w:rFonts w:ascii="PalatinoLinotype" w:hAnsi="PalatinoLinotype"/>
          <w:sz w:val="18"/>
          <w:szCs w:val="18"/>
        </w:rPr>
        <w:t xml:space="preserve">= 2.1; Playing up: </w:t>
      </w:r>
      <w:r>
        <w:rPr>
          <w:rFonts w:ascii="PalatinoLinotype" w:hAnsi="PalatinoLinotype"/>
          <w:i/>
          <w:iCs/>
          <w:sz w:val="18"/>
          <w:szCs w:val="18"/>
        </w:rPr>
        <w:t xml:space="preserve">OR </w:t>
      </w:r>
      <w:r>
        <w:rPr>
          <w:rFonts w:ascii="PalatinoLinotype" w:hAnsi="PalatinoLinotype"/>
          <w:sz w:val="18"/>
          <w:szCs w:val="18"/>
        </w:rPr>
        <w:t xml:space="preserve">= 2.6, Q3 vs. Q4, Age‐Group: </w:t>
      </w:r>
      <w:r>
        <w:rPr>
          <w:rFonts w:ascii="PalatinoLinotype" w:hAnsi="PalatinoLinotype"/>
          <w:i/>
          <w:iCs/>
          <w:sz w:val="18"/>
          <w:szCs w:val="18"/>
        </w:rPr>
        <w:t xml:space="preserve">OR </w:t>
      </w:r>
      <w:r>
        <w:rPr>
          <w:rFonts w:ascii="PalatinoLinotype" w:hAnsi="PalatinoLinotype"/>
          <w:sz w:val="18"/>
          <w:szCs w:val="18"/>
        </w:rPr>
        <w:t xml:space="preserve">= 3.3; Playing up: </w:t>
      </w:r>
      <w:r>
        <w:rPr>
          <w:rFonts w:ascii="PalatinoLinotype" w:hAnsi="PalatinoLinotype"/>
          <w:i/>
          <w:iCs/>
          <w:sz w:val="18"/>
          <w:szCs w:val="18"/>
        </w:rPr>
        <w:t xml:space="preserve">OR </w:t>
      </w:r>
      <w:r>
        <w:rPr>
          <w:rFonts w:ascii="PalatinoLinotype" w:hAnsi="PalatinoLinotype"/>
          <w:sz w:val="18"/>
          <w:szCs w:val="18"/>
        </w:rPr>
        <w:t xml:space="preserve">= 3.2, Table 3). Analysis revealed that for female players, although there was a greater representation of players in Q1 for playing inside the age groups (Q1 vs. Q4, </w:t>
      </w:r>
      <w:r>
        <w:rPr>
          <w:rFonts w:ascii="PalatinoLinotype" w:hAnsi="PalatinoLinotype"/>
          <w:i/>
          <w:iCs/>
          <w:sz w:val="18"/>
          <w:szCs w:val="18"/>
        </w:rPr>
        <w:t xml:space="preserve">OR </w:t>
      </w:r>
      <w:r>
        <w:rPr>
          <w:rFonts w:ascii="PalatinoLinotype" w:hAnsi="PalatinoLinotype"/>
          <w:sz w:val="18"/>
          <w:szCs w:val="18"/>
        </w:rPr>
        <w:t>= 1.7), this was not significant [</w:t>
      </w:r>
      <w:r>
        <w:rPr>
          <w:rFonts w:ascii="PalatinoLinotype" w:hAnsi="PalatinoLinotype"/>
          <w:i/>
          <w:iCs/>
          <w:sz w:val="18"/>
          <w:szCs w:val="18"/>
        </w:rPr>
        <w:t>χ</w:t>
      </w:r>
      <w:r>
        <w:rPr>
          <w:rFonts w:ascii="PalatinoLinotype" w:hAnsi="PalatinoLinotype"/>
          <w:i/>
          <w:iCs/>
          <w:position w:val="4"/>
          <w:sz w:val="12"/>
          <w:szCs w:val="12"/>
        </w:rPr>
        <w:t xml:space="preserve">2 </w:t>
      </w:r>
      <w:r>
        <w:rPr>
          <w:rFonts w:ascii="PalatinoLinotype" w:hAnsi="PalatinoLinotype"/>
          <w:sz w:val="18"/>
          <w:szCs w:val="18"/>
        </w:rPr>
        <w:t>= (</w:t>
      </w:r>
      <w:r>
        <w:rPr>
          <w:rFonts w:ascii="PalatinoLinotype" w:hAnsi="PalatinoLinotype"/>
          <w:i/>
          <w:iCs/>
          <w:sz w:val="18"/>
          <w:szCs w:val="18"/>
        </w:rPr>
        <w:t xml:space="preserve">n </w:t>
      </w:r>
      <w:r>
        <w:rPr>
          <w:rFonts w:ascii="PalatinoLinotype" w:hAnsi="PalatinoLinotype"/>
          <w:sz w:val="18"/>
          <w:szCs w:val="18"/>
        </w:rPr>
        <w:t xml:space="preserve">= 337) = 4.5, </w:t>
      </w:r>
      <w:r>
        <w:rPr>
          <w:rFonts w:ascii="PalatinoLinotype" w:hAnsi="PalatinoLinotype"/>
          <w:i/>
          <w:iCs/>
          <w:sz w:val="18"/>
          <w:szCs w:val="18"/>
        </w:rPr>
        <w:t xml:space="preserve">p </w:t>
      </w:r>
      <w:r>
        <w:rPr>
          <w:rFonts w:ascii="PalatinoLinotype" w:hAnsi="PalatinoLinotype"/>
          <w:sz w:val="18"/>
          <w:szCs w:val="18"/>
        </w:rPr>
        <w:t>= 0.212]. Moreover, RAE did not exist for players ‘playing up’ [</w:t>
      </w:r>
      <w:r>
        <w:rPr>
          <w:rFonts w:ascii="PalatinoLinotype" w:hAnsi="PalatinoLinotype"/>
          <w:i/>
          <w:iCs/>
          <w:sz w:val="18"/>
          <w:szCs w:val="18"/>
        </w:rPr>
        <w:t>χ</w:t>
      </w:r>
      <w:r>
        <w:rPr>
          <w:rFonts w:ascii="PalatinoLinotype" w:hAnsi="PalatinoLinotype"/>
          <w:i/>
          <w:iCs/>
          <w:position w:val="4"/>
          <w:sz w:val="12"/>
          <w:szCs w:val="12"/>
        </w:rPr>
        <w:t xml:space="preserve">2 </w:t>
      </w:r>
      <w:r>
        <w:rPr>
          <w:rFonts w:ascii="PalatinoLinotype" w:hAnsi="PalatinoLinotype"/>
          <w:sz w:val="18"/>
          <w:szCs w:val="18"/>
        </w:rPr>
        <w:t>= (</w:t>
      </w:r>
      <w:r>
        <w:rPr>
          <w:rFonts w:ascii="PalatinoLinotype" w:hAnsi="PalatinoLinotype"/>
          <w:i/>
          <w:iCs/>
          <w:sz w:val="18"/>
          <w:szCs w:val="18"/>
        </w:rPr>
        <w:t xml:space="preserve">n </w:t>
      </w:r>
      <w:r>
        <w:rPr>
          <w:rFonts w:ascii="PalatinoLinotype" w:hAnsi="PalatinoLinotype"/>
          <w:sz w:val="18"/>
          <w:szCs w:val="18"/>
        </w:rPr>
        <w:t xml:space="preserve">= 280) = 1.0, </w:t>
      </w:r>
      <w:r>
        <w:rPr>
          <w:rFonts w:ascii="PalatinoLinotype" w:hAnsi="PalatinoLinotype"/>
          <w:i/>
          <w:iCs/>
          <w:sz w:val="18"/>
          <w:szCs w:val="18"/>
        </w:rPr>
        <w:t xml:space="preserve">p </w:t>
      </w:r>
      <w:r>
        <w:rPr>
          <w:rFonts w:ascii="PalatinoLinotype" w:hAnsi="PalatinoLinotype"/>
          <w:sz w:val="18"/>
          <w:szCs w:val="18"/>
        </w:rPr>
        <w:t xml:space="preserve">= 0.806]. </w:t>
      </w:r>
    </w:p>
    <w:p w14:paraId="51A64C96" w14:textId="73D4E876" w:rsidR="00582777" w:rsidRDefault="00582777"/>
    <w:p w14:paraId="570A755C" w14:textId="5E03F1BA" w:rsidR="00582777" w:rsidRDefault="00582777" w:rsidP="00582777">
      <w:pPr>
        <w:pStyle w:val="NormalWeb"/>
      </w:pPr>
      <w:r>
        <w:rPr>
          <w:rFonts w:ascii="PalatinoLinotype" w:hAnsi="PalatinoLinotype"/>
          <w:b/>
          <w:bCs/>
          <w:sz w:val="16"/>
          <w:szCs w:val="16"/>
        </w:rPr>
        <w:t xml:space="preserve">Table 3. </w:t>
      </w:r>
      <w:r>
        <w:rPr>
          <w:rFonts w:ascii="PalatinoLinotype" w:hAnsi="PalatinoLinotype"/>
          <w:sz w:val="16"/>
          <w:szCs w:val="16"/>
        </w:rPr>
        <w:t xml:space="preserve">Birth quartile distribution by sex and playing status (* Significant at an alpha level of </w:t>
      </w:r>
      <w:r>
        <w:rPr>
          <w:rFonts w:ascii="PalatinoLinotype" w:hAnsi="PalatinoLinotype"/>
          <w:i/>
          <w:iCs/>
          <w:sz w:val="16"/>
          <w:szCs w:val="16"/>
        </w:rPr>
        <w:t xml:space="preserve">p </w:t>
      </w:r>
      <w:r>
        <w:rPr>
          <w:rFonts w:ascii="PalatinoLinotype" w:hAnsi="PalatinoLinotype"/>
          <w:sz w:val="16"/>
          <w:szCs w:val="16"/>
        </w:rPr>
        <w:t xml:space="preserve">&lt; 0.05). </w:t>
      </w:r>
    </w:p>
    <w:p w14:paraId="4219F52F" w14:textId="585D56F8" w:rsidR="00582777" w:rsidRDefault="00582777">
      <w:r>
        <w:rPr>
          <w:noProof/>
        </w:rPr>
        <w:drawing>
          <wp:inline distT="0" distB="0" distL="0" distR="0" wp14:anchorId="74CE0FB2" wp14:editId="15BB68B3">
            <wp:extent cx="5727700" cy="937260"/>
            <wp:effectExtent l="0" t="0" r="0" b="2540"/>
            <wp:docPr id="4" name="Picture 4" descr="Text,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tabl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937260"/>
                    </a:xfrm>
                    <a:prstGeom prst="rect">
                      <a:avLst/>
                    </a:prstGeom>
                  </pic:spPr>
                </pic:pic>
              </a:graphicData>
            </a:graphic>
          </wp:inline>
        </w:drawing>
      </w:r>
    </w:p>
    <w:p w14:paraId="0FDE3F3D" w14:textId="5C2CC427" w:rsidR="00582777" w:rsidRDefault="00582777"/>
    <w:p w14:paraId="64305092" w14:textId="77777777" w:rsidR="00582777" w:rsidRDefault="00582777" w:rsidP="00582777">
      <w:pPr>
        <w:pStyle w:val="NormalWeb"/>
      </w:pPr>
      <w:r>
        <w:rPr>
          <w:rFonts w:ascii="PalatinoLinotype" w:hAnsi="PalatinoLinotype"/>
          <w:b/>
          <w:bCs/>
          <w:sz w:val="18"/>
          <w:szCs w:val="18"/>
        </w:rPr>
        <w:lastRenderedPageBreak/>
        <w:t xml:space="preserve">4. Discussion </w:t>
      </w:r>
    </w:p>
    <w:p w14:paraId="28215578" w14:textId="68BF111B" w:rsidR="00582777" w:rsidRDefault="00582777" w:rsidP="00582777">
      <w:pPr>
        <w:pStyle w:val="NormalWeb"/>
        <w:rPr>
          <w:rFonts w:ascii="PalatinoLinotype" w:hAnsi="PalatinoLinotype"/>
          <w:sz w:val="18"/>
          <w:szCs w:val="18"/>
        </w:rPr>
      </w:pPr>
      <w:r>
        <w:rPr>
          <w:rFonts w:ascii="PalatinoLinotype" w:hAnsi="PalatinoLinotype"/>
          <w:sz w:val="18"/>
          <w:szCs w:val="18"/>
        </w:rPr>
        <w:t>The present study explores RAE prevalence in a comprehensive, multi‐national sam</w:t>
      </w:r>
      <w:r>
        <w:rPr>
          <w:rFonts w:ascii="PalatinoLinotype" w:hAnsi="PalatinoLinotype"/>
          <w:sz w:val="18"/>
          <w:szCs w:val="18"/>
        </w:rPr>
        <w:t xml:space="preserve">ple of both males and females, considering the implications of </w:t>
      </w:r>
      <w:r>
        <w:rPr>
          <w:rFonts w:ascii="PalatinoLinotype" w:hAnsi="PalatinoLinotype"/>
          <w:sz w:val="18"/>
          <w:szCs w:val="18"/>
        </w:rPr>
        <w:t>sex, age, success, and playing status. Our main findings were: (1) Almost no prevalent RAE was observed for female players within our sample; (2) a typical RAE prevalence was observed for equivalent male players within our study, demonstrating a strong RAE bias for youth players and diminishing at senior level; (3) RAE prevalence did not distinguish between qualification status for either male or female players within our sample; (4) RAE prevalence did not distinguish between those who were competing at a higher chronological age level (i.e., ‘playing</w:t>
      </w:r>
      <w:r>
        <w:rPr>
          <w:rFonts w:ascii="PalatinoLinotype" w:hAnsi="PalatinoLinotype"/>
          <w:sz w:val="18"/>
          <w:szCs w:val="18"/>
        </w:rPr>
        <w:t xml:space="preserve"> </w:t>
      </w:r>
      <w:r>
        <w:rPr>
          <w:rFonts w:ascii="PalatinoLinotype" w:hAnsi="PalatinoLinotype"/>
          <w:sz w:val="18"/>
          <w:szCs w:val="18"/>
        </w:rPr>
        <w:t>up’) for either male or female players within our sample.</w:t>
      </w:r>
    </w:p>
    <w:p w14:paraId="3FED3E88" w14:textId="77777777" w:rsidR="00582777" w:rsidRDefault="00582777" w:rsidP="00582777">
      <w:pPr>
        <w:pStyle w:val="NormalWeb"/>
      </w:pPr>
      <w:r>
        <w:rPr>
          <w:rFonts w:ascii="PalatinoLinotype" w:hAnsi="PalatinoLinotype"/>
          <w:sz w:val="18"/>
          <w:szCs w:val="18"/>
        </w:rPr>
        <w:t xml:space="preserve">Analysis of our entire sample (all presently active European female and male soccer </w:t>
      </w:r>
    </w:p>
    <w:p w14:paraId="6ECD7170" w14:textId="2C68A823" w:rsidR="007937AA" w:rsidRDefault="00582777" w:rsidP="007937AA">
      <w:pPr>
        <w:pStyle w:val="NormalWeb"/>
        <w:rPr>
          <w:rFonts w:ascii="PalatinoLinotype" w:hAnsi="PalatinoLinotype"/>
          <w:sz w:val="18"/>
          <w:szCs w:val="18"/>
        </w:rPr>
      </w:pPr>
      <w:r>
        <w:rPr>
          <w:rFonts w:ascii="PalatinoLinotype" w:hAnsi="PalatinoLinotype"/>
          <w:sz w:val="18"/>
          <w:szCs w:val="18"/>
        </w:rPr>
        <w:t xml:space="preserve">players, representing their UEFA nation at all ages) showed a </w:t>
      </w:r>
      <w:r w:rsidR="007937AA">
        <w:rPr>
          <w:rFonts w:ascii="PalatinoLinotype" w:hAnsi="PalatinoLinotype"/>
          <w:sz w:val="18"/>
          <w:szCs w:val="18"/>
        </w:rPr>
        <w:t xml:space="preserve">relatively equal birthdate distribution in female soccer player (Figure 1.) This finding is only partially consistent with previous literature [8,12,14,15]. Published reports suggest that a lack of RAE prevalence </w:t>
      </w:r>
      <w:r w:rsidR="007937AA">
        <w:rPr>
          <w:rFonts w:ascii="PalatinoLinotype" w:hAnsi="PalatinoLinotype"/>
          <w:sz w:val="18"/>
          <w:szCs w:val="18"/>
        </w:rPr>
        <w:t xml:space="preserve">in female soccer could, historically, be due to the reduced popularity of the sport, compared to male soccer, resulting in a smaller talent pool and potentially lower competition for team places [16]. For example, </w:t>
      </w:r>
      <w:proofErr w:type="spellStart"/>
      <w:r w:rsidR="007937AA">
        <w:rPr>
          <w:rFonts w:ascii="PalatinoLinotype" w:hAnsi="PalatinoLinotype"/>
          <w:sz w:val="18"/>
          <w:szCs w:val="18"/>
        </w:rPr>
        <w:t>Korgaoker</w:t>
      </w:r>
      <w:proofErr w:type="spellEnd"/>
      <w:r w:rsidR="007937AA">
        <w:rPr>
          <w:rFonts w:ascii="PalatinoLinotype" w:hAnsi="PalatinoLinotype"/>
          <w:sz w:val="18"/>
          <w:szCs w:val="18"/>
        </w:rPr>
        <w:t xml:space="preserve"> et al. [31] postulated that the strong and consistent RAE in youth female soccer in the United States was due to the popularity of the sport and competition for places within that specific nation. Furthermore, </w:t>
      </w:r>
      <w:proofErr w:type="spellStart"/>
      <w:r w:rsidR="007937AA">
        <w:rPr>
          <w:rFonts w:ascii="PalatinoLinotype" w:hAnsi="PalatinoLinotype"/>
          <w:sz w:val="18"/>
          <w:szCs w:val="18"/>
        </w:rPr>
        <w:t>Lagestad</w:t>
      </w:r>
      <w:proofErr w:type="spellEnd"/>
      <w:r w:rsidR="007937AA">
        <w:rPr>
          <w:rFonts w:ascii="PalatinoLinotype" w:hAnsi="PalatinoLinotype"/>
          <w:sz w:val="18"/>
          <w:szCs w:val="18"/>
        </w:rPr>
        <w:t xml:space="preserve"> et al., [32] found that RAE prevalence increased as females progressed from local to regional teams in Norway. As the popularity of female soccer continues to grow </w:t>
      </w:r>
      <w:proofErr w:type="gramStart"/>
      <w:r w:rsidR="007937AA">
        <w:rPr>
          <w:rFonts w:ascii="PalatinoLinotype" w:hAnsi="PalatinoLinotype"/>
          <w:sz w:val="18"/>
          <w:szCs w:val="18"/>
        </w:rPr>
        <w:t>exponen</w:t>
      </w:r>
      <w:r w:rsidR="007937AA">
        <w:rPr>
          <w:rFonts w:ascii="PalatinoLinotype" w:hAnsi="PalatinoLinotype"/>
          <w:sz w:val="18"/>
          <w:szCs w:val="18"/>
        </w:rPr>
        <w:t>tially</w:t>
      </w:r>
      <w:proofErr w:type="gramEnd"/>
      <w:r w:rsidR="007937AA">
        <w:rPr>
          <w:rFonts w:ascii="PalatinoLinotype" w:hAnsi="PalatinoLinotype"/>
          <w:sz w:val="18"/>
          <w:szCs w:val="18"/>
        </w:rPr>
        <w:t xml:space="preserve"> we urge </w:t>
      </w:r>
      <w:r w:rsidR="007937AA">
        <w:rPr>
          <w:rFonts w:ascii="PalatinoLinotype" w:hAnsi="PalatinoLinotype"/>
          <w:sz w:val="18"/>
          <w:szCs w:val="18"/>
        </w:rPr>
        <w:t xml:space="preserve">those primarily responsible for the identification, development and (de)se‐ lection of players, such as coaches and scouts, should be cognisant of this bias as the popularity and participation of female soccer continues to grow. They may look towards other potential predictors of future expert performance, such as physical, skill, psychological and sociological [2], rather than using processes that are evident in the male game and extrapolating them to the female game, which may be erroneous [3]. </w:t>
      </w:r>
    </w:p>
    <w:p w14:paraId="31E2190B" w14:textId="5068D3E7" w:rsidR="007937AA" w:rsidRDefault="007937AA" w:rsidP="007937AA">
      <w:pPr>
        <w:pStyle w:val="NormalWeb"/>
      </w:pPr>
      <w:r>
        <w:rPr>
          <w:rFonts w:ascii="PalatinoLinotype" w:hAnsi="PalatinoLinotype"/>
          <w:sz w:val="18"/>
          <w:szCs w:val="18"/>
        </w:rPr>
        <w:t xml:space="preserve">Other possible explanations for the sex‐specific differences in RAE prevalence may be related to the interaction of chronological age, development, and training age [12,33]. For example, female players born in the first half of the year may be more likely to begin playing soccer earlier than their younger counterparts [14], with parents often more </w:t>
      </w:r>
      <w:proofErr w:type="spellStart"/>
      <w:r>
        <w:rPr>
          <w:rFonts w:ascii="PalatinoLinotype" w:hAnsi="PalatinoLinotype"/>
          <w:sz w:val="18"/>
          <w:szCs w:val="18"/>
        </w:rPr>
        <w:t>hesi</w:t>
      </w:r>
      <w:proofErr w:type="spellEnd"/>
      <w:r>
        <w:rPr>
          <w:rFonts w:ascii="PalatinoLinotype" w:hAnsi="PalatinoLinotype"/>
          <w:sz w:val="18"/>
          <w:szCs w:val="18"/>
        </w:rPr>
        <w:t xml:space="preserve">‐ tant to register a later‐born female player into soccer [34]. Although different constructs [35], a ‘maturation‐selection’ explanation is often suggested regarding RAE prevalence. [33,35]. Delorme et al., [8] suggests advancing physical development may act as a socially constructed disadvantage for young females, which could lead to dropping out due to feelings of shyness regarding body changes or social pressures to conform to socially con‐ structed sex roles of stereotyped femininity [12]. Moreover, the observed lack of RAE across all ages of competition for female players suggests that talented youth female soc‐ </w:t>
      </w:r>
      <w:proofErr w:type="spellStart"/>
      <w:r>
        <w:rPr>
          <w:rFonts w:ascii="PalatinoLinotype" w:hAnsi="PalatinoLinotype"/>
          <w:sz w:val="18"/>
          <w:szCs w:val="18"/>
        </w:rPr>
        <w:t>cer</w:t>
      </w:r>
      <w:proofErr w:type="spellEnd"/>
      <w:r>
        <w:rPr>
          <w:rFonts w:ascii="PalatinoLinotype" w:hAnsi="PalatinoLinotype"/>
          <w:sz w:val="18"/>
          <w:szCs w:val="18"/>
        </w:rPr>
        <w:t xml:space="preserve"> players are identified through other known predictors of adult high performance in soccer, such as sociological (e.g., hours of practice) or skill (e.g., technical skill) predictors [2]. We propose that additional factors may influence RAE prevalence in female soccer players and encourage researchers and practitioners to be mindful of these considerations when working with this population. </w:t>
      </w:r>
    </w:p>
    <w:p w14:paraId="1BC1CC81" w14:textId="5B53A10C" w:rsidR="007937AA" w:rsidRDefault="007937AA" w:rsidP="007937AA">
      <w:pPr>
        <w:pStyle w:val="NormalWeb"/>
      </w:pPr>
      <w:r>
        <w:rPr>
          <w:rFonts w:ascii="PalatinoLinotype" w:hAnsi="PalatinoLinotype"/>
          <w:sz w:val="18"/>
          <w:szCs w:val="18"/>
        </w:rPr>
        <w:t xml:space="preserve">To provide a comparison, we also examined RAE prevalence in equivalent international male European soccer players. Analysis of the entire male sample showed that </w:t>
      </w:r>
      <w:r>
        <w:rPr>
          <w:rFonts w:ascii="PalatinoLinotype" w:hAnsi="PalatinoLinotype"/>
          <w:sz w:val="18"/>
          <w:szCs w:val="18"/>
        </w:rPr>
        <w:t xml:space="preserve">players that were born in the first quartile of their selection year were over-represented (Figure 1). This finding is consistent with previous reports </w:t>
      </w:r>
      <w:r>
        <w:rPr>
          <w:rFonts w:ascii="PalatinoLinotype" w:hAnsi="PalatinoLinotype"/>
          <w:sz w:val="18"/>
          <w:szCs w:val="18"/>
        </w:rPr>
        <w:t>of male soccer players across various European domestic leagues and national teams [16,18,19]</w:t>
      </w:r>
      <w:r>
        <w:rPr>
          <w:rFonts w:ascii="PalatinoLinotype" w:hAnsi="PalatinoLinotype"/>
          <w:sz w:val="18"/>
          <w:szCs w:val="18"/>
        </w:rPr>
        <w:t>. We also posited that selection bias</w:t>
      </w:r>
      <w:r>
        <w:rPr>
          <w:rFonts w:ascii="PalatinoLinotype" w:hAnsi="PalatinoLinotype"/>
          <w:sz w:val="18"/>
          <w:szCs w:val="18"/>
        </w:rPr>
        <w:t xml:space="preserve"> </w:t>
      </w:r>
      <w:r>
        <w:rPr>
          <w:rFonts w:ascii="PalatinoLinotype" w:hAnsi="PalatinoLinotype"/>
          <w:sz w:val="18"/>
          <w:szCs w:val="18"/>
        </w:rPr>
        <w:t xml:space="preserve">would be evident in younger (i.e., U17) male soccer players, yet the advantages of being born earlier in the selection year </w:t>
      </w:r>
      <w:r>
        <w:rPr>
          <w:rFonts w:ascii="PalatinoLinotype" w:hAnsi="PalatinoLinotype"/>
          <w:sz w:val="18"/>
          <w:szCs w:val="18"/>
        </w:rPr>
        <w:t xml:space="preserve">would not translate to senior levels. In </w:t>
      </w:r>
      <w:r>
        <w:rPr>
          <w:rFonts w:ascii="PalatinoLinotype" w:hAnsi="PalatinoLinotype"/>
          <w:sz w:val="18"/>
          <w:szCs w:val="18"/>
        </w:rPr>
        <w:t xml:space="preserve">line with this hypothesis, our data indicate an unequal birthdate distribution for U17 male soccer players. </w:t>
      </w:r>
      <w:r>
        <w:rPr>
          <w:rFonts w:ascii="PalatinoLinotype" w:hAnsi="PalatinoLinotype"/>
          <w:sz w:val="18"/>
          <w:szCs w:val="18"/>
        </w:rPr>
        <w:t>This unequal distribution continued until the senior level where it was no longer evident. The strong RAE in male soccer players competing at U17 and U19 competition levels suggests that a selection bias continues to favour chronologically older players despite weakening maturation advantages and disparities in accumulated practice hours. This demonstrates a ‘cascading’ effect of RAE prevalence and suggests a continuation of bias, favouring chronologically older players due to talent identification and (de)selection processes earlier in development [23,35]. The lack of RAE observed in senior male players as they transition from youth to senior level is consistent with previous observations of soccer nations such as Germany [7]. When considering the selection bias at the youth level (e.g., U17, U19), this reduction in RAE prevalence at senior levels challenges the efficacy of this (un)conscious bias and raises awareness of this process relative</w:t>
      </w:r>
      <w:r>
        <w:rPr>
          <w:rFonts w:ascii="PalatinoLinotype" w:hAnsi="PalatinoLinotype"/>
          <w:sz w:val="18"/>
          <w:szCs w:val="18"/>
        </w:rPr>
        <w:t xml:space="preserve"> </w:t>
      </w:r>
      <w:r>
        <w:rPr>
          <w:rFonts w:ascii="PalatinoLinotype" w:hAnsi="PalatinoLinotype"/>
          <w:sz w:val="18"/>
          <w:szCs w:val="18"/>
        </w:rPr>
        <w:t>to long‐term development and success [7,36,37].</w:t>
      </w:r>
    </w:p>
    <w:p w14:paraId="6F8A393A" w14:textId="52F088E2" w:rsidR="007937AA" w:rsidRDefault="007937AA" w:rsidP="007937AA">
      <w:pPr>
        <w:pStyle w:val="NormalWeb"/>
        <w:rPr>
          <w:rFonts w:ascii="PalatinoLinotype" w:hAnsi="PalatinoLinotype"/>
          <w:sz w:val="18"/>
          <w:szCs w:val="18"/>
        </w:rPr>
      </w:pPr>
      <w:r>
        <w:rPr>
          <w:rFonts w:ascii="PalatinoLinotype" w:hAnsi="PalatinoLinotype"/>
          <w:sz w:val="18"/>
          <w:szCs w:val="18"/>
        </w:rPr>
        <w:lastRenderedPageBreak/>
        <w:t>Analysis of qualification status showed an over‐representation of players born at the</w:t>
      </w:r>
      <w:r>
        <w:rPr>
          <w:rFonts w:ascii="PalatinoLinotype" w:hAnsi="PalatinoLinotype"/>
          <w:sz w:val="18"/>
          <w:szCs w:val="18"/>
        </w:rPr>
        <w:t xml:space="preserve"> </w:t>
      </w:r>
      <w:r>
        <w:rPr>
          <w:rFonts w:ascii="PalatinoLinotype" w:hAnsi="PalatinoLinotype"/>
          <w:sz w:val="18"/>
          <w:szCs w:val="18"/>
        </w:rPr>
        <w:t>beginning of the year for squads qualifying for men’s U17 and U19 competitions [16,17, 19,21]. Importantly, there were also differences in RAE prevalence for squads that did not qualify for the same competitions. This finding is consistent with previous reports from self‐defined smaller and less‐established soccer nations [22,23]</w:t>
      </w:r>
      <w:r>
        <w:rPr>
          <w:rFonts w:ascii="PalatinoLinotype" w:hAnsi="PalatinoLinotype"/>
          <w:sz w:val="18"/>
          <w:szCs w:val="18"/>
          <w:shd w:val="clear" w:color="auto" w:fill="FFFFFF"/>
        </w:rPr>
        <w:t xml:space="preserve">. It could be suggested that despite differences in </w:t>
      </w:r>
      <w:r>
        <w:rPr>
          <w:rFonts w:ascii="PalatinoLinotype" w:hAnsi="PalatinoLinotype"/>
          <w:sz w:val="18"/>
          <w:szCs w:val="18"/>
        </w:rPr>
        <w:t xml:space="preserve">population size, participation rate, domestic competition level, and financial resources [17], similar approaches to talent identification and (de)selection might be being adopted [2], demonstrating the pervasiveness of RAE in youth male soccer. </w:t>
      </w:r>
    </w:p>
    <w:p w14:paraId="6D5CE180" w14:textId="5F8FFD9A" w:rsidR="007937AA" w:rsidRDefault="007937AA" w:rsidP="007937AA">
      <w:pPr>
        <w:pStyle w:val="NormalWeb"/>
      </w:pPr>
      <w:r>
        <w:rPr>
          <w:rFonts w:ascii="PalatinoLinotype" w:hAnsi="PalatinoLinotype"/>
          <w:sz w:val="18"/>
          <w:szCs w:val="18"/>
        </w:rPr>
        <w:t>Furthermore, we observed a prominent RAE in male players competing at their</w:t>
      </w:r>
      <w:r>
        <w:rPr>
          <w:rFonts w:ascii="PalatinoLinotype" w:hAnsi="PalatinoLinotype"/>
          <w:sz w:val="18"/>
          <w:szCs w:val="18"/>
        </w:rPr>
        <w:t xml:space="preserve"> </w:t>
      </w:r>
      <w:r>
        <w:rPr>
          <w:rFonts w:ascii="PalatinoLinotype" w:hAnsi="PalatinoLinotype"/>
          <w:sz w:val="18"/>
          <w:szCs w:val="18"/>
        </w:rPr>
        <w:t>chronological age group and those who were ‘playing up’</w:t>
      </w:r>
      <w:r>
        <w:rPr>
          <w:rFonts w:ascii="PalatinoLinotype" w:hAnsi="PalatinoLinotype"/>
          <w:sz w:val="18"/>
          <w:szCs w:val="18"/>
        </w:rPr>
        <w:t xml:space="preserve">. </w:t>
      </w:r>
      <w:r>
        <w:rPr>
          <w:rFonts w:ascii="PalatinoLinotype" w:hAnsi="PalatinoLinotype"/>
          <w:sz w:val="18"/>
          <w:szCs w:val="18"/>
        </w:rPr>
        <w:t xml:space="preserve">Recently, Kelly et al. [26] examined factors differentiating youth academy players in England from foundation (U9‐ U11) or youth (U12‐U16) development phases that were either competing at or above their chronological age. Differences were reported for technical and tactical skills for both phases, as well as differences in physical and psychological characteristics within the youth development phase. However, it was noted that ~80% of players that were ‘playing up’ were born in the first half of their initial selection year. In the youth development phase in England, enhanced maturity status (greater percentage of estimated adult height attained) is suggested to contribute to ‘playing up’ [26]. Within youth sports, it is possible to have two players with the same relative age yet have a wide variance in biological age [38]. Early maturing players in youth soccer have been found to be taller and heavier than late‐maturing players [39]. Relatively high numbers of early‐maturing athletes within chronologically younger athlete samples have been identified [40]. This suggests that the relatively younger players who exhibit advanced growth and maturation have an in‐ creased likelihood of selection into soccer development pathways [41], perhaps nullifying the negative impact of a later birthdate for early maturing players. Finally, Kelly et al. [26] suggest that when ‘playing up’, players were at least a full chronological year younger than their peers which may create an ‘underdog’ effect. This may result in relatively young athletes engaging in higher levels of practice and play to match/surmount greater technical/tactical or psychological performance of their older peers [24]. Consequently, it has been reported that younger athletes who progress to being professional have been awarded more accolades and have longer‐lasting careers compared to their older peers [42]. We propose that multidimensional factors associated with RAE prevalence may in‐ fluence both initial selection and decisions pertaining to ‘playing up’ in male youth soccer. </w:t>
      </w:r>
    </w:p>
    <w:p w14:paraId="7BF2C3D3" w14:textId="77777777" w:rsidR="007937AA" w:rsidRDefault="007937AA" w:rsidP="007937AA">
      <w:pPr>
        <w:pStyle w:val="NormalWeb"/>
        <w:shd w:val="clear" w:color="auto" w:fill="FFFFFF"/>
        <w:rPr>
          <w:rFonts w:ascii="PalatinoLinotype" w:hAnsi="PalatinoLinotype"/>
          <w:sz w:val="18"/>
          <w:szCs w:val="18"/>
        </w:rPr>
      </w:pPr>
      <w:r>
        <w:rPr>
          <w:rFonts w:ascii="PalatinoLinotype" w:hAnsi="PalatinoLinotype"/>
          <w:sz w:val="18"/>
          <w:szCs w:val="18"/>
        </w:rPr>
        <w:t>This study is not without its limitations. First, due to obtaining birth data from external sources, we did not obtain any anthropometric data. Thus, our supposition of chronologically older players possessing greater physical, cognitive, and psychosocial attributes and other skills was based on previous theoretical assumptions rather than original data. Though some researchers have questioned whether it is conducive to continue to examine the relative age effect [43], findings from the present study provide a comprehensive evaluation of female players across multiple nations and an equivalent male comparison. Further, the present study explores the influence of RAE bias on previously identified areas of interest to talent identification and development (i.e., ‘playing up’ and competitive su</w:t>
      </w:r>
      <w:r>
        <w:rPr>
          <w:rFonts w:ascii="PalatinoLinotype" w:hAnsi="PalatinoLinotype"/>
          <w:sz w:val="18"/>
          <w:szCs w:val="18"/>
        </w:rPr>
        <w:t>ccess.</w:t>
      </w:r>
    </w:p>
    <w:p w14:paraId="0DA56910" w14:textId="58640F4A" w:rsidR="007937AA" w:rsidRDefault="007937AA" w:rsidP="007937AA">
      <w:pPr>
        <w:pStyle w:val="NormalWeb"/>
      </w:pPr>
      <w:r>
        <w:rPr>
          <w:rFonts w:ascii="PalatinoLinotype" w:hAnsi="PalatinoLinotype"/>
          <w:b/>
          <w:bCs/>
          <w:sz w:val="18"/>
          <w:szCs w:val="18"/>
        </w:rPr>
        <w:t>5</w:t>
      </w:r>
      <w:r>
        <w:rPr>
          <w:rFonts w:ascii="PalatinoLinotype" w:hAnsi="PalatinoLinotype"/>
          <w:b/>
          <w:bCs/>
          <w:sz w:val="18"/>
          <w:szCs w:val="18"/>
        </w:rPr>
        <w:t xml:space="preserve">. </w:t>
      </w:r>
      <w:r>
        <w:rPr>
          <w:rFonts w:ascii="PalatinoLinotype" w:hAnsi="PalatinoLinotype"/>
          <w:b/>
          <w:bCs/>
          <w:sz w:val="18"/>
          <w:szCs w:val="18"/>
        </w:rPr>
        <w:t>Conclusions</w:t>
      </w:r>
      <w:r>
        <w:rPr>
          <w:rFonts w:ascii="PalatinoLinotype" w:hAnsi="PalatinoLinotype"/>
          <w:b/>
          <w:bCs/>
          <w:sz w:val="18"/>
          <w:szCs w:val="18"/>
        </w:rPr>
        <w:t xml:space="preserve"> </w:t>
      </w:r>
    </w:p>
    <w:p w14:paraId="0C78391D" w14:textId="65CD5889" w:rsidR="007937AA" w:rsidRDefault="007937AA" w:rsidP="007937AA">
      <w:pPr>
        <w:pStyle w:val="NormalWeb"/>
      </w:pPr>
      <w:r>
        <w:rPr>
          <w:rFonts w:ascii="PalatinoLinotype" w:hAnsi="PalatinoLinotype"/>
          <w:sz w:val="18"/>
          <w:szCs w:val="18"/>
        </w:rPr>
        <w:t xml:space="preserve">In summary, our results demonstrate that the RAE exists in male, but not female, soccer players participating in UEFA European tournaments between 2019-2022. </w:t>
      </w:r>
      <w:r>
        <w:rPr>
          <w:rFonts w:ascii="PalatinoLinotype" w:hAnsi="PalatinoLinotype"/>
          <w:sz w:val="18"/>
          <w:szCs w:val="18"/>
        </w:rPr>
        <w:t>Male soccer players competing at U17 and U19 levels were over‐represented by players born a</w:t>
      </w:r>
      <w:r>
        <w:rPr>
          <w:rFonts w:ascii="PalatinoLinotype" w:hAnsi="PalatinoLinotype"/>
          <w:sz w:val="18"/>
          <w:szCs w:val="18"/>
        </w:rPr>
        <w:t xml:space="preserve">t the beginning of their selection year. The bias did not transition into senior level, questioning the </w:t>
      </w:r>
      <w:r>
        <w:rPr>
          <w:rFonts w:ascii="PalatinoLinotype" w:hAnsi="PalatinoLinotype"/>
          <w:sz w:val="18"/>
          <w:szCs w:val="18"/>
        </w:rPr>
        <w:t xml:space="preserve">efficacy of this (un)conscious bias. However, these advantages often dissipate or reverse at the senior level [7]. Furthermore, within these age groups, this selection bias did not discriminate against those that qualified for their respective competitions or whether players were playing at a higher chronological age (i.e., ‘playing up’). </w:t>
      </w:r>
    </w:p>
    <w:p w14:paraId="49C4C304" w14:textId="4CADC3D4" w:rsidR="007937AA" w:rsidRDefault="007937AA" w:rsidP="002A52F6">
      <w:pPr>
        <w:pStyle w:val="NormalWeb"/>
        <w:shd w:val="clear" w:color="auto" w:fill="FFFFFF"/>
      </w:pPr>
      <w:r>
        <w:rPr>
          <w:rFonts w:ascii="PalatinoLinotype" w:hAnsi="PalatinoLinotype"/>
          <w:sz w:val="18"/>
          <w:szCs w:val="18"/>
        </w:rPr>
        <w:lastRenderedPageBreak/>
        <w:t xml:space="preserve"> </w:t>
      </w:r>
      <w:r w:rsidR="00773F48">
        <w:rPr>
          <w:noProof/>
        </w:rPr>
        <w:drawing>
          <wp:inline distT="0" distB="0" distL="0" distR="0" wp14:anchorId="0378FF89" wp14:editId="46D897C0">
            <wp:extent cx="5727700" cy="2485390"/>
            <wp:effectExtent l="0" t="0" r="0" b="3810"/>
            <wp:docPr id="12" name="Picture 1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et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2485390"/>
                    </a:xfrm>
                    <a:prstGeom prst="rect">
                      <a:avLst/>
                    </a:prstGeom>
                  </pic:spPr>
                </pic:pic>
              </a:graphicData>
            </a:graphic>
          </wp:inline>
        </w:drawing>
      </w:r>
    </w:p>
    <w:p w14:paraId="70C02BC7" w14:textId="65249DE5" w:rsidR="007937AA" w:rsidRDefault="00773F48" w:rsidP="007937AA">
      <w:pPr>
        <w:pStyle w:val="NormalWeb"/>
      </w:pPr>
      <w:r>
        <w:rPr>
          <w:noProof/>
        </w:rPr>
        <w:drawing>
          <wp:inline distT="0" distB="0" distL="0" distR="0" wp14:anchorId="77D0D0E9" wp14:editId="26E2B222">
            <wp:extent cx="5727700" cy="42945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4294505"/>
                    </a:xfrm>
                    <a:prstGeom prst="rect">
                      <a:avLst/>
                    </a:prstGeom>
                  </pic:spPr>
                </pic:pic>
              </a:graphicData>
            </a:graphic>
          </wp:inline>
        </w:drawing>
      </w:r>
    </w:p>
    <w:p w14:paraId="57044080" w14:textId="11FDB3D3" w:rsidR="007937AA" w:rsidRPr="002A52F6" w:rsidRDefault="00773F48" w:rsidP="007937AA">
      <w:pPr>
        <w:pStyle w:val="NormalWeb"/>
      </w:pPr>
      <w:r>
        <w:rPr>
          <w:noProof/>
        </w:rPr>
        <w:lastRenderedPageBreak/>
        <w:drawing>
          <wp:inline distT="0" distB="0" distL="0" distR="0" wp14:anchorId="4FECD2A5" wp14:editId="0E6F7693">
            <wp:extent cx="5727700" cy="3017520"/>
            <wp:effectExtent l="0" t="0" r="0" b="5080"/>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3017520"/>
                    </a:xfrm>
                    <a:prstGeom prst="rect">
                      <a:avLst/>
                    </a:prstGeom>
                  </pic:spPr>
                </pic:pic>
              </a:graphicData>
            </a:graphic>
          </wp:inline>
        </w:drawing>
      </w:r>
    </w:p>
    <w:p w14:paraId="3A1F55FC" w14:textId="36BAAD1F" w:rsidR="007937AA" w:rsidRDefault="00773F48" w:rsidP="00582777">
      <w:pPr>
        <w:pStyle w:val="NormalWeb"/>
      </w:pPr>
      <w:r>
        <w:rPr>
          <w:noProof/>
        </w:rPr>
        <w:drawing>
          <wp:inline distT="0" distB="0" distL="0" distR="0" wp14:anchorId="32905B79" wp14:editId="26248D88">
            <wp:extent cx="5727700" cy="1786890"/>
            <wp:effectExtent l="0" t="0" r="0" b="3810"/>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1786890"/>
                    </a:xfrm>
                    <a:prstGeom prst="rect">
                      <a:avLst/>
                    </a:prstGeom>
                  </pic:spPr>
                </pic:pic>
              </a:graphicData>
            </a:graphic>
          </wp:inline>
        </w:drawing>
      </w:r>
    </w:p>
    <w:p w14:paraId="05003292" w14:textId="77777777" w:rsidR="00582777" w:rsidRDefault="00582777" w:rsidP="00582777">
      <w:pPr>
        <w:pStyle w:val="NormalWeb"/>
      </w:pPr>
    </w:p>
    <w:p w14:paraId="3C6DE076" w14:textId="77777777" w:rsidR="00582777" w:rsidRDefault="00582777"/>
    <w:sectPr w:rsidR="00582777" w:rsidSect="00A47A6B">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Linotype">
    <w:altName w:val="Palatino Linotype"/>
    <w:panose1 w:val="020B06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B56F84"/>
    <w:multiLevelType w:val="multilevel"/>
    <w:tmpl w:val="D2D4A3F4"/>
    <w:lvl w:ilvl="0">
      <w:start w:val="1"/>
      <w:numFmt w:val="decimal"/>
      <w:lvlText w:val="%1."/>
      <w:lvlJc w:val="left"/>
      <w:pPr>
        <w:tabs>
          <w:tab w:val="num" w:pos="720"/>
        </w:tabs>
        <w:ind w:left="720" w:hanging="360"/>
      </w:pPr>
      <w:rPr>
        <w:rFonts w:ascii="PalatinoLinotype" w:eastAsia="Times New Roman" w:hAnsi="PalatinoLinotype"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508061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777"/>
    <w:rsid w:val="00051D3B"/>
    <w:rsid w:val="002A52F6"/>
    <w:rsid w:val="00582777"/>
    <w:rsid w:val="00773F48"/>
    <w:rsid w:val="007937AA"/>
    <w:rsid w:val="00A47A6B"/>
    <w:rsid w:val="00B174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7AA1B50"/>
  <w15:chartTrackingRefBased/>
  <w15:docId w15:val="{3E945D3E-87D9-1E48-941E-6168FB0BD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37AA"/>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82777"/>
    <w:pPr>
      <w:spacing w:before="100" w:beforeAutospacing="1" w:after="100" w:afterAutospacing="1"/>
    </w:pPr>
  </w:style>
  <w:style w:type="table" w:styleId="TableGrid">
    <w:name w:val="Table Grid"/>
    <w:basedOn w:val="TableNormal"/>
    <w:uiPriority w:val="39"/>
    <w:rsid w:val="005827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39636">
      <w:bodyDiv w:val="1"/>
      <w:marLeft w:val="0"/>
      <w:marRight w:val="0"/>
      <w:marTop w:val="0"/>
      <w:marBottom w:val="0"/>
      <w:divBdr>
        <w:top w:val="none" w:sz="0" w:space="0" w:color="auto"/>
        <w:left w:val="none" w:sz="0" w:space="0" w:color="auto"/>
        <w:bottom w:val="none" w:sz="0" w:space="0" w:color="auto"/>
        <w:right w:val="none" w:sz="0" w:space="0" w:color="auto"/>
      </w:divBdr>
      <w:divsChild>
        <w:div w:id="1184322613">
          <w:marLeft w:val="0"/>
          <w:marRight w:val="0"/>
          <w:marTop w:val="0"/>
          <w:marBottom w:val="0"/>
          <w:divBdr>
            <w:top w:val="none" w:sz="0" w:space="0" w:color="auto"/>
            <w:left w:val="none" w:sz="0" w:space="0" w:color="auto"/>
            <w:bottom w:val="none" w:sz="0" w:space="0" w:color="auto"/>
            <w:right w:val="none" w:sz="0" w:space="0" w:color="auto"/>
          </w:divBdr>
          <w:divsChild>
            <w:div w:id="205601291">
              <w:marLeft w:val="0"/>
              <w:marRight w:val="0"/>
              <w:marTop w:val="0"/>
              <w:marBottom w:val="0"/>
              <w:divBdr>
                <w:top w:val="none" w:sz="0" w:space="0" w:color="auto"/>
                <w:left w:val="none" w:sz="0" w:space="0" w:color="auto"/>
                <w:bottom w:val="none" w:sz="0" w:space="0" w:color="auto"/>
                <w:right w:val="none" w:sz="0" w:space="0" w:color="auto"/>
              </w:divBdr>
              <w:divsChild>
                <w:div w:id="118470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26974">
      <w:bodyDiv w:val="1"/>
      <w:marLeft w:val="0"/>
      <w:marRight w:val="0"/>
      <w:marTop w:val="0"/>
      <w:marBottom w:val="0"/>
      <w:divBdr>
        <w:top w:val="none" w:sz="0" w:space="0" w:color="auto"/>
        <w:left w:val="none" w:sz="0" w:space="0" w:color="auto"/>
        <w:bottom w:val="none" w:sz="0" w:space="0" w:color="auto"/>
        <w:right w:val="none" w:sz="0" w:space="0" w:color="auto"/>
      </w:divBdr>
      <w:divsChild>
        <w:div w:id="15272057">
          <w:marLeft w:val="0"/>
          <w:marRight w:val="0"/>
          <w:marTop w:val="0"/>
          <w:marBottom w:val="0"/>
          <w:divBdr>
            <w:top w:val="none" w:sz="0" w:space="0" w:color="auto"/>
            <w:left w:val="none" w:sz="0" w:space="0" w:color="auto"/>
            <w:bottom w:val="none" w:sz="0" w:space="0" w:color="auto"/>
            <w:right w:val="none" w:sz="0" w:space="0" w:color="auto"/>
          </w:divBdr>
          <w:divsChild>
            <w:div w:id="1318726362">
              <w:marLeft w:val="0"/>
              <w:marRight w:val="0"/>
              <w:marTop w:val="0"/>
              <w:marBottom w:val="0"/>
              <w:divBdr>
                <w:top w:val="none" w:sz="0" w:space="0" w:color="auto"/>
                <w:left w:val="none" w:sz="0" w:space="0" w:color="auto"/>
                <w:bottom w:val="none" w:sz="0" w:space="0" w:color="auto"/>
                <w:right w:val="none" w:sz="0" w:space="0" w:color="auto"/>
              </w:divBdr>
              <w:divsChild>
                <w:div w:id="16963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493880">
      <w:bodyDiv w:val="1"/>
      <w:marLeft w:val="0"/>
      <w:marRight w:val="0"/>
      <w:marTop w:val="0"/>
      <w:marBottom w:val="0"/>
      <w:divBdr>
        <w:top w:val="none" w:sz="0" w:space="0" w:color="auto"/>
        <w:left w:val="none" w:sz="0" w:space="0" w:color="auto"/>
        <w:bottom w:val="none" w:sz="0" w:space="0" w:color="auto"/>
        <w:right w:val="none" w:sz="0" w:space="0" w:color="auto"/>
      </w:divBdr>
      <w:divsChild>
        <w:div w:id="689721420">
          <w:marLeft w:val="0"/>
          <w:marRight w:val="0"/>
          <w:marTop w:val="0"/>
          <w:marBottom w:val="0"/>
          <w:divBdr>
            <w:top w:val="none" w:sz="0" w:space="0" w:color="auto"/>
            <w:left w:val="none" w:sz="0" w:space="0" w:color="auto"/>
            <w:bottom w:val="none" w:sz="0" w:space="0" w:color="auto"/>
            <w:right w:val="none" w:sz="0" w:space="0" w:color="auto"/>
          </w:divBdr>
          <w:divsChild>
            <w:div w:id="2115786292">
              <w:marLeft w:val="0"/>
              <w:marRight w:val="0"/>
              <w:marTop w:val="0"/>
              <w:marBottom w:val="0"/>
              <w:divBdr>
                <w:top w:val="none" w:sz="0" w:space="0" w:color="auto"/>
                <w:left w:val="none" w:sz="0" w:space="0" w:color="auto"/>
                <w:bottom w:val="none" w:sz="0" w:space="0" w:color="auto"/>
                <w:right w:val="none" w:sz="0" w:space="0" w:color="auto"/>
              </w:divBdr>
              <w:divsChild>
                <w:div w:id="119183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658384">
      <w:bodyDiv w:val="1"/>
      <w:marLeft w:val="0"/>
      <w:marRight w:val="0"/>
      <w:marTop w:val="0"/>
      <w:marBottom w:val="0"/>
      <w:divBdr>
        <w:top w:val="none" w:sz="0" w:space="0" w:color="auto"/>
        <w:left w:val="none" w:sz="0" w:space="0" w:color="auto"/>
        <w:bottom w:val="none" w:sz="0" w:space="0" w:color="auto"/>
        <w:right w:val="none" w:sz="0" w:space="0" w:color="auto"/>
      </w:divBdr>
      <w:divsChild>
        <w:div w:id="47191382">
          <w:marLeft w:val="0"/>
          <w:marRight w:val="0"/>
          <w:marTop w:val="0"/>
          <w:marBottom w:val="0"/>
          <w:divBdr>
            <w:top w:val="none" w:sz="0" w:space="0" w:color="auto"/>
            <w:left w:val="none" w:sz="0" w:space="0" w:color="auto"/>
            <w:bottom w:val="none" w:sz="0" w:space="0" w:color="auto"/>
            <w:right w:val="none" w:sz="0" w:space="0" w:color="auto"/>
          </w:divBdr>
          <w:divsChild>
            <w:div w:id="1421366575">
              <w:marLeft w:val="0"/>
              <w:marRight w:val="0"/>
              <w:marTop w:val="0"/>
              <w:marBottom w:val="0"/>
              <w:divBdr>
                <w:top w:val="none" w:sz="0" w:space="0" w:color="auto"/>
                <w:left w:val="none" w:sz="0" w:space="0" w:color="auto"/>
                <w:bottom w:val="none" w:sz="0" w:space="0" w:color="auto"/>
                <w:right w:val="none" w:sz="0" w:space="0" w:color="auto"/>
              </w:divBdr>
              <w:divsChild>
                <w:div w:id="127686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25019">
      <w:bodyDiv w:val="1"/>
      <w:marLeft w:val="0"/>
      <w:marRight w:val="0"/>
      <w:marTop w:val="0"/>
      <w:marBottom w:val="0"/>
      <w:divBdr>
        <w:top w:val="none" w:sz="0" w:space="0" w:color="auto"/>
        <w:left w:val="none" w:sz="0" w:space="0" w:color="auto"/>
        <w:bottom w:val="none" w:sz="0" w:space="0" w:color="auto"/>
        <w:right w:val="none" w:sz="0" w:space="0" w:color="auto"/>
      </w:divBdr>
      <w:divsChild>
        <w:div w:id="701830192">
          <w:marLeft w:val="0"/>
          <w:marRight w:val="0"/>
          <w:marTop w:val="0"/>
          <w:marBottom w:val="0"/>
          <w:divBdr>
            <w:top w:val="none" w:sz="0" w:space="0" w:color="auto"/>
            <w:left w:val="none" w:sz="0" w:space="0" w:color="auto"/>
            <w:bottom w:val="none" w:sz="0" w:space="0" w:color="auto"/>
            <w:right w:val="none" w:sz="0" w:space="0" w:color="auto"/>
          </w:divBdr>
          <w:divsChild>
            <w:div w:id="597954932">
              <w:marLeft w:val="0"/>
              <w:marRight w:val="0"/>
              <w:marTop w:val="0"/>
              <w:marBottom w:val="0"/>
              <w:divBdr>
                <w:top w:val="none" w:sz="0" w:space="0" w:color="auto"/>
                <w:left w:val="none" w:sz="0" w:space="0" w:color="auto"/>
                <w:bottom w:val="none" w:sz="0" w:space="0" w:color="auto"/>
                <w:right w:val="none" w:sz="0" w:space="0" w:color="auto"/>
              </w:divBdr>
              <w:divsChild>
                <w:div w:id="35665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98038">
      <w:bodyDiv w:val="1"/>
      <w:marLeft w:val="0"/>
      <w:marRight w:val="0"/>
      <w:marTop w:val="0"/>
      <w:marBottom w:val="0"/>
      <w:divBdr>
        <w:top w:val="none" w:sz="0" w:space="0" w:color="auto"/>
        <w:left w:val="none" w:sz="0" w:space="0" w:color="auto"/>
        <w:bottom w:val="none" w:sz="0" w:space="0" w:color="auto"/>
        <w:right w:val="none" w:sz="0" w:space="0" w:color="auto"/>
      </w:divBdr>
      <w:divsChild>
        <w:div w:id="1669676704">
          <w:marLeft w:val="0"/>
          <w:marRight w:val="0"/>
          <w:marTop w:val="0"/>
          <w:marBottom w:val="0"/>
          <w:divBdr>
            <w:top w:val="none" w:sz="0" w:space="0" w:color="auto"/>
            <w:left w:val="none" w:sz="0" w:space="0" w:color="auto"/>
            <w:bottom w:val="none" w:sz="0" w:space="0" w:color="auto"/>
            <w:right w:val="none" w:sz="0" w:space="0" w:color="auto"/>
          </w:divBdr>
          <w:divsChild>
            <w:div w:id="715471378">
              <w:marLeft w:val="0"/>
              <w:marRight w:val="0"/>
              <w:marTop w:val="0"/>
              <w:marBottom w:val="0"/>
              <w:divBdr>
                <w:top w:val="none" w:sz="0" w:space="0" w:color="auto"/>
                <w:left w:val="none" w:sz="0" w:space="0" w:color="auto"/>
                <w:bottom w:val="none" w:sz="0" w:space="0" w:color="auto"/>
                <w:right w:val="none" w:sz="0" w:space="0" w:color="auto"/>
              </w:divBdr>
              <w:divsChild>
                <w:div w:id="183024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636536">
      <w:bodyDiv w:val="1"/>
      <w:marLeft w:val="0"/>
      <w:marRight w:val="0"/>
      <w:marTop w:val="0"/>
      <w:marBottom w:val="0"/>
      <w:divBdr>
        <w:top w:val="none" w:sz="0" w:space="0" w:color="auto"/>
        <w:left w:val="none" w:sz="0" w:space="0" w:color="auto"/>
        <w:bottom w:val="none" w:sz="0" w:space="0" w:color="auto"/>
        <w:right w:val="none" w:sz="0" w:space="0" w:color="auto"/>
      </w:divBdr>
      <w:divsChild>
        <w:div w:id="370885054">
          <w:marLeft w:val="0"/>
          <w:marRight w:val="0"/>
          <w:marTop w:val="0"/>
          <w:marBottom w:val="0"/>
          <w:divBdr>
            <w:top w:val="none" w:sz="0" w:space="0" w:color="auto"/>
            <w:left w:val="none" w:sz="0" w:space="0" w:color="auto"/>
            <w:bottom w:val="none" w:sz="0" w:space="0" w:color="auto"/>
            <w:right w:val="none" w:sz="0" w:space="0" w:color="auto"/>
          </w:divBdr>
          <w:divsChild>
            <w:div w:id="1406881665">
              <w:marLeft w:val="0"/>
              <w:marRight w:val="0"/>
              <w:marTop w:val="0"/>
              <w:marBottom w:val="0"/>
              <w:divBdr>
                <w:top w:val="none" w:sz="0" w:space="0" w:color="auto"/>
                <w:left w:val="none" w:sz="0" w:space="0" w:color="auto"/>
                <w:bottom w:val="none" w:sz="0" w:space="0" w:color="auto"/>
                <w:right w:val="none" w:sz="0" w:space="0" w:color="auto"/>
              </w:divBdr>
              <w:divsChild>
                <w:div w:id="9263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867965">
      <w:bodyDiv w:val="1"/>
      <w:marLeft w:val="0"/>
      <w:marRight w:val="0"/>
      <w:marTop w:val="0"/>
      <w:marBottom w:val="0"/>
      <w:divBdr>
        <w:top w:val="none" w:sz="0" w:space="0" w:color="auto"/>
        <w:left w:val="none" w:sz="0" w:space="0" w:color="auto"/>
        <w:bottom w:val="none" w:sz="0" w:space="0" w:color="auto"/>
        <w:right w:val="none" w:sz="0" w:space="0" w:color="auto"/>
      </w:divBdr>
      <w:divsChild>
        <w:div w:id="95683735">
          <w:marLeft w:val="0"/>
          <w:marRight w:val="0"/>
          <w:marTop w:val="0"/>
          <w:marBottom w:val="0"/>
          <w:divBdr>
            <w:top w:val="none" w:sz="0" w:space="0" w:color="auto"/>
            <w:left w:val="none" w:sz="0" w:space="0" w:color="auto"/>
            <w:bottom w:val="none" w:sz="0" w:space="0" w:color="auto"/>
            <w:right w:val="none" w:sz="0" w:space="0" w:color="auto"/>
          </w:divBdr>
          <w:divsChild>
            <w:div w:id="1951084834">
              <w:marLeft w:val="0"/>
              <w:marRight w:val="0"/>
              <w:marTop w:val="0"/>
              <w:marBottom w:val="0"/>
              <w:divBdr>
                <w:top w:val="none" w:sz="0" w:space="0" w:color="auto"/>
                <w:left w:val="none" w:sz="0" w:space="0" w:color="auto"/>
                <w:bottom w:val="none" w:sz="0" w:space="0" w:color="auto"/>
                <w:right w:val="none" w:sz="0" w:space="0" w:color="auto"/>
              </w:divBdr>
              <w:divsChild>
                <w:div w:id="34695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898245">
      <w:bodyDiv w:val="1"/>
      <w:marLeft w:val="0"/>
      <w:marRight w:val="0"/>
      <w:marTop w:val="0"/>
      <w:marBottom w:val="0"/>
      <w:divBdr>
        <w:top w:val="none" w:sz="0" w:space="0" w:color="auto"/>
        <w:left w:val="none" w:sz="0" w:space="0" w:color="auto"/>
        <w:bottom w:val="none" w:sz="0" w:space="0" w:color="auto"/>
        <w:right w:val="none" w:sz="0" w:space="0" w:color="auto"/>
      </w:divBdr>
      <w:divsChild>
        <w:div w:id="453869438">
          <w:marLeft w:val="0"/>
          <w:marRight w:val="0"/>
          <w:marTop w:val="0"/>
          <w:marBottom w:val="0"/>
          <w:divBdr>
            <w:top w:val="none" w:sz="0" w:space="0" w:color="auto"/>
            <w:left w:val="none" w:sz="0" w:space="0" w:color="auto"/>
            <w:bottom w:val="none" w:sz="0" w:space="0" w:color="auto"/>
            <w:right w:val="none" w:sz="0" w:space="0" w:color="auto"/>
          </w:divBdr>
          <w:divsChild>
            <w:div w:id="1620801698">
              <w:marLeft w:val="0"/>
              <w:marRight w:val="0"/>
              <w:marTop w:val="0"/>
              <w:marBottom w:val="0"/>
              <w:divBdr>
                <w:top w:val="none" w:sz="0" w:space="0" w:color="auto"/>
                <w:left w:val="none" w:sz="0" w:space="0" w:color="auto"/>
                <w:bottom w:val="none" w:sz="0" w:space="0" w:color="auto"/>
                <w:right w:val="none" w:sz="0" w:space="0" w:color="auto"/>
              </w:divBdr>
              <w:divsChild>
                <w:div w:id="158899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493436">
      <w:bodyDiv w:val="1"/>
      <w:marLeft w:val="0"/>
      <w:marRight w:val="0"/>
      <w:marTop w:val="0"/>
      <w:marBottom w:val="0"/>
      <w:divBdr>
        <w:top w:val="none" w:sz="0" w:space="0" w:color="auto"/>
        <w:left w:val="none" w:sz="0" w:space="0" w:color="auto"/>
        <w:bottom w:val="none" w:sz="0" w:space="0" w:color="auto"/>
        <w:right w:val="none" w:sz="0" w:space="0" w:color="auto"/>
      </w:divBdr>
      <w:divsChild>
        <w:div w:id="1614245907">
          <w:marLeft w:val="0"/>
          <w:marRight w:val="0"/>
          <w:marTop w:val="0"/>
          <w:marBottom w:val="0"/>
          <w:divBdr>
            <w:top w:val="none" w:sz="0" w:space="0" w:color="auto"/>
            <w:left w:val="none" w:sz="0" w:space="0" w:color="auto"/>
            <w:bottom w:val="none" w:sz="0" w:space="0" w:color="auto"/>
            <w:right w:val="none" w:sz="0" w:space="0" w:color="auto"/>
          </w:divBdr>
          <w:divsChild>
            <w:div w:id="1430543269">
              <w:marLeft w:val="0"/>
              <w:marRight w:val="0"/>
              <w:marTop w:val="0"/>
              <w:marBottom w:val="0"/>
              <w:divBdr>
                <w:top w:val="none" w:sz="0" w:space="0" w:color="auto"/>
                <w:left w:val="none" w:sz="0" w:space="0" w:color="auto"/>
                <w:bottom w:val="none" w:sz="0" w:space="0" w:color="auto"/>
                <w:right w:val="none" w:sz="0" w:space="0" w:color="auto"/>
              </w:divBdr>
              <w:divsChild>
                <w:div w:id="54698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283978">
      <w:bodyDiv w:val="1"/>
      <w:marLeft w:val="0"/>
      <w:marRight w:val="0"/>
      <w:marTop w:val="0"/>
      <w:marBottom w:val="0"/>
      <w:divBdr>
        <w:top w:val="none" w:sz="0" w:space="0" w:color="auto"/>
        <w:left w:val="none" w:sz="0" w:space="0" w:color="auto"/>
        <w:bottom w:val="none" w:sz="0" w:space="0" w:color="auto"/>
        <w:right w:val="none" w:sz="0" w:space="0" w:color="auto"/>
      </w:divBdr>
      <w:divsChild>
        <w:div w:id="479464156">
          <w:marLeft w:val="0"/>
          <w:marRight w:val="0"/>
          <w:marTop w:val="0"/>
          <w:marBottom w:val="0"/>
          <w:divBdr>
            <w:top w:val="none" w:sz="0" w:space="0" w:color="auto"/>
            <w:left w:val="none" w:sz="0" w:space="0" w:color="auto"/>
            <w:bottom w:val="none" w:sz="0" w:space="0" w:color="auto"/>
            <w:right w:val="none" w:sz="0" w:space="0" w:color="auto"/>
          </w:divBdr>
          <w:divsChild>
            <w:div w:id="468983827">
              <w:marLeft w:val="0"/>
              <w:marRight w:val="0"/>
              <w:marTop w:val="0"/>
              <w:marBottom w:val="0"/>
              <w:divBdr>
                <w:top w:val="none" w:sz="0" w:space="0" w:color="auto"/>
                <w:left w:val="none" w:sz="0" w:space="0" w:color="auto"/>
                <w:bottom w:val="none" w:sz="0" w:space="0" w:color="auto"/>
                <w:right w:val="none" w:sz="0" w:space="0" w:color="auto"/>
              </w:divBdr>
              <w:divsChild>
                <w:div w:id="22900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082888">
      <w:bodyDiv w:val="1"/>
      <w:marLeft w:val="0"/>
      <w:marRight w:val="0"/>
      <w:marTop w:val="0"/>
      <w:marBottom w:val="0"/>
      <w:divBdr>
        <w:top w:val="none" w:sz="0" w:space="0" w:color="auto"/>
        <w:left w:val="none" w:sz="0" w:space="0" w:color="auto"/>
        <w:bottom w:val="none" w:sz="0" w:space="0" w:color="auto"/>
        <w:right w:val="none" w:sz="0" w:space="0" w:color="auto"/>
      </w:divBdr>
      <w:divsChild>
        <w:div w:id="1105267824">
          <w:marLeft w:val="0"/>
          <w:marRight w:val="0"/>
          <w:marTop w:val="0"/>
          <w:marBottom w:val="0"/>
          <w:divBdr>
            <w:top w:val="none" w:sz="0" w:space="0" w:color="auto"/>
            <w:left w:val="none" w:sz="0" w:space="0" w:color="auto"/>
            <w:bottom w:val="none" w:sz="0" w:space="0" w:color="auto"/>
            <w:right w:val="none" w:sz="0" w:space="0" w:color="auto"/>
          </w:divBdr>
          <w:divsChild>
            <w:div w:id="2119446273">
              <w:marLeft w:val="0"/>
              <w:marRight w:val="0"/>
              <w:marTop w:val="0"/>
              <w:marBottom w:val="0"/>
              <w:divBdr>
                <w:top w:val="none" w:sz="0" w:space="0" w:color="auto"/>
                <w:left w:val="none" w:sz="0" w:space="0" w:color="auto"/>
                <w:bottom w:val="none" w:sz="0" w:space="0" w:color="auto"/>
                <w:right w:val="none" w:sz="0" w:space="0" w:color="auto"/>
              </w:divBdr>
              <w:divsChild>
                <w:div w:id="171966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867839">
      <w:bodyDiv w:val="1"/>
      <w:marLeft w:val="0"/>
      <w:marRight w:val="0"/>
      <w:marTop w:val="0"/>
      <w:marBottom w:val="0"/>
      <w:divBdr>
        <w:top w:val="none" w:sz="0" w:space="0" w:color="auto"/>
        <w:left w:val="none" w:sz="0" w:space="0" w:color="auto"/>
        <w:bottom w:val="none" w:sz="0" w:space="0" w:color="auto"/>
        <w:right w:val="none" w:sz="0" w:space="0" w:color="auto"/>
      </w:divBdr>
      <w:divsChild>
        <w:div w:id="1183977911">
          <w:marLeft w:val="0"/>
          <w:marRight w:val="0"/>
          <w:marTop w:val="0"/>
          <w:marBottom w:val="0"/>
          <w:divBdr>
            <w:top w:val="none" w:sz="0" w:space="0" w:color="auto"/>
            <w:left w:val="none" w:sz="0" w:space="0" w:color="auto"/>
            <w:bottom w:val="none" w:sz="0" w:space="0" w:color="auto"/>
            <w:right w:val="none" w:sz="0" w:space="0" w:color="auto"/>
          </w:divBdr>
          <w:divsChild>
            <w:div w:id="92746914">
              <w:marLeft w:val="0"/>
              <w:marRight w:val="0"/>
              <w:marTop w:val="0"/>
              <w:marBottom w:val="0"/>
              <w:divBdr>
                <w:top w:val="none" w:sz="0" w:space="0" w:color="auto"/>
                <w:left w:val="none" w:sz="0" w:space="0" w:color="auto"/>
                <w:bottom w:val="none" w:sz="0" w:space="0" w:color="auto"/>
                <w:right w:val="none" w:sz="0" w:space="0" w:color="auto"/>
              </w:divBdr>
              <w:divsChild>
                <w:div w:id="47333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090607">
      <w:bodyDiv w:val="1"/>
      <w:marLeft w:val="0"/>
      <w:marRight w:val="0"/>
      <w:marTop w:val="0"/>
      <w:marBottom w:val="0"/>
      <w:divBdr>
        <w:top w:val="none" w:sz="0" w:space="0" w:color="auto"/>
        <w:left w:val="none" w:sz="0" w:space="0" w:color="auto"/>
        <w:bottom w:val="none" w:sz="0" w:space="0" w:color="auto"/>
        <w:right w:val="none" w:sz="0" w:space="0" w:color="auto"/>
      </w:divBdr>
      <w:divsChild>
        <w:div w:id="1347097256">
          <w:marLeft w:val="0"/>
          <w:marRight w:val="0"/>
          <w:marTop w:val="0"/>
          <w:marBottom w:val="0"/>
          <w:divBdr>
            <w:top w:val="none" w:sz="0" w:space="0" w:color="auto"/>
            <w:left w:val="none" w:sz="0" w:space="0" w:color="auto"/>
            <w:bottom w:val="none" w:sz="0" w:space="0" w:color="auto"/>
            <w:right w:val="none" w:sz="0" w:space="0" w:color="auto"/>
          </w:divBdr>
          <w:divsChild>
            <w:div w:id="109517778">
              <w:marLeft w:val="0"/>
              <w:marRight w:val="0"/>
              <w:marTop w:val="0"/>
              <w:marBottom w:val="0"/>
              <w:divBdr>
                <w:top w:val="none" w:sz="0" w:space="0" w:color="auto"/>
                <w:left w:val="none" w:sz="0" w:space="0" w:color="auto"/>
                <w:bottom w:val="none" w:sz="0" w:space="0" w:color="auto"/>
                <w:right w:val="none" w:sz="0" w:space="0" w:color="auto"/>
              </w:divBdr>
              <w:divsChild>
                <w:div w:id="77294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559444">
      <w:bodyDiv w:val="1"/>
      <w:marLeft w:val="0"/>
      <w:marRight w:val="0"/>
      <w:marTop w:val="0"/>
      <w:marBottom w:val="0"/>
      <w:divBdr>
        <w:top w:val="none" w:sz="0" w:space="0" w:color="auto"/>
        <w:left w:val="none" w:sz="0" w:space="0" w:color="auto"/>
        <w:bottom w:val="none" w:sz="0" w:space="0" w:color="auto"/>
        <w:right w:val="none" w:sz="0" w:space="0" w:color="auto"/>
      </w:divBdr>
      <w:divsChild>
        <w:div w:id="1983610477">
          <w:marLeft w:val="0"/>
          <w:marRight w:val="0"/>
          <w:marTop w:val="0"/>
          <w:marBottom w:val="0"/>
          <w:divBdr>
            <w:top w:val="none" w:sz="0" w:space="0" w:color="auto"/>
            <w:left w:val="none" w:sz="0" w:space="0" w:color="auto"/>
            <w:bottom w:val="none" w:sz="0" w:space="0" w:color="auto"/>
            <w:right w:val="none" w:sz="0" w:space="0" w:color="auto"/>
          </w:divBdr>
          <w:divsChild>
            <w:div w:id="489827147">
              <w:marLeft w:val="0"/>
              <w:marRight w:val="0"/>
              <w:marTop w:val="0"/>
              <w:marBottom w:val="0"/>
              <w:divBdr>
                <w:top w:val="none" w:sz="0" w:space="0" w:color="auto"/>
                <w:left w:val="none" w:sz="0" w:space="0" w:color="auto"/>
                <w:bottom w:val="none" w:sz="0" w:space="0" w:color="auto"/>
                <w:right w:val="none" w:sz="0" w:space="0" w:color="auto"/>
              </w:divBdr>
              <w:divsChild>
                <w:div w:id="3267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649686">
      <w:bodyDiv w:val="1"/>
      <w:marLeft w:val="0"/>
      <w:marRight w:val="0"/>
      <w:marTop w:val="0"/>
      <w:marBottom w:val="0"/>
      <w:divBdr>
        <w:top w:val="none" w:sz="0" w:space="0" w:color="auto"/>
        <w:left w:val="none" w:sz="0" w:space="0" w:color="auto"/>
        <w:bottom w:val="none" w:sz="0" w:space="0" w:color="auto"/>
        <w:right w:val="none" w:sz="0" w:space="0" w:color="auto"/>
      </w:divBdr>
      <w:divsChild>
        <w:div w:id="1403988933">
          <w:marLeft w:val="0"/>
          <w:marRight w:val="0"/>
          <w:marTop w:val="0"/>
          <w:marBottom w:val="0"/>
          <w:divBdr>
            <w:top w:val="none" w:sz="0" w:space="0" w:color="auto"/>
            <w:left w:val="none" w:sz="0" w:space="0" w:color="auto"/>
            <w:bottom w:val="none" w:sz="0" w:space="0" w:color="auto"/>
            <w:right w:val="none" w:sz="0" w:space="0" w:color="auto"/>
          </w:divBdr>
          <w:divsChild>
            <w:div w:id="496921333">
              <w:marLeft w:val="0"/>
              <w:marRight w:val="0"/>
              <w:marTop w:val="0"/>
              <w:marBottom w:val="0"/>
              <w:divBdr>
                <w:top w:val="none" w:sz="0" w:space="0" w:color="auto"/>
                <w:left w:val="none" w:sz="0" w:space="0" w:color="auto"/>
                <w:bottom w:val="none" w:sz="0" w:space="0" w:color="auto"/>
                <w:right w:val="none" w:sz="0" w:space="0" w:color="auto"/>
              </w:divBdr>
              <w:divsChild>
                <w:div w:id="32185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822395">
      <w:bodyDiv w:val="1"/>
      <w:marLeft w:val="0"/>
      <w:marRight w:val="0"/>
      <w:marTop w:val="0"/>
      <w:marBottom w:val="0"/>
      <w:divBdr>
        <w:top w:val="none" w:sz="0" w:space="0" w:color="auto"/>
        <w:left w:val="none" w:sz="0" w:space="0" w:color="auto"/>
        <w:bottom w:val="none" w:sz="0" w:space="0" w:color="auto"/>
        <w:right w:val="none" w:sz="0" w:space="0" w:color="auto"/>
      </w:divBdr>
      <w:divsChild>
        <w:div w:id="691690120">
          <w:marLeft w:val="0"/>
          <w:marRight w:val="0"/>
          <w:marTop w:val="0"/>
          <w:marBottom w:val="0"/>
          <w:divBdr>
            <w:top w:val="none" w:sz="0" w:space="0" w:color="auto"/>
            <w:left w:val="none" w:sz="0" w:space="0" w:color="auto"/>
            <w:bottom w:val="none" w:sz="0" w:space="0" w:color="auto"/>
            <w:right w:val="none" w:sz="0" w:space="0" w:color="auto"/>
          </w:divBdr>
          <w:divsChild>
            <w:div w:id="178471558">
              <w:marLeft w:val="0"/>
              <w:marRight w:val="0"/>
              <w:marTop w:val="0"/>
              <w:marBottom w:val="0"/>
              <w:divBdr>
                <w:top w:val="none" w:sz="0" w:space="0" w:color="auto"/>
                <w:left w:val="none" w:sz="0" w:space="0" w:color="auto"/>
                <w:bottom w:val="none" w:sz="0" w:space="0" w:color="auto"/>
                <w:right w:val="none" w:sz="0" w:space="0" w:color="auto"/>
              </w:divBdr>
              <w:divsChild>
                <w:div w:id="116891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010761">
      <w:bodyDiv w:val="1"/>
      <w:marLeft w:val="0"/>
      <w:marRight w:val="0"/>
      <w:marTop w:val="0"/>
      <w:marBottom w:val="0"/>
      <w:divBdr>
        <w:top w:val="none" w:sz="0" w:space="0" w:color="auto"/>
        <w:left w:val="none" w:sz="0" w:space="0" w:color="auto"/>
        <w:bottom w:val="none" w:sz="0" w:space="0" w:color="auto"/>
        <w:right w:val="none" w:sz="0" w:space="0" w:color="auto"/>
      </w:divBdr>
      <w:divsChild>
        <w:div w:id="731924330">
          <w:marLeft w:val="0"/>
          <w:marRight w:val="0"/>
          <w:marTop w:val="0"/>
          <w:marBottom w:val="0"/>
          <w:divBdr>
            <w:top w:val="none" w:sz="0" w:space="0" w:color="auto"/>
            <w:left w:val="none" w:sz="0" w:space="0" w:color="auto"/>
            <w:bottom w:val="none" w:sz="0" w:space="0" w:color="auto"/>
            <w:right w:val="none" w:sz="0" w:space="0" w:color="auto"/>
          </w:divBdr>
          <w:divsChild>
            <w:div w:id="1853570474">
              <w:marLeft w:val="0"/>
              <w:marRight w:val="0"/>
              <w:marTop w:val="0"/>
              <w:marBottom w:val="0"/>
              <w:divBdr>
                <w:top w:val="none" w:sz="0" w:space="0" w:color="auto"/>
                <w:left w:val="none" w:sz="0" w:space="0" w:color="auto"/>
                <w:bottom w:val="none" w:sz="0" w:space="0" w:color="auto"/>
                <w:right w:val="none" w:sz="0" w:space="0" w:color="auto"/>
              </w:divBdr>
              <w:divsChild>
                <w:div w:id="63564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629345">
      <w:bodyDiv w:val="1"/>
      <w:marLeft w:val="0"/>
      <w:marRight w:val="0"/>
      <w:marTop w:val="0"/>
      <w:marBottom w:val="0"/>
      <w:divBdr>
        <w:top w:val="none" w:sz="0" w:space="0" w:color="auto"/>
        <w:left w:val="none" w:sz="0" w:space="0" w:color="auto"/>
        <w:bottom w:val="none" w:sz="0" w:space="0" w:color="auto"/>
        <w:right w:val="none" w:sz="0" w:space="0" w:color="auto"/>
      </w:divBdr>
      <w:divsChild>
        <w:div w:id="1868374947">
          <w:marLeft w:val="0"/>
          <w:marRight w:val="0"/>
          <w:marTop w:val="0"/>
          <w:marBottom w:val="0"/>
          <w:divBdr>
            <w:top w:val="none" w:sz="0" w:space="0" w:color="auto"/>
            <w:left w:val="none" w:sz="0" w:space="0" w:color="auto"/>
            <w:bottom w:val="none" w:sz="0" w:space="0" w:color="auto"/>
            <w:right w:val="none" w:sz="0" w:space="0" w:color="auto"/>
          </w:divBdr>
          <w:divsChild>
            <w:div w:id="374283466">
              <w:marLeft w:val="0"/>
              <w:marRight w:val="0"/>
              <w:marTop w:val="0"/>
              <w:marBottom w:val="0"/>
              <w:divBdr>
                <w:top w:val="none" w:sz="0" w:space="0" w:color="auto"/>
                <w:left w:val="none" w:sz="0" w:space="0" w:color="auto"/>
                <w:bottom w:val="none" w:sz="0" w:space="0" w:color="auto"/>
                <w:right w:val="none" w:sz="0" w:space="0" w:color="auto"/>
              </w:divBdr>
              <w:divsChild>
                <w:div w:id="454370474">
                  <w:marLeft w:val="0"/>
                  <w:marRight w:val="0"/>
                  <w:marTop w:val="0"/>
                  <w:marBottom w:val="0"/>
                  <w:divBdr>
                    <w:top w:val="none" w:sz="0" w:space="0" w:color="auto"/>
                    <w:left w:val="none" w:sz="0" w:space="0" w:color="auto"/>
                    <w:bottom w:val="none" w:sz="0" w:space="0" w:color="auto"/>
                    <w:right w:val="none" w:sz="0" w:space="0" w:color="auto"/>
                  </w:divBdr>
                </w:div>
                <w:div w:id="795873125">
                  <w:marLeft w:val="0"/>
                  <w:marRight w:val="0"/>
                  <w:marTop w:val="0"/>
                  <w:marBottom w:val="0"/>
                  <w:divBdr>
                    <w:top w:val="none" w:sz="0" w:space="0" w:color="auto"/>
                    <w:left w:val="none" w:sz="0" w:space="0" w:color="auto"/>
                    <w:bottom w:val="none" w:sz="0" w:space="0" w:color="auto"/>
                    <w:right w:val="none" w:sz="0" w:space="0" w:color="auto"/>
                  </w:divBdr>
                </w:div>
                <w:div w:id="8109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598711">
      <w:bodyDiv w:val="1"/>
      <w:marLeft w:val="0"/>
      <w:marRight w:val="0"/>
      <w:marTop w:val="0"/>
      <w:marBottom w:val="0"/>
      <w:divBdr>
        <w:top w:val="none" w:sz="0" w:space="0" w:color="auto"/>
        <w:left w:val="none" w:sz="0" w:space="0" w:color="auto"/>
        <w:bottom w:val="none" w:sz="0" w:space="0" w:color="auto"/>
        <w:right w:val="none" w:sz="0" w:space="0" w:color="auto"/>
      </w:divBdr>
      <w:divsChild>
        <w:div w:id="1330131306">
          <w:marLeft w:val="0"/>
          <w:marRight w:val="0"/>
          <w:marTop w:val="0"/>
          <w:marBottom w:val="0"/>
          <w:divBdr>
            <w:top w:val="none" w:sz="0" w:space="0" w:color="auto"/>
            <w:left w:val="none" w:sz="0" w:space="0" w:color="auto"/>
            <w:bottom w:val="none" w:sz="0" w:space="0" w:color="auto"/>
            <w:right w:val="none" w:sz="0" w:space="0" w:color="auto"/>
          </w:divBdr>
          <w:divsChild>
            <w:div w:id="1157307436">
              <w:marLeft w:val="0"/>
              <w:marRight w:val="0"/>
              <w:marTop w:val="0"/>
              <w:marBottom w:val="0"/>
              <w:divBdr>
                <w:top w:val="none" w:sz="0" w:space="0" w:color="auto"/>
                <w:left w:val="none" w:sz="0" w:space="0" w:color="auto"/>
                <w:bottom w:val="none" w:sz="0" w:space="0" w:color="auto"/>
                <w:right w:val="none" w:sz="0" w:space="0" w:color="auto"/>
              </w:divBdr>
              <w:divsChild>
                <w:div w:id="170914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16355">
      <w:bodyDiv w:val="1"/>
      <w:marLeft w:val="0"/>
      <w:marRight w:val="0"/>
      <w:marTop w:val="0"/>
      <w:marBottom w:val="0"/>
      <w:divBdr>
        <w:top w:val="none" w:sz="0" w:space="0" w:color="auto"/>
        <w:left w:val="none" w:sz="0" w:space="0" w:color="auto"/>
        <w:bottom w:val="none" w:sz="0" w:space="0" w:color="auto"/>
        <w:right w:val="none" w:sz="0" w:space="0" w:color="auto"/>
      </w:divBdr>
      <w:divsChild>
        <w:div w:id="1074398447">
          <w:marLeft w:val="0"/>
          <w:marRight w:val="0"/>
          <w:marTop w:val="0"/>
          <w:marBottom w:val="0"/>
          <w:divBdr>
            <w:top w:val="none" w:sz="0" w:space="0" w:color="auto"/>
            <w:left w:val="none" w:sz="0" w:space="0" w:color="auto"/>
            <w:bottom w:val="none" w:sz="0" w:space="0" w:color="auto"/>
            <w:right w:val="none" w:sz="0" w:space="0" w:color="auto"/>
          </w:divBdr>
          <w:divsChild>
            <w:div w:id="1447895608">
              <w:marLeft w:val="0"/>
              <w:marRight w:val="0"/>
              <w:marTop w:val="0"/>
              <w:marBottom w:val="0"/>
              <w:divBdr>
                <w:top w:val="none" w:sz="0" w:space="0" w:color="auto"/>
                <w:left w:val="none" w:sz="0" w:space="0" w:color="auto"/>
                <w:bottom w:val="none" w:sz="0" w:space="0" w:color="auto"/>
                <w:right w:val="none" w:sz="0" w:space="0" w:color="auto"/>
              </w:divBdr>
              <w:divsChild>
                <w:div w:id="366837384">
                  <w:marLeft w:val="0"/>
                  <w:marRight w:val="0"/>
                  <w:marTop w:val="0"/>
                  <w:marBottom w:val="0"/>
                  <w:divBdr>
                    <w:top w:val="none" w:sz="0" w:space="0" w:color="auto"/>
                    <w:left w:val="none" w:sz="0" w:space="0" w:color="auto"/>
                    <w:bottom w:val="none" w:sz="0" w:space="0" w:color="auto"/>
                    <w:right w:val="none" w:sz="0" w:space="0" w:color="auto"/>
                  </w:divBdr>
                  <w:divsChild>
                    <w:div w:id="139967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115894">
      <w:bodyDiv w:val="1"/>
      <w:marLeft w:val="0"/>
      <w:marRight w:val="0"/>
      <w:marTop w:val="0"/>
      <w:marBottom w:val="0"/>
      <w:divBdr>
        <w:top w:val="none" w:sz="0" w:space="0" w:color="auto"/>
        <w:left w:val="none" w:sz="0" w:space="0" w:color="auto"/>
        <w:bottom w:val="none" w:sz="0" w:space="0" w:color="auto"/>
        <w:right w:val="none" w:sz="0" w:space="0" w:color="auto"/>
      </w:divBdr>
      <w:divsChild>
        <w:div w:id="2014453770">
          <w:marLeft w:val="0"/>
          <w:marRight w:val="0"/>
          <w:marTop w:val="0"/>
          <w:marBottom w:val="0"/>
          <w:divBdr>
            <w:top w:val="none" w:sz="0" w:space="0" w:color="auto"/>
            <w:left w:val="none" w:sz="0" w:space="0" w:color="auto"/>
            <w:bottom w:val="none" w:sz="0" w:space="0" w:color="auto"/>
            <w:right w:val="none" w:sz="0" w:space="0" w:color="auto"/>
          </w:divBdr>
          <w:divsChild>
            <w:div w:id="748380280">
              <w:marLeft w:val="0"/>
              <w:marRight w:val="0"/>
              <w:marTop w:val="0"/>
              <w:marBottom w:val="0"/>
              <w:divBdr>
                <w:top w:val="none" w:sz="0" w:space="0" w:color="auto"/>
                <w:left w:val="none" w:sz="0" w:space="0" w:color="auto"/>
                <w:bottom w:val="none" w:sz="0" w:space="0" w:color="auto"/>
                <w:right w:val="none" w:sz="0" w:space="0" w:color="auto"/>
              </w:divBdr>
              <w:divsChild>
                <w:div w:id="182512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78256">
      <w:bodyDiv w:val="1"/>
      <w:marLeft w:val="0"/>
      <w:marRight w:val="0"/>
      <w:marTop w:val="0"/>
      <w:marBottom w:val="0"/>
      <w:divBdr>
        <w:top w:val="none" w:sz="0" w:space="0" w:color="auto"/>
        <w:left w:val="none" w:sz="0" w:space="0" w:color="auto"/>
        <w:bottom w:val="none" w:sz="0" w:space="0" w:color="auto"/>
        <w:right w:val="none" w:sz="0" w:space="0" w:color="auto"/>
      </w:divBdr>
      <w:divsChild>
        <w:div w:id="724257652">
          <w:marLeft w:val="0"/>
          <w:marRight w:val="0"/>
          <w:marTop w:val="0"/>
          <w:marBottom w:val="0"/>
          <w:divBdr>
            <w:top w:val="none" w:sz="0" w:space="0" w:color="auto"/>
            <w:left w:val="none" w:sz="0" w:space="0" w:color="auto"/>
            <w:bottom w:val="none" w:sz="0" w:space="0" w:color="auto"/>
            <w:right w:val="none" w:sz="0" w:space="0" w:color="auto"/>
          </w:divBdr>
          <w:divsChild>
            <w:div w:id="202984711">
              <w:marLeft w:val="0"/>
              <w:marRight w:val="0"/>
              <w:marTop w:val="0"/>
              <w:marBottom w:val="0"/>
              <w:divBdr>
                <w:top w:val="none" w:sz="0" w:space="0" w:color="auto"/>
                <w:left w:val="none" w:sz="0" w:space="0" w:color="auto"/>
                <w:bottom w:val="none" w:sz="0" w:space="0" w:color="auto"/>
                <w:right w:val="none" w:sz="0" w:space="0" w:color="auto"/>
              </w:divBdr>
              <w:divsChild>
                <w:div w:id="12296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019832">
      <w:bodyDiv w:val="1"/>
      <w:marLeft w:val="0"/>
      <w:marRight w:val="0"/>
      <w:marTop w:val="0"/>
      <w:marBottom w:val="0"/>
      <w:divBdr>
        <w:top w:val="none" w:sz="0" w:space="0" w:color="auto"/>
        <w:left w:val="none" w:sz="0" w:space="0" w:color="auto"/>
        <w:bottom w:val="none" w:sz="0" w:space="0" w:color="auto"/>
        <w:right w:val="none" w:sz="0" w:space="0" w:color="auto"/>
      </w:divBdr>
      <w:divsChild>
        <w:div w:id="1046175355">
          <w:marLeft w:val="0"/>
          <w:marRight w:val="0"/>
          <w:marTop w:val="0"/>
          <w:marBottom w:val="0"/>
          <w:divBdr>
            <w:top w:val="none" w:sz="0" w:space="0" w:color="auto"/>
            <w:left w:val="none" w:sz="0" w:space="0" w:color="auto"/>
            <w:bottom w:val="none" w:sz="0" w:space="0" w:color="auto"/>
            <w:right w:val="none" w:sz="0" w:space="0" w:color="auto"/>
          </w:divBdr>
          <w:divsChild>
            <w:div w:id="1682468423">
              <w:marLeft w:val="0"/>
              <w:marRight w:val="0"/>
              <w:marTop w:val="0"/>
              <w:marBottom w:val="0"/>
              <w:divBdr>
                <w:top w:val="none" w:sz="0" w:space="0" w:color="auto"/>
                <w:left w:val="none" w:sz="0" w:space="0" w:color="auto"/>
                <w:bottom w:val="none" w:sz="0" w:space="0" w:color="auto"/>
                <w:right w:val="none" w:sz="0" w:space="0" w:color="auto"/>
              </w:divBdr>
              <w:divsChild>
                <w:div w:id="1821926285">
                  <w:marLeft w:val="0"/>
                  <w:marRight w:val="0"/>
                  <w:marTop w:val="0"/>
                  <w:marBottom w:val="0"/>
                  <w:divBdr>
                    <w:top w:val="none" w:sz="0" w:space="0" w:color="auto"/>
                    <w:left w:val="none" w:sz="0" w:space="0" w:color="auto"/>
                    <w:bottom w:val="none" w:sz="0" w:space="0" w:color="auto"/>
                    <w:right w:val="none" w:sz="0" w:space="0" w:color="auto"/>
                  </w:divBdr>
                  <w:divsChild>
                    <w:div w:id="1268654062">
                      <w:marLeft w:val="0"/>
                      <w:marRight w:val="0"/>
                      <w:marTop w:val="0"/>
                      <w:marBottom w:val="0"/>
                      <w:divBdr>
                        <w:top w:val="none" w:sz="0" w:space="0" w:color="auto"/>
                        <w:left w:val="none" w:sz="0" w:space="0" w:color="auto"/>
                        <w:bottom w:val="none" w:sz="0" w:space="0" w:color="auto"/>
                        <w:right w:val="none" w:sz="0" w:space="0" w:color="auto"/>
                      </w:divBdr>
                    </w:div>
                  </w:divsChild>
                </w:div>
                <w:div w:id="1542286551">
                  <w:marLeft w:val="0"/>
                  <w:marRight w:val="0"/>
                  <w:marTop w:val="0"/>
                  <w:marBottom w:val="0"/>
                  <w:divBdr>
                    <w:top w:val="none" w:sz="0" w:space="0" w:color="auto"/>
                    <w:left w:val="none" w:sz="0" w:space="0" w:color="auto"/>
                    <w:bottom w:val="none" w:sz="0" w:space="0" w:color="auto"/>
                    <w:right w:val="none" w:sz="0" w:space="0" w:color="auto"/>
                  </w:divBdr>
                  <w:divsChild>
                    <w:div w:id="1220166900">
                      <w:marLeft w:val="0"/>
                      <w:marRight w:val="0"/>
                      <w:marTop w:val="0"/>
                      <w:marBottom w:val="0"/>
                      <w:divBdr>
                        <w:top w:val="none" w:sz="0" w:space="0" w:color="auto"/>
                        <w:left w:val="none" w:sz="0" w:space="0" w:color="auto"/>
                        <w:bottom w:val="none" w:sz="0" w:space="0" w:color="auto"/>
                        <w:right w:val="none" w:sz="0" w:space="0" w:color="auto"/>
                      </w:divBdr>
                    </w:div>
                  </w:divsChild>
                </w:div>
                <w:div w:id="1482191346">
                  <w:marLeft w:val="0"/>
                  <w:marRight w:val="0"/>
                  <w:marTop w:val="0"/>
                  <w:marBottom w:val="0"/>
                  <w:divBdr>
                    <w:top w:val="none" w:sz="0" w:space="0" w:color="auto"/>
                    <w:left w:val="none" w:sz="0" w:space="0" w:color="auto"/>
                    <w:bottom w:val="none" w:sz="0" w:space="0" w:color="auto"/>
                    <w:right w:val="none" w:sz="0" w:space="0" w:color="auto"/>
                  </w:divBdr>
                  <w:divsChild>
                    <w:div w:id="512842303">
                      <w:marLeft w:val="0"/>
                      <w:marRight w:val="0"/>
                      <w:marTop w:val="0"/>
                      <w:marBottom w:val="0"/>
                      <w:divBdr>
                        <w:top w:val="none" w:sz="0" w:space="0" w:color="auto"/>
                        <w:left w:val="none" w:sz="0" w:space="0" w:color="auto"/>
                        <w:bottom w:val="none" w:sz="0" w:space="0" w:color="auto"/>
                        <w:right w:val="none" w:sz="0" w:space="0" w:color="auto"/>
                      </w:divBdr>
                    </w:div>
                  </w:divsChild>
                </w:div>
                <w:div w:id="1088119587">
                  <w:marLeft w:val="0"/>
                  <w:marRight w:val="0"/>
                  <w:marTop w:val="0"/>
                  <w:marBottom w:val="0"/>
                  <w:divBdr>
                    <w:top w:val="none" w:sz="0" w:space="0" w:color="auto"/>
                    <w:left w:val="none" w:sz="0" w:space="0" w:color="auto"/>
                    <w:bottom w:val="none" w:sz="0" w:space="0" w:color="auto"/>
                    <w:right w:val="none" w:sz="0" w:space="0" w:color="auto"/>
                  </w:divBdr>
                  <w:divsChild>
                    <w:div w:id="2067603416">
                      <w:marLeft w:val="0"/>
                      <w:marRight w:val="0"/>
                      <w:marTop w:val="0"/>
                      <w:marBottom w:val="0"/>
                      <w:divBdr>
                        <w:top w:val="none" w:sz="0" w:space="0" w:color="auto"/>
                        <w:left w:val="none" w:sz="0" w:space="0" w:color="auto"/>
                        <w:bottom w:val="none" w:sz="0" w:space="0" w:color="auto"/>
                        <w:right w:val="none" w:sz="0" w:space="0" w:color="auto"/>
                      </w:divBdr>
                    </w:div>
                  </w:divsChild>
                </w:div>
                <w:div w:id="1063329643">
                  <w:marLeft w:val="0"/>
                  <w:marRight w:val="0"/>
                  <w:marTop w:val="0"/>
                  <w:marBottom w:val="0"/>
                  <w:divBdr>
                    <w:top w:val="none" w:sz="0" w:space="0" w:color="auto"/>
                    <w:left w:val="none" w:sz="0" w:space="0" w:color="auto"/>
                    <w:bottom w:val="none" w:sz="0" w:space="0" w:color="auto"/>
                    <w:right w:val="none" w:sz="0" w:space="0" w:color="auto"/>
                  </w:divBdr>
                  <w:divsChild>
                    <w:div w:id="155111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090216">
      <w:bodyDiv w:val="1"/>
      <w:marLeft w:val="0"/>
      <w:marRight w:val="0"/>
      <w:marTop w:val="0"/>
      <w:marBottom w:val="0"/>
      <w:divBdr>
        <w:top w:val="none" w:sz="0" w:space="0" w:color="auto"/>
        <w:left w:val="none" w:sz="0" w:space="0" w:color="auto"/>
        <w:bottom w:val="none" w:sz="0" w:space="0" w:color="auto"/>
        <w:right w:val="none" w:sz="0" w:space="0" w:color="auto"/>
      </w:divBdr>
      <w:divsChild>
        <w:div w:id="2073194325">
          <w:marLeft w:val="0"/>
          <w:marRight w:val="0"/>
          <w:marTop w:val="0"/>
          <w:marBottom w:val="0"/>
          <w:divBdr>
            <w:top w:val="none" w:sz="0" w:space="0" w:color="auto"/>
            <w:left w:val="none" w:sz="0" w:space="0" w:color="auto"/>
            <w:bottom w:val="none" w:sz="0" w:space="0" w:color="auto"/>
            <w:right w:val="none" w:sz="0" w:space="0" w:color="auto"/>
          </w:divBdr>
          <w:divsChild>
            <w:div w:id="1940260921">
              <w:marLeft w:val="0"/>
              <w:marRight w:val="0"/>
              <w:marTop w:val="0"/>
              <w:marBottom w:val="0"/>
              <w:divBdr>
                <w:top w:val="none" w:sz="0" w:space="0" w:color="auto"/>
                <w:left w:val="none" w:sz="0" w:space="0" w:color="auto"/>
                <w:bottom w:val="none" w:sz="0" w:space="0" w:color="auto"/>
                <w:right w:val="none" w:sz="0" w:space="0" w:color="auto"/>
              </w:divBdr>
              <w:divsChild>
                <w:div w:id="7418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250164">
      <w:bodyDiv w:val="1"/>
      <w:marLeft w:val="0"/>
      <w:marRight w:val="0"/>
      <w:marTop w:val="0"/>
      <w:marBottom w:val="0"/>
      <w:divBdr>
        <w:top w:val="none" w:sz="0" w:space="0" w:color="auto"/>
        <w:left w:val="none" w:sz="0" w:space="0" w:color="auto"/>
        <w:bottom w:val="none" w:sz="0" w:space="0" w:color="auto"/>
        <w:right w:val="none" w:sz="0" w:space="0" w:color="auto"/>
      </w:divBdr>
      <w:divsChild>
        <w:div w:id="1401556378">
          <w:marLeft w:val="0"/>
          <w:marRight w:val="0"/>
          <w:marTop w:val="0"/>
          <w:marBottom w:val="0"/>
          <w:divBdr>
            <w:top w:val="none" w:sz="0" w:space="0" w:color="auto"/>
            <w:left w:val="none" w:sz="0" w:space="0" w:color="auto"/>
            <w:bottom w:val="none" w:sz="0" w:space="0" w:color="auto"/>
            <w:right w:val="none" w:sz="0" w:space="0" w:color="auto"/>
          </w:divBdr>
          <w:divsChild>
            <w:div w:id="2098406751">
              <w:marLeft w:val="0"/>
              <w:marRight w:val="0"/>
              <w:marTop w:val="0"/>
              <w:marBottom w:val="0"/>
              <w:divBdr>
                <w:top w:val="none" w:sz="0" w:space="0" w:color="auto"/>
                <w:left w:val="none" w:sz="0" w:space="0" w:color="auto"/>
                <w:bottom w:val="none" w:sz="0" w:space="0" w:color="auto"/>
                <w:right w:val="none" w:sz="0" w:space="0" w:color="auto"/>
              </w:divBdr>
              <w:divsChild>
                <w:div w:id="39316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23059">
      <w:bodyDiv w:val="1"/>
      <w:marLeft w:val="0"/>
      <w:marRight w:val="0"/>
      <w:marTop w:val="0"/>
      <w:marBottom w:val="0"/>
      <w:divBdr>
        <w:top w:val="none" w:sz="0" w:space="0" w:color="auto"/>
        <w:left w:val="none" w:sz="0" w:space="0" w:color="auto"/>
        <w:bottom w:val="none" w:sz="0" w:space="0" w:color="auto"/>
        <w:right w:val="none" w:sz="0" w:space="0" w:color="auto"/>
      </w:divBdr>
      <w:divsChild>
        <w:div w:id="782306003">
          <w:marLeft w:val="0"/>
          <w:marRight w:val="0"/>
          <w:marTop w:val="0"/>
          <w:marBottom w:val="0"/>
          <w:divBdr>
            <w:top w:val="none" w:sz="0" w:space="0" w:color="auto"/>
            <w:left w:val="none" w:sz="0" w:space="0" w:color="auto"/>
            <w:bottom w:val="none" w:sz="0" w:space="0" w:color="auto"/>
            <w:right w:val="none" w:sz="0" w:space="0" w:color="auto"/>
          </w:divBdr>
          <w:divsChild>
            <w:div w:id="1782724550">
              <w:marLeft w:val="0"/>
              <w:marRight w:val="0"/>
              <w:marTop w:val="0"/>
              <w:marBottom w:val="0"/>
              <w:divBdr>
                <w:top w:val="none" w:sz="0" w:space="0" w:color="auto"/>
                <w:left w:val="none" w:sz="0" w:space="0" w:color="auto"/>
                <w:bottom w:val="none" w:sz="0" w:space="0" w:color="auto"/>
                <w:right w:val="none" w:sz="0" w:space="0" w:color="auto"/>
              </w:divBdr>
              <w:divsChild>
                <w:div w:id="154274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017083">
      <w:bodyDiv w:val="1"/>
      <w:marLeft w:val="0"/>
      <w:marRight w:val="0"/>
      <w:marTop w:val="0"/>
      <w:marBottom w:val="0"/>
      <w:divBdr>
        <w:top w:val="none" w:sz="0" w:space="0" w:color="auto"/>
        <w:left w:val="none" w:sz="0" w:space="0" w:color="auto"/>
        <w:bottom w:val="none" w:sz="0" w:space="0" w:color="auto"/>
        <w:right w:val="none" w:sz="0" w:space="0" w:color="auto"/>
      </w:divBdr>
      <w:divsChild>
        <w:div w:id="558908029">
          <w:marLeft w:val="0"/>
          <w:marRight w:val="0"/>
          <w:marTop w:val="0"/>
          <w:marBottom w:val="0"/>
          <w:divBdr>
            <w:top w:val="none" w:sz="0" w:space="0" w:color="auto"/>
            <w:left w:val="none" w:sz="0" w:space="0" w:color="auto"/>
            <w:bottom w:val="none" w:sz="0" w:space="0" w:color="auto"/>
            <w:right w:val="none" w:sz="0" w:space="0" w:color="auto"/>
          </w:divBdr>
          <w:divsChild>
            <w:div w:id="1093041649">
              <w:marLeft w:val="0"/>
              <w:marRight w:val="0"/>
              <w:marTop w:val="0"/>
              <w:marBottom w:val="0"/>
              <w:divBdr>
                <w:top w:val="none" w:sz="0" w:space="0" w:color="auto"/>
                <w:left w:val="none" w:sz="0" w:space="0" w:color="auto"/>
                <w:bottom w:val="none" w:sz="0" w:space="0" w:color="auto"/>
                <w:right w:val="none" w:sz="0" w:space="0" w:color="auto"/>
              </w:divBdr>
              <w:divsChild>
                <w:div w:id="201675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981433">
      <w:bodyDiv w:val="1"/>
      <w:marLeft w:val="0"/>
      <w:marRight w:val="0"/>
      <w:marTop w:val="0"/>
      <w:marBottom w:val="0"/>
      <w:divBdr>
        <w:top w:val="none" w:sz="0" w:space="0" w:color="auto"/>
        <w:left w:val="none" w:sz="0" w:space="0" w:color="auto"/>
        <w:bottom w:val="none" w:sz="0" w:space="0" w:color="auto"/>
        <w:right w:val="none" w:sz="0" w:space="0" w:color="auto"/>
      </w:divBdr>
      <w:divsChild>
        <w:div w:id="1224683585">
          <w:marLeft w:val="0"/>
          <w:marRight w:val="0"/>
          <w:marTop w:val="0"/>
          <w:marBottom w:val="0"/>
          <w:divBdr>
            <w:top w:val="none" w:sz="0" w:space="0" w:color="auto"/>
            <w:left w:val="none" w:sz="0" w:space="0" w:color="auto"/>
            <w:bottom w:val="none" w:sz="0" w:space="0" w:color="auto"/>
            <w:right w:val="none" w:sz="0" w:space="0" w:color="auto"/>
          </w:divBdr>
          <w:divsChild>
            <w:div w:id="2074233970">
              <w:marLeft w:val="0"/>
              <w:marRight w:val="0"/>
              <w:marTop w:val="0"/>
              <w:marBottom w:val="0"/>
              <w:divBdr>
                <w:top w:val="none" w:sz="0" w:space="0" w:color="auto"/>
                <w:left w:val="none" w:sz="0" w:space="0" w:color="auto"/>
                <w:bottom w:val="none" w:sz="0" w:space="0" w:color="auto"/>
                <w:right w:val="none" w:sz="0" w:space="0" w:color="auto"/>
              </w:divBdr>
              <w:divsChild>
                <w:div w:id="121303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56623">
      <w:bodyDiv w:val="1"/>
      <w:marLeft w:val="0"/>
      <w:marRight w:val="0"/>
      <w:marTop w:val="0"/>
      <w:marBottom w:val="0"/>
      <w:divBdr>
        <w:top w:val="none" w:sz="0" w:space="0" w:color="auto"/>
        <w:left w:val="none" w:sz="0" w:space="0" w:color="auto"/>
        <w:bottom w:val="none" w:sz="0" w:space="0" w:color="auto"/>
        <w:right w:val="none" w:sz="0" w:space="0" w:color="auto"/>
      </w:divBdr>
      <w:divsChild>
        <w:div w:id="1499812628">
          <w:marLeft w:val="0"/>
          <w:marRight w:val="0"/>
          <w:marTop w:val="0"/>
          <w:marBottom w:val="0"/>
          <w:divBdr>
            <w:top w:val="none" w:sz="0" w:space="0" w:color="auto"/>
            <w:left w:val="none" w:sz="0" w:space="0" w:color="auto"/>
            <w:bottom w:val="none" w:sz="0" w:space="0" w:color="auto"/>
            <w:right w:val="none" w:sz="0" w:space="0" w:color="auto"/>
          </w:divBdr>
          <w:divsChild>
            <w:div w:id="1842307194">
              <w:marLeft w:val="0"/>
              <w:marRight w:val="0"/>
              <w:marTop w:val="0"/>
              <w:marBottom w:val="0"/>
              <w:divBdr>
                <w:top w:val="none" w:sz="0" w:space="0" w:color="auto"/>
                <w:left w:val="none" w:sz="0" w:space="0" w:color="auto"/>
                <w:bottom w:val="none" w:sz="0" w:space="0" w:color="auto"/>
                <w:right w:val="none" w:sz="0" w:space="0" w:color="auto"/>
              </w:divBdr>
              <w:divsChild>
                <w:div w:id="39598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498823">
      <w:bodyDiv w:val="1"/>
      <w:marLeft w:val="0"/>
      <w:marRight w:val="0"/>
      <w:marTop w:val="0"/>
      <w:marBottom w:val="0"/>
      <w:divBdr>
        <w:top w:val="none" w:sz="0" w:space="0" w:color="auto"/>
        <w:left w:val="none" w:sz="0" w:space="0" w:color="auto"/>
        <w:bottom w:val="none" w:sz="0" w:space="0" w:color="auto"/>
        <w:right w:val="none" w:sz="0" w:space="0" w:color="auto"/>
      </w:divBdr>
      <w:divsChild>
        <w:div w:id="1287276124">
          <w:marLeft w:val="0"/>
          <w:marRight w:val="0"/>
          <w:marTop w:val="0"/>
          <w:marBottom w:val="0"/>
          <w:divBdr>
            <w:top w:val="none" w:sz="0" w:space="0" w:color="auto"/>
            <w:left w:val="none" w:sz="0" w:space="0" w:color="auto"/>
            <w:bottom w:val="none" w:sz="0" w:space="0" w:color="auto"/>
            <w:right w:val="none" w:sz="0" w:space="0" w:color="auto"/>
          </w:divBdr>
          <w:divsChild>
            <w:div w:id="1234664048">
              <w:marLeft w:val="0"/>
              <w:marRight w:val="0"/>
              <w:marTop w:val="0"/>
              <w:marBottom w:val="0"/>
              <w:divBdr>
                <w:top w:val="none" w:sz="0" w:space="0" w:color="auto"/>
                <w:left w:val="none" w:sz="0" w:space="0" w:color="auto"/>
                <w:bottom w:val="none" w:sz="0" w:space="0" w:color="auto"/>
                <w:right w:val="none" w:sz="0" w:space="0" w:color="auto"/>
              </w:divBdr>
              <w:divsChild>
                <w:div w:id="29255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869027">
      <w:bodyDiv w:val="1"/>
      <w:marLeft w:val="0"/>
      <w:marRight w:val="0"/>
      <w:marTop w:val="0"/>
      <w:marBottom w:val="0"/>
      <w:divBdr>
        <w:top w:val="none" w:sz="0" w:space="0" w:color="auto"/>
        <w:left w:val="none" w:sz="0" w:space="0" w:color="auto"/>
        <w:bottom w:val="none" w:sz="0" w:space="0" w:color="auto"/>
        <w:right w:val="none" w:sz="0" w:space="0" w:color="auto"/>
      </w:divBdr>
      <w:divsChild>
        <w:div w:id="2128042476">
          <w:marLeft w:val="0"/>
          <w:marRight w:val="0"/>
          <w:marTop w:val="0"/>
          <w:marBottom w:val="0"/>
          <w:divBdr>
            <w:top w:val="none" w:sz="0" w:space="0" w:color="auto"/>
            <w:left w:val="none" w:sz="0" w:space="0" w:color="auto"/>
            <w:bottom w:val="none" w:sz="0" w:space="0" w:color="auto"/>
            <w:right w:val="none" w:sz="0" w:space="0" w:color="auto"/>
          </w:divBdr>
          <w:divsChild>
            <w:div w:id="822089583">
              <w:marLeft w:val="0"/>
              <w:marRight w:val="0"/>
              <w:marTop w:val="0"/>
              <w:marBottom w:val="0"/>
              <w:divBdr>
                <w:top w:val="none" w:sz="0" w:space="0" w:color="auto"/>
                <w:left w:val="none" w:sz="0" w:space="0" w:color="auto"/>
                <w:bottom w:val="none" w:sz="0" w:space="0" w:color="auto"/>
                <w:right w:val="none" w:sz="0" w:space="0" w:color="auto"/>
              </w:divBdr>
              <w:divsChild>
                <w:div w:id="99615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29052">
      <w:bodyDiv w:val="1"/>
      <w:marLeft w:val="0"/>
      <w:marRight w:val="0"/>
      <w:marTop w:val="0"/>
      <w:marBottom w:val="0"/>
      <w:divBdr>
        <w:top w:val="none" w:sz="0" w:space="0" w:color="auto"/>
        <w:left w:val="none" w:sz="0" w:space="0" w:color="auto"/>
        <w:bottom w:val="none" w:sz="0" w:space="0" w:color="auto"/>
        <w:right w:val="none" w:sz="0" w:space="0" w:color="auto"/>
      </w:divBdr>
      <w:divsChild>
        <w:div w:id="1619338392">
          <w:marLeft w:val="0"/>
          <w:marRight w:val="0"/>
          <w:marTop w:val="0"/>
          <w:marBottom w:val="0"/>
          <w:divBdr>
            <w:top w:val="none" w:sz="0" w:space="0" w:color="auto"/>
            <w:left w:val="none" w:sz="0" w:space="0" w:color="auto"/>
            <w:bottom w:val="none" w:sz="0" w:space="0" w:color="auto"/>
            <w:right w:val="none" w:sz="0" w:space="0" w:color="auto"/>
          </w:divBdr>
          <w:divsChild>
            <w:div w:id="766080751">
              <w:marLeft w:val="0"/>
              <w:marRight w:val="0"/>
              <w:marTop w:val="0"/>
              <w:marBottom w:val="0"/>
              <w:divBdr>
                <w:top w:val="none" w:sz="0" w:space="0" w:color="auto"/>
                <w:left w:val="none" w:sz="0" w:space="0" w:color="auto"/>
                <w:bottom w:val="none" w:sz="0" w:space="0" w:color="auto"/>
                <w:right w:val="none" w:sz="0" w:space="0" w:color="auto"/>
              </w:divBdr>
              <w:divsChild>
                <w:div w:id="244650841">
                  <w:marLeft w:val="0"/>
                  <w:marRight w:val="0"/>
                  <w:marTop w:val="0"/>
                  <w:marBottom w:val="0"/>
                  <w:divBdr>
                    <w:top w:val="none" w:sz="0" w:space="0" w:color="auto"/>
                    <w:left w:val="none" w:sz="0" w:space="0" w:color="auto"/>
                    <w:bottom w:val="none" w:sz="0" w:space="0" w:color="auto"/>
                    <w:right w:val="none" w:sz="0" w:space="0" w:color="auto"/>
                  </w:divBdr>
                  <w:divsChild>
                    <w:div w:id="1845435748">
                      <w:marLeft w:val="0"/>
                      <w:marRight w:val="0"/>
                      <w:marTop w:val="0"/>
                      <w:marBottom w:val="0"/>
                      <w:divBdr>
                        <w:top w:val="none" w:sz="0" w:space="0" w:color="auto"/>
                        <w:left w:val="none" w:sz="0" w:space="0" w:color="auto"/>
                        <w:bottom w:val="none" w:sz="0" w:space="0" w:color="auto"/>
                        <w:right w:val="none" w:sz="0" w:space="0" w:color="auto"/>
                      </w:divBdr>
                    </w:div>
                  </w:divsChild>
                </w:div>
                <w:div w:id="42877839">
                  <w:marLeft w:val="0"/>
                  <w:marRight w:val="0"/>
                  <w:marTop w:val="0"/>
                  <w:marBottom w:val="0"/>
                  <w:divBdr>
                    <w:top w:val="none" w:sz="0" w:space="0" w:color="auto"/>
                    <w:left w:val="none" w:sz="0" w:space="0" w:color="auto"/>
                    <w:bottom w:val="none" w:sz="0" w:space="0" w:color="auto"/>
                    <w:right w:val="none" w:sz="0" w:space="0" w:color="auto"/>
                  </w:divBdr>
                  <w:divsChild>
                    <w:div w:id="1553616711">
                      <w:marLeft w:val="0"/>
                      <w:marRight w:val="0"/>
                      <w:marTop w:val="0"/>
                      <w:marBottom w:val="0"/>
                      <w:divBdr>
                        <w:top w:val="none" w:sz="0" w:space="0" w:color="auto"/>
                        <w:left w:val="none" w:sz="0" w:space="0" w:color="auto"/>
                        <w:bottom w:val="none" w:sz="0" w:space="0" w:color="auto"/>
                        <w:right w:val="none" w:sz="0" w:space="0" w:color="auto"/>
                      </w:divBdr>
                    </w:div>
                  </w:divsChild>
                </w:div>
                <w:div w:id="2112506473">
                  <w:marLeft w:val="0"/>
                  <w:marRight w:val="0"/>
                  <w:marTop w:val="0"/>
                  <w:marBottom w:val="0"/>
                  <w:divBdr>
                    <w:top w:val="none" w:sz="0" w:space="0" w:color="auto"/>
                    <w:left w:val="none" w:sz="0" w:space="0" w:color="auto"/>
                    <w:bottom w:val="none" w:sz="0" w:space="0" w:color="auto"/>
                    <w:right w:val="none" w:sz="0" w:space="0" w:color="auto"/>
                  </w:divBdr>
                  <w:divsChild>
                    <w:div w:id="164516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772116">
      <w:bodyDiv w:val="1"/>
      <w:marLeft w:val="0"/>
      <w:marRight w:val="0"/>
      <w:marTop w:val="0"/>
      <w:marBottom w:val="0"/>
      <w:divBdr>
        <w:top w:val="none" w:sz="0" w:space="0" w:color="auto"/>
        <w:left w:val="none" w:sz="0" w:space="0" w:color="auto"/>
        <w:bottom w:val="none" w:sz="0" w:space="0" w:color="auto"/>
        <w:right w:val="none" w:sz="0" w:space="0" w:color="auto"/>
      </w:divBdr>
      <w:divsChild>
        <w:div w:id="599486131">
          <w:marLeft w:val="0"/>
          <w:marRight w:val="0"/>
          <w:marTop w:val="0"/>
          <w:marBottom w:val="0"/>
          <w:divBdr>
            <w:top w:val="none" w:sz="0" w:space="0" w:color="auto"/>
            <w:left w:val="none" w:sz="0" w:space="0" w:color="auto"/>
            <w:bottom w:val="none" w:sz="0" w:space="0" w:color="auto"/>
            <w:right w:val="none" w:sz="0" w:space="0" w:color="auto"/>
          </w:divBdr>
          <w:divsChild>
            <w:div w:id="1197961812">
              <w:marLeft w:val="0"/>
              <w:marRight w:val="0"/>
              <w:marTop w:val="0"/>
              <w:marBottom w:val="0"/>
              <w:divBdr>
                <w:top w:val="none" w:sz="0" w:space="0" w:color="auto"/>
                <w:left w:val="none" w:sz="0" w:space="0" w:color="auto"/>
                <w:bottom w:val="none" w:sz="0" w:space="0" w:color="auto"/>
                <w:right w:val="none" w:sz="0" w:space="0" w:color="auto"/>
              </w:divBdr>
              <w:divsChild>
                <w:div w:id="56298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954223">
      <w:bodyDiv w:val="1"/>
      <w:marLeft w:val="0"/>
      <w:marRight w:val="0"/>
      <w:marTop w:val="0"/>
      <w:marBottom w:val="0"/>
      <w:divBdr>
        <w:top w:val="none" w:sz="0" w:space="0" w:color="auto"/>
        <w:left w:val="none" w:sz="0" w:space="0" w:color="auto"/>
        <w:bottom w:val="none" w:sz="0" w:space="0" w:color="auto"/>
        <w:right w:val="none" w:sz="0" w:space="0" w:color="auto"/>
      </w:divBdr>
      <w:divsChild>
        <w:div w:id="389809759">
          <w:marLeft w:val="0"/>
          <w:marRight w:val="0"/>
          <w:marTop w:val="0"/>
          <w:marBottom w:val="0"/>
          <w:divBdr>
            <w:top w:val="none" w:sz="0" w:space="0" w:color="auto"/>
            <w:left w:val="none" w:sz="0" w:space="0" w:color="auto"/>
            <w:bottom w:val="none" w:sz="0" w:space="0" w:color="auto"/>
            <w:right w:val="none" w:sz="0" w:space="0" w:color="auto"/>
          </w:divBdr>
          <w:divsChild>
            <w:div w:id="874924050">
              <w:marLeft w:val="0"/>
              <w:marRight w:val="0"/>
              <w:marTop w:val="0"/>
              <w:marBottom w:val="0"/>
              <w:divBdr>
                <w:top w:val="none" w:sz="0" w:space="0" w:color="auto"/>
                <w:left w:val="none" w:sz="0" w:space="0" w:color="auto"/>
                <w:bottom w:val="none" w:sz="0" w:space="0" w:color="auto"/>
                <w:right w:val="none" w:sz="0" w:space="0" w:color="auto"/>
              </w:divBdr>
              <w:divsChild>
                <w:div w:id="182676158">
                  <w:marLeft w:val="0"/>
                  <w:marRight w:val="0"/>
                  <w:marTop w:val="0"/>
                  <w:marBottom w:val="0"/>
                  <w:divBdr>
                    <w:top w:val="none" w:sz="0" w:space="0" w:color="auto"/>
                    <w:left w:val="none" w:sz="0" w:space="0" w:color="auto"/>
                    <w:bottom w:val="none" w:sz="0" w:space="0" w:color="auto"/>
                    <w:right w:val="none" w:sz="0" w:space="0" w:color="auto"/>
                  </w:divBdr>
                  <w:divsChild>
                    <w:div w:id="59613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4353">
              <w:marLeft w:val="0"/>
              <w:marRight w:val="0"/>
              <w:marTop w:val="0"/>
              <w:marBottom w:val="0"/>
              <w:divBdr>
                <w:top w:val="none" w:sz="0" w:space="0" w:color="auto"/>
                <w:left w:val="none" w:sz="0" w:space="0" w:color="auto"/>
                <w:bottom w:val="none" w:sz="0" w:space="0" w:color="auto"/>
                <w:right w:val="none" w:sz="0" w:space="0" w:color="auto"/>
              </w:divBdr>
              <w:divsChild>
                <w:div w:id="2137142253">
                  <w:marLeft w:val="0"/>
                  <w:marRight w:val="0"/>
                  <w:marTop w:val="0"/>
                  <w:marBottom w:val="0"/>
                  <w:divBdr>
                    <w:top w:val="none" w:sz="0" w:space="0" w:color="auto"/>
                    <w:left w:val="none" w:sz="0" w:space="0" w:color="auto"/>
                    <w:bottom w:val="none" w:sz="0" w:space="0" w:color="auto"/>
                    <w:right w:val="none" w:sz="0" w:space="0" w:color="auto"/>
                  </w:divBdr>
                </w:div>
              </w:divsChild>
            </w:div>
            <w:div w:id="1616407219">
              <w:marLeft w:val="0"/>
              <w:marRight w:val="0"/>
              <w:marTop w:val="0"/>
              <w:marBottom w:val="0"/>
              <w:divBdr>
                <w:top w:val="none" w:sz="0" w:space="0" w:color="auto"/>
                <w:left w:val="none" w:sz="0" w:space="0" w:color="auto"/>
                <w:bottom w:val="none" w:sz="0" w:space="0" w:color="auto"/>
                <w:right w:val="none" w:sz="0" w:space="0" w:color="auto"/>
              </w:divBdr>
              <w:divsChild>
                <w:div w:id="1592466387">
                  <w:marLeft w:val="0"/>
                  <w:marRight w:val="0"/>
                  <w:marTop w:val="0"/>
                  <w:marBottom w:val="0"/>
                  <w:divBdr>
                    <w:top w:val="none" w:sz="0" w:space="0" w:color="auto"/>
                    <w:left w:val="none" w:sz="0" w:space="0" w:color="auto"/>
                    <w:bottom w:val="none" w:sz="0" w:space="0" w:color="auto"/>
                    <w:right w:val="none" w:sz="0" w:space="0" w:color="auto"/>
                  </w:divBdr>
                </w:div>
                <w:div w:id="1994023281">
                  <w:marLeft w:val="0"/>
                  <w:marRight w:val="0"/>
                  <w:marTop w:val="0"/>
                  <w:marBottom w:val="0"/>
                  <w:divBdr>
                    <w:top w:val="none" w:sz="0" w:space="0" w:color="auto"/>
                    <w:left w:val="none" w:sz="0" w:space="0" w:color="auto"/>
                    <w:bottom w:val="none" w:sz="0" w:space="0" w:color="auto"/>
                    <w:right w:val="none" w:sz="0" w:space="0" w:color="auto"/>
                  </w:divBdr>
                </w:div>
              </w:divsChild>
            </w:div>
            <w:div w:id="700784543">
              <w:marLeft w:val="0"/>
              <w:marRight w:val="0"/>
              <w:marTop w:val="0"/>
              <w:marBottom w:val="0"/>
              <w:divBdr>
                <w:top w:val="none" w:sz="0" w:space="0" w:color="auto"/>
                <w:left w:val="none" w:sz="0" w:space="0" w:color="auto"/>
                <w:bottom w:val="none" w:sz="0" w:space="0" w:color="auto"/>
                <w:right w:val="none" w:sz="0" w:space="0" w:color="auto"/>
              </w:divBdr>
              <w:divsChild>
                <w:div w:id="17941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83523">
      <w:bodyDiv w:val="1"/>
      <w:marLeft w:val="0"/>
      <w:marRight w:val="0"/>
      <w:marTop w:val="0"/>
      <w:marBottom w:val="0"/>
      <w:divBdr>
        <w:top w:val="none" w:sz="0" w:space="0" w:color="auto"/>
        <w:left w:val="none" w:sz="0" w:space="0" w:color="auto"/>
        <w:bottom w:val="none" w:sz="0" w:space="0" w:color="auto"/>
        <w:right w:val="none" w:sz="0" w:space="0" w:color="auto"/>
      </w:divBdr>
      <w:divsChild>
        <w:div w:id="457720292">
          <w:marLeft w:val="0"/>
          <w:marRight w:val="0"/>
          <w:marTop w:val="0"/>
          <w:marBottom w:val="0"/>
          <w:divBdr>
            <w:top w:val="none" w:sz="0" w:space="0" w:color="auto"/>
            <w:left w:val="none" w:sz="0" w:space="0" w:color="auto"/>
            <w:bottom w:val="none" w:sz="0" w:space="0" w:color="auto"/>
            <w:right w:val="none" w:sz="0" w:space="0" w:color="auto"/>
          </w:divBdr>
          <w:divsChild>
            <w:div w:id="816805333">
              <w:marLeft w:val="0"/>
              <w:marRight w:val="0"/>
              <w:marTop w:val="0"/>
              <w:marBottom w:val="0"/>
              <w:divBdr>
                <w:top w:val="none" w:sz="0" w:space="0" w:color="auto"/>
                <w:left w:val="none" w:sz="0" w:space="0" w:color="auto"/>
                <w:bottom w:val="none" w:sz="0" w:space="0" w:color="auto"/>
                <w:right w:val="none" w:sz="0" w:space="0" w:color="auto"/>
              </w:divBdr>
              <w:divsChild>
                <w:div w:id="206886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431383">
      <w:bodyDiv w:val="1"/>
      <w:marLeft w:val="0"/>
      <w:marRight w:val="0"/>
      <w:marTop w:val="0"/>
      <w:marBottom w:val="0"/>
      <w:divBdr>
        <w:top w:val="none" w:sz="0" w:space="0" w:color="auto"/>
        <w:left w:val="none" w:sz="0" w:space="0" w:color="auto"/>
        <w:bottom w:val="none" w:sz="0" w:space="0" w:color="auto"/>
        <w:right w:val="none" w:sz="0" w:space="0" w:color="auto"/>
      </w:divBdr>
      <w:divsChild>
        <w:div w:id="1025525641">
          <w:marLeft w:val="0"/>
          <w:marRight w:val="0"/>
          <w:marTop w:val="0"/>
          <w:marBottom w:val="0"/>
          <w:divBdr>
            <w:top w:val="none" w:sz="0" w:space="0" w:color="auto"/>
            <w:left w:val="none" w:sz="0" w:space="0" w:color="auto"/>
            <w:bottom w:val="none" w:sz="0" w:space="0" w:color="auto"/>
            <w:right w:val="none" w:sz="0" w:space="0" w:color="auto"/>
          </w:divBdr>
          <w:divsChild>
            <w:div w:id="61678356">
              <w:marLeft w:val="0"/>
              <w:marRight w:val="0"/>
              <w:marTop w:val="0"/>
              <w:marBottom w:val="0"/>
              <w:divBdr>
                <w:top w:val="none" w:sz="0" w:space="0" w:color="auto"/>
                <w:left w:val="none" w:sz="0" w:space="0" w:color="auto"/>
                <w:bottom w:val="none" w:sz="0" w:space="0" w:color="auto"/>
                <w:right w:val="none" w:sz="0" w:space="0" w:color="auto"/>
              </w:divBdr>
              <w:divsChild>
                <w:div w:id="135712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389736">
      <w:bodyDiv w:val="1"/>
      <w:marLeft w:val="0"/>
      <w:marRight w:val="0"/>
      <w:marTop w:val="0"/>
      <w:marBottom w:val="0"/>
      <w:divBdr>
        <w:top w:val="none" w:sz="0" w:space="0" w:color="auto"/>
        <w:left w:val="none" w:sz="0" w:space="0" w:color="auto"/>
        <w:bottom w:val="none" w:sz="0" w:space="0" w:color="auto"/>
        <w:right w:val="none" w:sz="0" w:space="0" w:color="auto"/>
      </w:divBdr>
      <w:divsChild>
        <w:div w:id="1188760953">
          <w:marLeft w:val="0"/>
          <w:marRight w:val="0"/>
          <w:marTop w:val="0"/>
          <w:marBottom w:val="0"/>
          <w:divBdr>
            <w:top w:val="none" w:sz="0" w:space="0" w:color="auto"/>
            <w:left w:val="none" w:sz="0" w:space="0" w:color="auto"/>
            <w:bottom w:val="none" w:sz="0" w:space="0" w:color="auto"/>
            <w:right w:val="none" w:sz="0" w:space="0" w:color="auto"/>
          </w:divBdr>
          <w:divsChild>
            <w:div w:id="1610428661">
              <w:marLeft w:val="0"/>
              <w:marRight w:val="0"/>
              <w:marTop w:val="0"/>
              <w:marBottom w:val="0"/>
              <w:divBdr>
                <w:top w:val="none" w:sz="0" w:space="0" w:color="auto"/>
                <w:left w:val="none" w:sz="0" w:space="0" w:color="auto"/>
                <w:bottom w:val="none" w:sz="0" w:space="0" w:color="auto"/>
                <w:right w:val="none" w:sz="0" w:space="0" w:color="auto"/>
              </w:divBdr>
              <w:divsChild>
                <w:div w:id="603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34905">
      <w:bodyDiv w:val="1"/>
      <w:marLeft w:val="0"/>
      <w:marRight w:val="0"/>
      <w:marTop w:val="0"/>
      <w:marBottom w:val="0"/>
      <w:divBdr>
        <w:top w:val="none" w:sz="0" w:space="0" w:color="auto"/>
        <w:left w:val="none" w:sz="0" w:space="0" w:color="auto"/>
        <w:bottom w:val="none" w:sz="0" w:space="0" w:color="auto"/>
        <w:right w:val="none" w:sz="0" w:space="0" w:color="auto"/>
      </w:divBdr>
      <w:divsChild>
        <w:div w:id="1250889412">
          <w:marLeft w:val="0"/>
          <w:marRight w:val="0"/>
          <w:marTop w:val="0"/>
          <w:marBottom w:val="0"/>
          <w:divBdr>
            <w:top w:val="none" w:sz="0" w:space="0" w:color="auto"/>
            <w:left w:val="none" w:sz="0" w:space="0" w:color="auto"/>
            <w:bottom w:val="none" w:sz="0" w:space="0" w:color="auto"/>
            <w:right w:val="none" w:sz="0" w:space="0" w:color="auto"/>
          </w:divBdr>
          <w:divsChild>
            <w:div w:id="259535757">
              <w:marLeft w:val="0"/>
              <w:marRight w:val="0"/>
              <w:marTop w:val="0"/>
              <w:marBottom w:val="0"/>
              <w:divBdr>
                <w:top w:val="none" w:sz="0" w:space="0" w:color="auto"/>
                <w:left w:val="none" w:sz="0" w:space="0" w:color="auto"/>
                <w:bottom w:val="none" w:sz="0" w:space="0" w:color="auto"/>
                <w:right w:val="none" w:sz="0" w:space="0" w:color="auto"/>
              </w:divBdr>
              <w:divsChild>
                <w:div w:id="73493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418441">
      <w:bodyDiv w:val="1"/>
      <w:marLeft w:val="0"/>
      <w:marRight w:val="0"/>
      <w:marTop w:val="0"/>
      <w:marBottom w:val="0"/>
      <w:divBdr>
        <w:top w:val="none" w:sz="0" w:space="0" w:color="auto"/>
        <w:left w:val="none" w:sz="0" w:space="0" w:color="auto"/>
        <w:bottom w:val="none" w:sz="0" w:space="0" w:color="auto"/>
        <w:right w:val="none" w:sz="0" w:space="0" w:color="auto"/>
      </w:divBdr>
      <w:divsChild>
        <w:div w:id="996957420">
          <w:marLeft w:val="0"/>
          <w:marRight w:val="0"/>
          <w:marTop w:val="0"/>
          <w:marBottom w:val="0"/>
          <w:divBdr>
            <w:top w:val="none" w:sz="0" w:space="0" w:color="auto"/>
            <w:left w:val="none" w:sz="0" w:space="0" w:color="auto"/>
            <w:bottom w:val="none" w:sz="0" w:space="0" w:color="auto"/>
            <w:right w:val="none" w:sz="0" w:space="0" w:color="auto"/>
          </w:divBdr>
          <w:divsChild>
            <w:div w:id="387151181">
              <w:marLeft w:val="0"/>
              <w:marRight w:val="0"/>
              <w:marTop w:val="0"/>
              <w:marBottom w:val="0"/>
              <w:divBdr>
                <w:top w:val="none" w:sz="0" w:space="0" w:color="auto"/>
                <w:left w:val="none" w:sz="0" w:space="0" w:color="auto"/>
                <w:bottom w:val="none" w:sz="0" w:space="0" w:color="auto"/>
                <w:right w:val="none" w:sz="0" w:space="0" w:color="auto"/>
              </w:divBdr>
              <w:divsChild>
                <w:div w:id="12647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353609">
      <w:bodyDiv w:val="1"/>
      <w:marLeft w:val="0"/>
      <w:marRight w:val="0"/>
      <w:marTop w:val="0"/>
      <w:marBottom w:val="0"/>
      <w:divBdr>
        <w:top w:val="none" w:sz="0" w:space="0" w:color="auto"/>
        <w:left w:val="none" w:sz="0" w:space="0" w:color="auto"/>
        <w:bottom w:val="none" w:sz="0" w:space="0" w:color="auto"/>
        <w:right w:val="none" w:sz="0" w:space="0" w:color="auto"/>
      </w:divBdr>
      <w:divsChild>
        <w:div w:id="471408278">
          <w:marLeft w:val="0"/>
          <w:marRight w:val="0"/>
          <w:marTop w:val="0"/>
          <w:marBottom w:val="0"/>
          <w:divBdr>
            <w:top w:val="none" w:sz="0" w:space="0" w:color="auto"/>
            <w:left w:val="none" w:sz="0" w:space="0" w:color="auto"/>
            <w:bottom w:val="none" w:sz="0" w:space="0" w:color="auto"/>
            <w:right w:val="none" w:sz="0" w:space="0" w:color="auto"/>
          </w:divBdr>
          <w:divsChild>
            <w:div w:id="608053422">
              <w:marLeft w:val="0"/>
              <w:marRight w:val="0"/>
              <w:marTop w:val="0"/>
              <w:marBottom w:val="0"/>
              <w:divBdr>
                <w:top w:val="none" w:sz="0" w:space="0" w:color="auto"/>
                <w:left w:val="none" w:sz="0" w:space="0" w:color="auto"/>
                <w:bottom w:val="none" w:sz="0" w:space="0" w:color="auto"/>
                <w:right w:val="none" w:sz="0" w:space="0" w:color="auto"/>
              </w:divBdr>
              <w:divsChild>
                <w:div w:id="10811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241402">
      <w:bodyDiv w:val="1"/>
      <w:marLeft w:val="0"/>
      <w:marRight w:val="0"/>
      <w:marTop w:val="0"/>
      <w:marBottom w:val="0"/>
      <w:divBdr>
        <w:top w:val="none" w:sz="0" w:space="0" w:color="auto"/>
        <w:left w:val="none" w:sz="0" w:space="0" w:color="auto"/>
        <w:bottom w:val="none" w:sz="0" w:space="0" w:color="auto"/>
        <w:right w:val="none" w:sz="0" w:space="0" w:color="auto"/>
      </w:divBdr>
      <w:divsChild>
        <w:div w:id="1142116865">
          <w:marLeft w:val="0"/>
          <w:marRight w:val="0"/>
          <w:marTop w:val="0"/>
          <w:marBottom w:val="0"/>
          <w:divBdr>
            <w:top w:val="none" w:sz="0" w:space="0" w:color="auto"/>
            <w:left w:val="none" w:sz="0" w:space="0" w:color="auto"/>
            <w:bottom w:val="none" w:sz="0" w:space="0" w:color="auto"/>
            <w:right w:val="none" w:sz="0" w:space="0" w:color="auto"/>
          </w:divBdr>
          <w:divsChild>
            <w:div w:id="1415971718">
              <w:marLeft w:val="0"/>
              <w:marRight w:val="0"/>
              <w:marTop w:val="0"/>
              <w:marBottom w:val="0"/>
              <w:divBdr>
                <w:top w:val="none" w:sz="0" w:space="0" w:color="auto"/>
                <w:left w:val="none" w:sz="0" w:space="0" w:color="auto"/>
                <w:bottom w:val="none" w:sz="0" w:space="0" w:color="auto"/>
                <w:right w:val="none" w:sz="0" w:space="0" w:color="auto"/>
              </w:divBdr>
              <w:divsChild>
                <w:div w:id="210556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568417">
      <w:bodyDiv w:val="1"/>
      <w:marLeft w:val="0"/>
      <w:marRight w:val="0"/>
      <w:marTop w:val="0"/>
      <w:marBottom w:val="0"/>
      <w:divBdr>
        <w:top w:val="none" w:sz="0" w:space="0" w:color="auto"/>
        <w:left w:val="none" w:sz="0" w:space="0" w:color="auto"/>
        <w:bottom w:val="none" w:sz="0" w:space="0" w:color="auto"/>
        <w:right w:val="none" w:sz="0" w:space="0" w:color="auto"/>
      </w:divBdr>
      <w:divsChild>
        <w:div w:id="2120949065">
          <w:marLeft w:val="0"/>
          <w:marRight w:val="0"/>
          <w:marTop w:val="0"/>
          <w:marBottom w:val="0"/>
          <w:divBdr>
            <w:top w:val="none" w:sz="0" w:space="0" w:color="auto"/>
            <w:left w:val="none" w:sz="0" w:space="0" w:color="auto"/>
            <w:bottom w:val="none" w:sz="0" w:space="0" w:color="auto"/>
            <w:right w:val="none" w:sz="0" w:space="0" w:color="auto"/>
          </w:divBdr>
          <w:divsChild>
            <w:div w:id="2093234422">
              <w:marLeft w:val="0"/>
              <w:marRight w:val="0"/>
              <w:marTop w:val="0"/>
              <w:marBottom w:val="0"/>
              <w:divBdr>
                <w:top w:val="none" w:sz="0" w:space="0" w:color="auto"/>
                <w:left w:val="none" w:sz="0" w:space="0" w:color="auto"/>
                <w:bottom w:val="none" w:sz="0" w:space="0" w:color="auto"/>
                <w:right w:val="none" w:sz="0" w:space="0" w:color="auto"/>
              </w:divBdr>
              <w:divsChild>
                <w:div w:id="879778018">
                  <w:marLeft w:val="0"/>
                  <w:marRight w:val="0"/>
                  <w:marTop w:val="0"/>
                  <w:marBottom w:val="0"/>
                  <w:divBdr>
                    <w:top w:val="none" w:sz="0" w:space="0" w:color="auto"/>
                    <w:left w:val="none" w:sz="0" w:space="0" w:color="auto"/>
                    <w:bottom w:val="none" w:sz="0" w:space="0" w:color="auto"/>
                    <w:right w:val="none" w:sz="0" w:space="0" w:color="auto"/>
                  </w:divBdr>
                </w:div>
              </w:divsChild>
            </w:div>
            <w:div w:id="1296721074">
              <w:marLeft w:val="0"/>
              <w:marRight w:val="0"/>
              <w:marTop w:val="0"/>
              <w:marBottom w:val="0"/>
              <w:divBdr>
                <w:top w:val="none" w:sz="0" w:space="0" w:color="auto"/>
                <w:left w:val="none" w:sz="0" w:space="0" w:color="auto"/>
                <w:bottom w:val="none" w:sz="0" w:space="0" w:color="auto"/>
                <w:right w:val="none" w:sz="0" w:space="0" w:color="auto"/>
              </w:divBdr>
              <w:divsChild>
                <w:div w:id="1154418844">
                  <w:marLeft w:val="0"/>
                  <w:marRight w:val="0"/>
                  <w:marTop w:val="0"/>
                  <w:marBottom w:val="0"/>
                  <w:divBdr>
                    <w:top w:val="none" w:sz="0" w:space="0" w:color="auto"/>
                    <w:left w:val="none" w:sz="0" w:space="0" w:color="auto"/>
                    <w:bottom w:val="none" w:sz="0" w:space="0" w:color="auto"/>
                    <w:right w:val="none" w:sz="0" w:space="0" w:color="auto"/>
                  </w:divBdr>
                </w:div>
              </w:divsChild>
            </w:div>
            <w:div w:id="1458337162">
              <w:marLeft w:val="0"/>
              <w:marRight w:val="0"/>
              <w:marTop w:val="0"/>
              <w:marBottom w:val="0"/>
              <w:divBdr>
                <w:top w:val="none" w:sz="0" w:space="0" w:color="auto"/>
                <w:left w:val="none" w:sz="0" w:space="0" w:color="auto"/>
                <w:bottom w:val="none" w:sz="0" w:space="0" w:color="auto"/>
                <w:right w:val="none" w:sz="0" w:space="0" w:color="auto"/>
              </w:divBdr>
              <w:divsChild>
                <w:div w:id="886572635">
                  <w:marLeft w:val="0"/>
                  <w:marRight w:val="0"/>
                  <w:marTop w:val="0"/>
                  <w:marBottom w:val="0"/>
                  <w:divBdr>
                    <w:top w:val="none" w:sz="0" w:space="0" w:color="auto"/>
                    <w:left w:val="none" w:sz="0" w:space="0" w:color="auto"/>
                    <w:bottom w:val="none" w:sz="0" w:space="0" w:color="auto"/>
                    <w:right w:val="none" w:sz="0" w:space="0" w:color="auto"/>
                  </w:divBdr>
                </w:div>
              </w:divsChild>
            </w:div>
            <w:div w:id="1382634740">
              <w:marLeft w:val="0"/>
              <w:marRight w:val="0"/>
              <w:marTop w:val="0"/>
              <w:marBottom w:val="0"/>
              <w:divBdr>
                <w:top w:val="none" w:sz="0" w:space="0" w:color="auto"/>
                <w:left w:val="none" w:sz="0" w:space="0" w:color="auto"/>
                <w:bottom w:val="none" w:sz="0" w:space="0" w:color="auto"/>
                <w:right w:val="none" w:sz="0" w:space="0" w:color="auto"/>
              </w:divBdr>
              <w:divsChild>
                <w:div w:id="1462114645">
                  <w:marLeft w:val="0"/>
                  <w:marRight w:val="0"/>
                  <w:marTop w:val="0"/>
                  <w:marBottom w:val="0"/>
                  <w:divBdr>
                    <w:top w:val="none" w:sz="0" w:space="0" w:color="auto"/>
                    <w:left w:val="none" w:sz="0" w:space="0" w:color="auto"/>
                    <w:bottom w:val="none" w:sz="0" w:space="0" w:color="auto"/>
                    <w:right w:val="none" w:sz="0" w:space="0" w:color="auto"/>
                  </w:divBdr>
                </w:div>
              </w:divsChild>
            </w:div>
            <w:div w:id="1496647631">
              <w:marLeft w:val="0"/>
              <w:marRight w:val="0"/>
              <w:marTop w:val="0"/>
              <w:marBottom w:val="0"/>
              <w:divBdr>
                <w:top w:val="none" w:sz="0" w:space="0" w:color="auto"/>
                <w:left w:val="none" w:sz="0" w:space="0" w:color="auto"/>
                <w:bottom w:val="none" w:sz="0" w:space="0" w:color="auto"/>
                <w:right w:val="none" w:sz="0" w:space="0" w:color="auto"/>
              </w:divBdr>
              <w:divsChild>
                <w:div w:id="601568552">
                  <w:marLeft w:val="0"/>
                  <w:marRight w:val="0"/>
                  <w:marTop w:val="0"/>
                  <w:marBottom w:val="0"/>
                  <w:divBdr>
                    <w:top w:val="none" w:sz="0" w:space="0" w:color="auto"/>
                    <w:left w:val="none" w:sz="0" w:space="0" w:color="auto"/>
                    <w:bottom w:val="none" w:sz="0" w:space="0" w:color="auto"/>
                    <w:right w:val="none" w:sz="0" w:space="0" w:color="auto"/>
                  </w:divBdr>
                </w:div>
              </w:divsChild>
            </w:div>
            <w:div w:id="905607034">
              <w:marLeft w:val="0"/>
              <w:marRight w:val="0"/>
              <w:marTop w:val="0"/>
              <w:marBottom w:val="0"/>
              <w:divBdr>
                <w:top w:val="none" w:sz="0" w:space="0" w:color="auto"/>
                <w:left w:val="none" w:sz="0" w:space="0" w:color="auto"/>
                <w:bottom w:val="none" w:sz="0" w:space="0" w:color="auto"/>
                <w:right w:val="none" w:sz="0" w:space="0" w:color="auto"/>
              </w:divBdr>
              <w:divsChild>
                <w:div w:id="439836149">
                  <w:marLeft w:val="0"/>
                  <w:marRight w:val="0"/>
                  <w:marTop w:val="0"/>
                  <w:marBottom w:val="0"/>
                  <w:divBdr>
                    <w:top w:val="none" w:sz="0" w:space="0" w:color="auto"/>
                    <w:left w:val="none" w:sz="0" w:space="0" w:color="auto"/>
                    <w:bottom w:val="none" w:sz="0" w:space="0" w:color="auto"/>
                    <w:right w:val="none" w:sz="0" w:space="0" w:color="auto"/>
                  </w:divBdr>
                </w:div>
              </w:divsChild>
            </w:div>
            <w:div w:id="2120755442">
              <w:marLeft w:val="0"/>
              <w:marRight w:val="0"/>
              <w:marTop w:val="0"/>
              <w:marBottom w:val="0"/>
              <w:divBdr>
                <w:top w:val="none" w:sz="0" w:space="0" w:color="auto"/>
                <w:left w:val="none" w:sz="0" w:space="0" w:color="auto"/>
                <w:bottom w:val="none" w:sz="0" w:space="0" w:color="auto"/>
                <w:right w:val="none" w:sz="0" w:space="0" w:color="auto"/>
              </w:divBdr>
              <w:divsChild>
                <w:div w:id="529612634">
                  <w:marLeft w:val="0"/>
                  <w:marRight w:val="0"/>
                  <w:marTop w:val="0"/>
                  <w:marBottom w:val="0"/>
                  <w:divBdr>
                    <w:top w:val="none" w:sz="0" w:space="0" w:color="auto"/>
                    <w:left w:val="none" w:sz="0" w:space="0" w:color="auto"/>
                    <w:bottom w:val="none" w:sz="0" w:space="0" w:color="auto"/>
                    <w:right w:val="none" w:sz="0" w:space="0" w:color="auto"/>
                  </w:divBdr>
                </w:div>
              </w:divsChild>
            </w:div>
            <w:div w:id="1101685950">
              <w:marLeft w:val="0"/>
              <w:marRight w:val="0"/>
              <w:marTop w:val="0"/>
              <w:marBottom w:val="0"/>
              <w:divBdr>
                <w:top w:val="none" w:sz="0" w:space="0" w:color="auto"/>
                <w:left w:val="none" w:sz="0" w:space="0" w:color="auto"/>
                <w:bottom w:val="none" w:sz="0" w:space="0" w:color="auto"/>
                <w:right w:val="none" w:sz="0" w:space="0" w:color="auto"/>
              </w:divBdr>
              <w:divsChild>
                <w:div w:id="1872573832">
                  <w:marLeft w:val="0"/>
                  <w:marRight w:val="0"/>
                  <w:marTop w:val="0"/>
                  <w:marBottom w:val="0"/>
                  <w:divBdr>
                    <w:top w:val="none" w:sz="0" w:space="0" w:color="auto"/>
                    <w:left w:val="none" w:sz="0" w:space="0" w:color="auto"/>
                    <w:bottom w:val="none" w:sz="0" w:space="0" w:color="auto"/>
                    <w:right w:val="none" w:sz="0" w:space="0" w:color="auto"/>
                  </w:divBdr>
                </w:div>
              </w:divsChild>
            </w:div>
            <w:div w:id="205483940">
              <w:marLeft w:val="0"/>
              <w:marRight w:val="0"/>
              <w:marTop w:val="0"/>
              <w:marBottom w:val="0"/>
              <w:divBdr>
                <w:top w:val="none" w:sz="0" w:space="0" w:color="auto"/>
                <w:left w:val="none" w:sz="0" w:space="0" w:color="auto"/>
                <w:bottom w:val="none" w:sz="0" w:space="0" w:color="auto"/>
                <w:right w:val="none" w:sz="0" w:space="0" w:color="auto"/>
              </w:divBdr>
              <w:divsChild>
                <w:div w:id="1697348517">
                  <w:marLeft w:val="0"/>
                  <w:marRight w:val="0"/>
                  <w:marTop w:val="0"/>
                  <w:marBottom w:val="0"/>
                  <w:divBdr>
                    <w:top w:val="none" w:sz="0" w:space="0" w:color="auto"/>
                    <w:left w:val="none" w:sz="0" w:space="0" w:color="auto"/>
                    <w:bottom w:val="none" w:sz="0" w:space="0" w:color="auto"/>
                    <w:right w:val="none" w:sz="0" w:space="0" w:color="auto"/>
                  </w:divBdr>
                </w:div>
              </w:divsChild>
            </w:div>
            <w:div w:id="1918204910">
              <w:marLeft w:val="0"/>
              <w:marRight w:val="0"/>
              <w:marTop w:val="0"/>
              <w:marBottom w:val="0"/>
              <w:divBdr>
                <w:top w:val="none" w:sz="0" w:space="0" w:color="auto"/>
                <w:left w:val="none" w:sz="0" w:space="0" w:color="auto"/>
                <w:bottom w:val="none" w:sz="0" w:space="0" w:color="auto"/>
                <w:right w:val="none" w:sz="0" w:space="0" w:color="auto"/>
              </w:divBdr>
              <w:divsChild>
                <w:div w:id="18075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843573">
      <w:bodyDiv w:val="1"/>
      <w:marLeft w:val="0"/>
      <w:marRight w:val="0"/>
      <w:marTop w:val="0"/>
      <w:marBottom w:val="0"/>
      <w:divBdr>
        <w:top w:val="none" w:sz="0" w:space="0" w:color="auto"/>
        <w:left w:val="none" w:sz="0" w:space="0" w:color="auto"/>
        <w:bottom w:val="none" w:sz="0" w:space="0" w:color="auto"/>
        <w:right w:val="none" w:sz="0" w:space="0" w:color="auto"/>
      </w:divBdr>
      <w:divsChild>
        <w:div w:id="1977680496">
          <w:marLeft w:val="0"/>
          <w:marRight w:val="0"/>
          <w:marTop w:val="0"/>
          <w:marBottom w:val="0"/>
          <w:divBdr>
            <w:top w:val="none" w:sz="0" w:space="0" w:color="auto"/>
            <w:left w:val="none" w:sz="0" w:space="0" w:color="auto"/>
            <w:bottom w:val="none" w:sz="0" w:space="0" w:color="auto"/>
            <w:right w:val="none" w:sz="0" w:space="0" w:color="auto"/>
          </w:divBdr>
          <w:divsChild>
            <w:div w:id="1232496473">
              <w:marLeft w:val="0"/>
              <w:marRight w:val="0"/>
              <w:marTop w:val="0"/>
              <w:marBottom w:val="0"/>
              <w:divBdr>
                <w:top w:val="none" w:sz="0" w:space="0" w:color="auto"/>
                <w:left w:val="none" w:sz="0" w:space="0" w:color="auto"/>
                <w:bottom w:val="none" w:sz="0" w:space="0" w:color="auto"/>
                <w:right w:val="none" w:sz="0" w:space="0" w:color="auto"/>
              </w:divBdr>
              <w:divsChild>
                <w:div w:id="97062718">
                  <w:marLeft w:val="0"/>
                  <w:marRight w:val="0"/>
                  <w:marTop w:val="0"/>
                  <w:marBottom w:val="0"/>
                  <w:divBdr>
                    <w:top w:val="none" w:sz="0" w:space="0" w:color="auto"/>
                    <w:left w:val="none" w:sz="0" w:space="0" w:color="auto"/>
                    <w:bottom w:val="none" w:sz="0" w:space="0" w:color="auto"/>
                    <w:right w:val="none" w:sz="0" w:space="0" w:color="auto"/>
                  </w:divBdr>
                  <w:divsChild>
                    <w:div w:id="1003239375">
                      <w:marLeft w:val="0"/>
                      <w:marRight w:val="0"/>
                      <w:marTop w:val="0"/>
                      <w:marBottom w:val="0"/>
                      <w:divBdr>
                        <w:top w:val="none" w:sz="0" w:space="0" w:color="auto"/>
                        <w:left w:val="none" w:sz="0" w:space="0" w:color="auto"/>
                        <w:bottom w:val="none" w:sz="0" w:space="0" w:color="auto"/>
                        <w:right w:val="none" w:sz="0" w:space="0" w:color="auto"/>
                      </w:divBdr>
                    </w:div>
                  </w:divsChild>
                </w:div>
                <w:div w:id="1811362511">
                  <w:marLeft w:val="0"/>
                  <w:marRight w:val="0"/>
                  <w:marTop w:val="0"/>
                  <w:marBottom w:val="0"/>
                  <w:divBdr>
                    <w:top w:val="none" w:sz="0" w:space="0" w:color="auto"/>
                    <w:left w:val="none" w:sz="0" w:space="0" w:color="auto"/>
                    <w:bottom w:val="none" w:sz="0" w:space="0" w:color="auto"/>
                    <w:right w:val="none" w:sz="0" w:space="0" w:color="auto"/>
                  </w:divBdr>
                  <w:divsChild>
                    <w:div w:id="149849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156265">
      <w:bodyDiv w:val="1"/>
      <w:marLeft w:val="0"/>
      <w:marRight w:val="0"/>
      <w:marTop w:val="0"/>
      <w:marBottom w:val="0"/>
      <w:divBdr>
        <w:top w:val="none" w:sz="0" w:space="0" w:color="auto"/>
        <w:left w:val="none" w:sz="0" w:space="0" w:color="auto"/>
        <w:bottom w:val="none" w:sz="0" w:space="0" w:color="auto"/>
        <w:right w:val="none" w:sz="0" w:space="0" w:color="auto"/>
      </w:divBdr>
      <w:divsChild>
        <w:div w:id="1155268791">
          <w:marLeft w:val="0"/>
          <w:marRight w:val="0"/>
          <w:marTop w:val="0"/>
          <w:marBottom w:val="0"/>
          <w:divBdr>
            <w:top w:val="none" w:sz="0" w:space="0" w:color="auto"/>
            <w:left w:val="none" w:sz="0" w:space="0" w:color="auto"/>
            <w:bottom w:val="none" w:sz="0" w:space="0" w:color="auto"/>
            <w:right w:val="none" w:sz="0" w:space="0" w:color="auto"/>
          </w:divBdr>
          <w:divsChild>
            <w:div w:id="1816557551">
              <w:marLeft w:val="0"/>
              <w:marRight w:val="0"/>
              <w:marTop w:val="0"/>
              <w:marBottom w:val="0"/>
              <w:divBdr>
                <w:top w:val="none" w:sz="0" w:space="0" w:color="auto"/>
                <w:left w:val="none" w:sz="0" w:space="0" w:color="auto"/>
                <w:bottom w:val="none" w:sz="0" w:space="0" w:color="auto"/>
                <w:right w:val="none" w:sz="0" w:space="0" w:color="auto"/>
              </w:divBdr>
              <w:divsChild>
                <w:div w:id="8886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541609">
      <w:bodyDiv w:val="1"/>
      <w:marLeft w:val="0"/>
      <w:marRight w:val="0"/>
      <w:marTop w:val="0"/>
      <w:marBottom w:val="0"/>
      <w:divBdr>
        <w:top w:val="none" w:sz="0" w:space="0" w:color="auto"/>
        <w:left w:val="none" w:sz="0" w:space="0" w:color="auto"/>
        <w:bottom w:val="none" w:sz="0" w:space="0" w:color="auto"/>
        <w:right w:val="none" w:sz="0" w:space="0" w:color="auto"/>
      </w:divBdr>
      <w:divsChild>
        <w:div w:id="1567836342">
          <w:marLeft w:val="0"/>
          <w:marRight w:val="0"/>
          <w:marTop w:val="0"/>
          <w:marBottom w:val="0"/>
          <w:divBdr>
            <w:top w:val="none" w:sz="0" w:space="0" w:color="auto"/>
            <w:left w:val="none" w:sz="0" w:space="0" w:color="auto"/>
            <w:bottom w:val="none" w:sz="0" w:space="0" w:color="auto"/>
            <w:right w:val="none" w:sz="0" w:space="0" w:color="auto"/>
          </w:divBdr>
          <w:divsChild>
            <w:div w:id="1415973851">
              <w:marLeft w:val="0"/>
              <w:marRight w:val="0"/>
              <w:marTop w:val="0"/>
              <w:marBottom w:val="0"/>
              <w:divBdr>
                <w:top w:val="none" w:sz="0" w:space="0" w:color="auto"/>
                <w:left w:val="none" w:sz="0" w:space="0" w:color="auto"/>
                <w:bottom w:val="none" w:sz="0" w:space="0" w:color="auto"/>
                <w:right w:val="none" w:sz="0" w:space="0" w:color="auto"/>
              </w:divBdr>
              <w:divsChild>
                <w:div w:id="33018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9</Pages>
  <Words>3876</Words>
  <Characters>22094</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Datson</dc:creator>
  <cp:keywords/>
  <dc:description/>
  <cp:lastModifiedBy>Naomi Datson</cp:lastModifiedBy>
  <cp:revision>3</cp:revision>
  <dcterms:created xsi:type="dcterms:W3CDTF">2022-11-16T13:04:00Z</dcterms:created>
  <dcterms:modified xsi:type="dcterms:W3CDTF">2022-11-16T13:27:00Z</dcterms:modified>
</cp:coreProperties>
</file>