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0118" w14:textId="24FD8A54" w:rsidR="00256C3A" w:rsidRPr="000F1425" w:rsidRDefault="00256C3A" w:rsidP="00D8300F">
      <w:pPr>
        <w:pStyle w:val="Articletitle"/>
        <w:jc w:val="both"/>
        <w:rPr>
          <w:sz w:val="24"/>
        </w:rPr>
      </w:pPr>
      <w:r w:rsidRPr="000F1425">
        <w:rPr>
          <w:sz w:val="24"/>
        </w:rPr>
        <w:t>The Historical Development of Duress and the Unfounded Result of Denying Duress as a Defence to Murder</w:t>
      </w:r>
    </w:p>
    <w:p w14:paraId="3BE0A23F" w14:textId="77777777" w:rsidR="00997B0F" w:rsidRPr="000F1425" w:rsidRDefault="007F45B2" w:rsidP="00D8300F">
      <w:pPr>
        <w:pStyle w:val="Heading1"/>
        <w:spacing w:before="100" w:beforeAutospacing="1" w:after="100" w:afterAutospacing="1"/>
        <w:jc w:val="both"/>
        <w:rPr>
          <w:rFonts w:cs="Times New Roman"/>
          <w:szCs w:val="24"/>
        </w:rPr>
      </w:pPr>
      <w:r w:rsidRPr="000F1425">
        <w:rPr>
          <w:rFonts w:cs="Times New Roman"/>
          <w:szCs w:val="24"/>
        </w:rPr>
        <w:t>Introduction</w:t>
      </w:r>
    </w:p>
    <w:p w14:paraId="33BD1092" w14:textId="497494D2" w:rsidR="00997B0F" w:rsidRPr="000F1425" w:rsidRDefault="00723FC8" w:rsidP="00D8300F">
      <w:pPr>
        <w:pStyle w:val="Paragraph"/>
        <w:spacing w:before="100" w:beforeAutospacing="1" w:after="100" w:afterAutospacing="1" w:line="360" w:lineRule="auto"/>
        <w:jc w:val="both"/>
      </w:pPr>
      <w:r w:rsidRPr="000F1425">
        <w:t xml:space="preserve">The rationale for excusing those who act under a threat from another has been described as being that </w:t>
      </w:r>
      <w:r w:rsidR="001D35E8" w:rsidRPr="000F1425">
        <w:t>‘</w:t>
      </w:r>
      <w:r w:rsidRPr="000F1425">
        <w:t>as punishments are only inflicted for the abuse of free-will, which God has given to man, it is highly just and equitable that a man should be excused for those acts, which are done through unavoidable force or compulsion</w:t>
      </w:r>
      <w:r w:rsidR="001D35E8" w:rsidRPr="000F1425">
        <w:t>’</w:t>
      </w:r>
      <w:r w:rsidRPr="000F1425">
        <w:t>.</w:t>
      </w:r>
      <w:r w:rsidR="00B26BA5" w:rsidRPr="000F1425">
        <w:rPr>
          <w:vertAlign w:val="superscript"/>
        </w:rPr>
        <w:footnoteReference w:id="1"/>
      </w:r>
      <w:r w:rsidR="00B26BA5" w:rsidRPr="000F1425">
        <w:t xml:space="preserve"> </w:t>
      </w:r>
      <w:r w:rsidRPr="000F1425">
        <w:t xml:space="preserve">In </w:t>
      </w:r>
      <w:r w:rsidR="00CE6EC1" w:rsidRPr="000F1425">
        <w:t>cases</w:t>
      </w:r>
      <w:r w:rsidRPr="000F1425">
        <w:t xml:space="preserve"> of duress the defendant has chosen to commit a criminal offence when the alternative is that he himself, or someone he feels responsible for, would be subjected to death or serious harm</w:t>
      </w:r>
      <w:r w:rsidR="002217BF">
        <w:t>. T</w:t>
      </w:r>
      <w:r w:rsidRPr="000F1425">
        <w:t>he defendant can be excused from his crime as he acted under compulsion.</w:t>
      </w:r>
    </w:p>
    <w:p w14:paraId="77318807" w14:textId="7EE6B0F3" w:rsidR="00723FC8" w:rsidRPr="000F1425" w:rsidRDefault="00203F3B" w:rsidP="00D8300F">
      <w:pPr>
        <w:pStyle w:val="Newparagraph"/>
        <w:spacing w:line="360" w:lineRule="auto"/>
        <w:ind w:firstLine="0"/>
        <w:jc w:val="both"/>
      </w:pPr>
      <w:r w:rsidRPr="00774138">
        <w:t>Despite</w:t>
      </w:r>
      <w:r w:rsidRPr="000F1425">
        <w:t xml:space="preserve"> the existence of duress for many centuries it has never been legislated upon by Parliament. This has meant that the defence has been left to </w:t>
      </w:r>
      <w:r w:rsidR="00CC53A4">
        <w:t xml:space="preserve">develop through </w:t>
      </w:r>
      <w:r w:rsidRPr="000F1425">
        <w:t xml:space="preserve">common law. Holdsworth reflected </w:t>
      </w:r>
      <w:r w:rsidR="00070531" w:rsidRPr="000F1425">
        <w:t>‘</w:t>
      </w:r>
      <w:r w:rsidRPr="000F1425">
        <w:t>at all periods of our history it has been far more difficult to extend the criminal law by a process of judicial decision than other branches of the law. There has always been wholesome dread of enlarging its boundaries by anything short of an Act of the legislature</w:t>
      </w:r>
      <w:r w:rsidR="006919BD">
        <w:t>.</w:t>
      </w:r>
      <w:r w:rsidR="00070531" w:rsidRPr="000F1425">
        <w:t>’</w:t>
      </w:r>
      <w:r w:rsidRPr="000F1425">
        <w:rPr>
          <w:vertAlign w:val="superscript"/>
        </w:rPr>
        <w:footnoteReference w:id="2"/>
      </w:r>
      <w:r w:rsidRPr="000F1425">
        <w:t xml:space="preserve"> </w:t>
      </w:r>
      <w:r w:rsidR="00914E11" w:rsidRPr="000F1425">
        <w:t xml:space="preserve">It </w:t>
      </w:r>
      <w:r w:rsidRPr="000F1425">
        <w:t>will be shown through a</w:t>
      </w:r>
      <w:r w:rsidR="007377B7">
        <w:t xml:space="preserve"> </w:t>
      </w:r>
      <w:r w:rsidRPr="000F1425">
        <w:t>chronological examination of cases from the thirteenth</w:t>
      </w:r>
      <w:r w:rsidRPr="000F1425">
        <w:rPr>
          <w:vertAlign w:val="superscript"/>
        </w:rPr>
        <w:t>,</w:t>
      </w:r>
      <w:r w:rsidRPr="000F1425">
        <w:t xml:space="preserve"> through to the nineteenth century that </w:t>
      </w:r>
      <w:r w:rsidR="00914E11" w:rsidRPr="000F1425">
        <w:t xml:space="preserve">this reluctance has </w:t>
      </w:r>
      <w:r w:rsidRPr="000F1425">
        <w:t>resulted</w:t>
      </w:r>
      <w:r w:rsidR="00914E11" w:rsidRPr="000F1425">
        <w:t>, without theoretical foundation,</w:t>
      </w:r>
      <w:r w:rsidRPr="000F1425">
        <w:t xml:space="preserve"> in duress not being available to murder.</w:t>
      </w:r>
      <w:r w:rsidR="00F2555B" w:rsidRPr="000F1425">
        <w:t xml:space="preserve"> </w:t>
      </w:r>
    </w:p>
    <w:p w14:paraId="7D2AFFE8" w14:textId="77777777" w:rsidR="001D2435" w:rsidRPr="000F1425" w:rsidRDefault="001D2435" w:rsidP="00D8300F">
      <w:pPr>
        <w:pStyle w:val="Newparagraph"/>
        <w:spacing w:line="360" w:lineRule="auto"/>
        <w:ind w:firstLine="0"/>
        <w:contextualSpacing/>
        <w:jc w:val="both"/>
      </w:pPr>
    </w:p>
    <w:p w14:paraId="6ABFAE0E" w14:textId="10597836" w:rsidR="001D2435" w:rsidRPr="000F1425" w:rsidRDefault="003F061E" w:rsidP="00D8300F">
      <w:pPr>
        <w:pStyle w:val="Newparagraph"/>
        <w:spacing w:line="360" w:lineRule="auto"/>
        <w:ind w:firstLine="0"/>
        <w:contextualSpacing/>
        <w:jc w:val="both"/>
      </w:pPr>
      <w:r>
        <w:t xml:space="preserve">Much has been written </w:t>
      </w:r>
      <w:r w:rsidR="003F7C56">
        <w:t>discussing</w:t>
      </w:r>
      <w:r>
        <w:t xml:space="preserve"> the </w:t>
      </w:r>
      <w:r w:rsidR="00A82F99">
        <w:t xml:space="preserve">judicial </w:t>
      </w:r>
      <w:r w:rsidR="00D000CC">
        <w:t>decision to restrict duress from murder.</w:t>
      </w:r>
      <w:r w:rsidR="003F7C56">
        <w:rPr>
          <w:rStyle w:val="FootnoteReference"/>
        </w:rPr>
        <w:footnoteReference w:id="3"/>
      </w:r>
      <w:r w:rsidR="00D000CC">
        <w:t xml:space="preserve">  </w:t>
      </w:r>
      <w:r w:rsidR="003F7C56">
        <w:t>This article, however, examines</w:t>
      </w:r>
      <w:r w:rsidR="00866390">
        <w:t xml:space="preserve"> the decision to do so from a historical perspective</w:t>
      </w:r>
      <w:r w:rsidR="009E4434">
        <w:t>.</w:t>
      </w:r>
      <w:r w:rsidR="0067063A" w:rsidRPr="000F1425">
        <w:t xml:space="preserve"> </w:t>
      </w:r>
      <w:r w:rsidR="009E4434">
        <w:t>D</w:t>
      </w:r>
      <w:r w:rsidR="0067063A" w:rsidRPr="000F1425">
        <w:t xml:space="preserve">octrinal methodology </w:t>
      </w:r>
      <w:r w:rsidR="009E4434">
        <w:t>is adopted to examine</w:t>
      </w:r>
      <w:r w:rsidR="0068199A">
        <w:t xml:space="preserve"> </w:t>
      </w:r>
      <w:r w:rsidR="0067063A" w:rsidRPr="000F1425">
        <w:t xml:space="preserve">all reported duress cases and </w:t>
      </w:r>
      <w:r w:rsidR="00CC53A4">
        <w:t xml:space="preserve">the </w:t>
      </w:r>
      <w:r w:rsidR="0067063A" w:rsidRPr="000F1425">
        <w:t xml:space="preserve">Statutes </w:t>
      </w:r>
      <w:r w:rsidR="0067063A" w:rsidRPr="000F1425">
        <w:lastRenderedPageBreak/>
        <w:t xml:space="preserve">of the Realm, which significantly impacted on the development of the law, from the period from 1266 (the first found recorded use of duress) until the end of the nineteenth century with the landmark case of </w:t>
      </w:r>
      <w:r w:rsidR="0067063A" w:rsidRPr="000F1425">
        <w:rPr>
          <w:i/>
          <w:iCs/>
        </w:rPr>
        <w:t>Dudley and Stephens</w:t>
      </w:r>
      <w:r w:rsidR="0067063A" w:rsidRPr="000F1425">
        <w:t>.</w:t>
      </w:r>
      <w:r w:rsidR="0067063A" w:rsidRPr="000F1425">
        <w:rPr>
          <w:vertAlign w:val="superscript"/>
        </w:rPr>
        <w:footnoteReference w:id="4"/>
      </w:r>
      <w:r w:rsidR="0067063A" w:rsidRPr="000F1425">
        <w:t xml:space="preserve"> </w:t>
      </w:r>
      <w:r w:rsidR="0068199A">
        <w:t>A</w:t>
      </w:r>
      <w:r w:rsidR="0067063A" w:rsidRPr="000F1425">
        <w:t>cademic literature from esteemed judges of the period</w:t>
      </w:r>
      <w:r w:rsidR="0093403D">
        <w:t xml:space="preserve"> that </w:t>
      </w:r>
      <w:r w:rsidR="005963B1">
        <w:t>influenced the development of the law during this period will also be considered</w:t>
      </w:r>
      <w:r w:rsidR="0067063A" w:rsidRPr="000F1425">
        <w:t xml:space="preserve">. It is noted within the article, however, that these sources of information must be understood in context of the political climate at the time they were written, or as opinion of judges </w:t>
      </w:r>
      <w:r w:rsidR="000676AA">
        <w:t>outside of</w:t>
      </w:r>
      <w:r w:rsidR="0067063A" w:rsidRPr="000F1425">
        <w:t xml:space="preserve"> legal doctrine.</w:t>
      </w:r>
      <w:r w:rsidR="00A742B4" w:rsidRPr="000F1425">
        <w:t xml:space="preserve"> </w:t>
      </w:r>
    </w:p>
    <w:p w14:paraId="5398B78B" w14:textId="77777777" w:rsidR="001D2435" w:rsidRPr="000F1425" w:rsidRDefault="001D2435" w:rsidP="00D8300F">
      <w:pPr>
        <w:pStyle w:val="Newparagraph"/>
        <w:spacing w:line="360" w:lineRule="auto"/>
        <w:ind w:firstLine="0"/>
        <w:contextualSpacing/>
        <w:jc w:val="both"/>
      </w:pPr>
    </w:p>
    <w:p w14:paraId="23ADFCB1" w14:textId="3B972C22" w:rsidR="008C345D" w:rsidRPr="000F1425" w:rsidRDefault="009315BE" w:rsidP="00D8300F">
      <w:pPr>
        <w:pStyle w:val="Newparagraph"/>
        <w:spacing w:line="360" w:lineRule="auto"/>
        <w:ind w:firstLine="0"/>
        <w:contextualSpacing/>
        <w:jc w:val="both"/>
      </w:pPr>
      <w:r>
        <w:t>Examination of these sources will</w:t>
      </w:r>
      <w:r w:rsidR="00D745CC">
        <w:t xml:space="preserve"> firstly</w:t>
      </w:r>
      <w:r w:rsidR="008C345D" w:rsidRPr="000F1425">
        <w:t xml:space="preserve"> show that duress was initially used for what could be considered the most heinous of crimes, treason</w:t>
      </w:r>
      <w:r w:rsidR="00CC53A4">
        <w:t>, so arguably is if was cr</w:t>
      </w:r>
      <w:r w:rsidR="0003739F">
        <w:t>e</w:t>
      </w:r>
      <w:r w:rsidR="00CC53A4">
        <w:t xml:space="preserve">ated for this offence it should be available for the </w:t>
      </w:r>
      <w:r w:rsidR="00776CBF">
        <w:t>less serious offence of murder</w:t>
      </w:r>
      <w:r w:rsidR="008C345D" w:rsidRPr="000F1425">
        <w:t xml:space="preserve">. Furthermore, that </w:t>
      </w:r>
      <w:r w:rsidR="005B5CB9">
        <w:t>duress</w:t>
      </w:r>
      <w:r w:rsidR="008C345D" w:rsidRPr="000F1425">
        <w:t xml:space="preserve"> has </w:t>
      </w:r>
      <w:r w:rsidR="009E770E" w:rsidRPr="000F1425">
        <w:t xml:space="preserve">previously </w:t>
      </w:r>
      <w:r w:rsidR="008C345D" w:rsidRPr="000F1425">
        <w:t>been used as a defence to murder (and manslaughter) and that there is no solid legal authority in duress’s history as to why it should not be</w:t>
      </w:r>
      <w:r w:rsidR="009E770E" w:rsidRPr="000F1425">
        <w:t xml:space="preserve"> available as </w:t>
      </w:r>
      <w:r w:rsidR="008C345D" w:rsidRPr="000F1425">
        <w:t>a defence when the defendant has killed.</w:t>
      </w:r>
      <w:r>
        <w:t xml:space="preserve"> C</w:t>
      </w:r>
      <w:r w:rsidRPr="000F1425">
        <w:t>ompar</w:t>
      </w:r>
      <w:r>
        <w:t>ison</w:t>
      </w:r>
      <w:r w:rsidR="00743595">
        <w:t xml:space="preserve"> of</w:t>
      </w:r>
      <w:r w:rsidRPr="000F1425">
        <w:t xml:space="preserve"> duress </w:t>
      </w:r>
      <w:r w:rsidR="00743595">
        <w:t xml:space="preserve">to </w:t>
      </w:r>
      <w:r w:rsidRPr="000F1425">
        <w:t xml:space="preserve">necessity </w:t>
      </w:r>
      <w:r w:rsidR="00743595">
        <w:t>will then</w:t>
      </w:r>
      <w:r w:rsidRPr="000F1425">
        <w:t xml:space="preserve"> establish that th</w:t>
      </w:r>
      <w:r w:rsidR="000E218B">
        <w:t>e d</w:t>
      </w:r>
      <w:r w:rsidRPr="000F1425">
        <w:t>efence</w:t>
      </w:r>
      <w:r w:rsidR="000E218B">
        <w:t>s are</w:t>
      </w:r>
      <w:r w:rsidRPr="000F1425">
        <w:t xml:space="preserve"> significantly different and</w:t>
      </w:r>
      <w:r>
        <w:t>,</w:t>
      </w:r>
      <w:r w:rsidRPr="000F1425">
        <w:t xml:space="preserve"> therefore</w:t>
      </w:r>
      <w:r>
        <w:t>,</w:t>
      </w:r>
      <w:r w:rsidRPr="000F1425">
        <w:t xml:space="preserve"> even though </w:t>
      </w:r>
      <w:r>
        <w:t>necessity</w:t>
      </w:r>
      <w:r w:rsidRPr="000F1425">
        <w:t xml:space="preserve"> may not be available to murder this does not provide reason to deny </w:t>
      </w:r>
      <w:r>
        <w:t>the defence of duress</w:t>
      </w:r>
      <w:r w:rsidR="00096214">
        <w:t xml:space="preserve">. </w:t>
      </w:r>
      <w:r w:rsidR="00B930AD">
        <w:t>Moreover</w:t>
      </w:r>
      <w:r w:rsidR="00096214">
        <w:t xml:space="preserve">, </w:t>
      </w:r>
      <w:r w:rsidR="00B930AD">
        <w:t xml:space="preserve">that </w:t>
      </w:r>
      <w:r w:rsidR="00096214">
        <w:t xml:space="preserve">the decision in </w:t>
      </w:r>
      <w:r w:rsidR="00096214" w:rsidRPr="000F1425">
        <w:rPr>
          <w:i/>
          <w:iCs/>
        </w:rPr>
        <w:t>Dudley and Stephens</w:t>
      </w:r>
      <w:r w:rsidR="00096214" w:rsidRPr="000F1425">
        <w:rPr>
          <w:vertAlign w:val="superscript"/>
        </w:rPr>
        <w:footnoteReference w:id="5"/>
      </w:r>
      <w:r w:rsidR="00096214">
        <w:rPr>
          <w:i/>
          <w:iCs/>
        </w:rPr>
        <w:t xml:space="preserve"> </w:t>
      </w:r>
      <w:r w:rsidR="00096214" w:rsidRPr="00096214">
        <w:t xml:space="preserve">should not have </w:t>
      </w:r>
      <w:r w:rsidR="00096214">
        <w:t>been followed to deny duress as a defence to murder</w:t>
      </w:r>
      <w:r w:rsidR="007368EA">
        <w:t>.</w:t>
      </w:r>
      <w:r w:rsidR="00C8521E">
        <w:t xml:space="preserve"> </w:t>
      </w:r>
      <w:r w:rsidR="00776CBF">
        <w:t>As such</w:t>
      </w:r>
      <w:r w:rsidR="00ED0D1D">
        <w:t>,</w:t>
      </w:r>
      <w:r w:rsidR="00776CBF">
        <w:t xml:space="preserve"> t</w:t>
      </w:r>
      <w:r w:rsidR="00E672D6">
        <w:t>he</w:t>
      </w:r>
      <w:r w:rsidR="008C345D" w:rsidRPr="000F1425">
        <w:t xml:space="preserve"> conclu</w:t>
      </w:r>
      <w:r w:rsidR="00E672D6">
        <w:t>sion</w:t>
      </w:r>
      <w:r w:rsidR="00287695">
        <w:t xml:space="preserve"> will be formed</w:t>
      </w:r>
      <w:r w:rsidR="008C345D" w:rsidRPr="000F1425">
        <w:t xml:space="preserve"> that the decision to deny </w:t>
      </w:r>
      <w:r w:rsidR="00914E11" w:rsidRPr="000F1425">
        <w:t xml:space="preserve">use </w:t>
      </w:r>
      <w:r w:rsidR="008C345D" w:rsidRPr="000F1425">
        <w:t xml:space="preserve">of the defence </w:t>
      </w:r>
      <w:r w:rsidR="00914E11" w:rsidRPr="000F1425">
        <w:t xml:space="preserve">in </w:t>
      </w:r>
      <w:r w:rsidR="00914E11" w:rsidRPr="000F1425">
        <w:rPr>
          <w:i/>
        </w:rPr>
        <w:t>Howe</w:t>
      </w:r>
      <w:r w:rsidR="00CE6EC1" w:rsidRPr="000F1425">
        <w:rPr>
          <w:rStyle w:val="FootnoteReference"/>
          <w:iCs/>
        </w:rPr>
        <w:footnoteReference w:id="6"/>
      </w:r>
      <w:r w:rsidR="00914E11" w:rsidRPr="000F1425">
        <w:rPr>
          <w:iCs/>
        </w:rPr>
        <w:t xml:space="preserve"> </w:t>
      </w:r>
      <w:r w:rsidR="008C345D" w:rsidRPr="000F1425">
        <w:t xml:space="preserve">cannot be substantiated by reference to the defence’s historical </w:t>
      </w:r>
      <w:r w:rsidR="00E672D6">
        <w:t>development</w:t>
      </w:r>
      <w:r w:rsidR="008C345D" w:rsidRPr="000F1425">
        <w:t xml:space="preserve">.  </w:t>
      </w:r>
    </w:p>
    <w:p w14:paraId="64C3D24A" w14:textId="77777777" w:rsidR="00C474C6" w:rsidRPr="000F1425" w:rsidRDefault="00C474C6" w:rsidP="00D8300F">
      <w:pPr>
        <w:tabs>
          <w:tab w:val="left" w:pos="0"/>
        </w:tabs>
        <w:spacing w:before="100" w:beforeAutospacing="1" w:after="100" w:afterAutospacing="1" w:line="360" w:lineRule="auto"/>
        <w:contextualSpacing/>
        <w:jc w:val="both"/>
        <w:rPr>
          <w:b/>
          <w:bCs/>
        </w:rPr>
      </w:pPr>
      <w:r w:rsidRPr="000F1425">
        <w:rPr>
          <w:b/>
          <w:bCs/>
        </w:rPr>
        <w:t xml:space="preserve">The </w:t>
      </w:r>
      <w:r w:rsidR="001060AD" w:rsidRPr="000F1425">
        <w:rPr>
          <w:b/>
          <w:bCs/>
        </w:rPr>
        <w:t>e</w:t>
      </w:r>
      <w:r w:rsidRPr="000F1425">
        <w:rPr>
          <w:b/>
          <w:bCs/>
        </w:rPr>
        <w:t xml:space="preserve">mergence of </w:t>
      </w:r>
      <w:r w:rsidR="001060AD" w:rsidRPr="000F1425">
        <w:rPr>
          <w:b/>
          <w:bCs/>
        </w:rPr>
        <w:t>d</w:t>
      </w:r>
      <w:r w:rsidRPr="000F1425">
        <w:rPr>
          <w:b/>
          <w:bCs/>
        </w:rPr>
        <w:t>uress</w:t>
      </w:r>
    </w:p>
    <w:p w14:paraId="47673F5E" w14:textId="67F5AA89" w:rsidR="0068395A" w:rsidRPr="000F1425" w:rsidRDefault="0068395A" w:rsidP="00D8300F">
      <w:pPr>
        <w:tabs>
          <w:tab w:val="left" w:pos="0"/>
        </w:tabs>
        <w:spacing w:before="100" w:beforeAutospacing="1" w:after="100" w:afterAutospacing="1" w:line="360" w:lineRule="auto"/>
        <w:contextualSpacing/>
        <w:jc w:val="both"/>
      </w:pPr>
      <w:r w:rsidRPr="000F1425">
        <w:t>It is a matter of dispute when the defence of duress first emerged. For instance</w:t>
      </w:r>
      <w:r w:rsidR="00776CBF">
        <w:t>,</w:t>
      </w:r>
      <w:r w:rsidRPr="000F1425">
        <w:t xml:space="preserve"> Lord Bingham states that since the 14</w:t>
      </w:r>
      <w:r w:rsidRPr="000F1425">
        <w:rPr>
          <w:vertAlign w:val="superscript"/>
        </w:rPr>
        <w:t>th</w:t>
      </w:r>
      <w:r w:rsidRPr="000F1425">
        <w:t xml:space="preserve"> Century there has been a limited defence where a person is forced to act against their will by the threats of another,</w:t>
      </w:r>
      <w:r w:rsidRPr="000F1425">
        <w:rPr>
          <w:vertAlign w:val="superscript"/>
        </w:rPr>
        <w:footnoteReference w:id="7"/>
      </w:r>
      <w:r w:rsidRPr="000F1425">
        <w:t xml:space="preserve"> however, Sayre</w:t>
      </w:r>
      <w:r w:rsidRPr="000F1425">
        <w:rPr>
          <w:vertAlign w:val="superscript"/>
        </w:rPr>
        <w:footnoteReference w:id="8"/>
      </w:r>
      <w:r w:rsidRPr="000F1425">
        <w:t xml:space="preserve"> says that </w:t>
      </w:r>
      <w:r w:rsidR="004336B7" w:rsidRPr="000F1425">
        <w:t>‘</w:t>
      </w:r>
      <w:r w:rsidRPr="000F1425">
        <w:t xml:space="preserve">after the twelfth century new general defences begin to take shape such as insanity, infancy, compulsion or the like, based upon the lack of a guilty mind and thus negating </w:t>
      </w:r>
      <w:r w:rsidRPr="000F1425">
        <w:lastRenderedPageBreak/>
        <w:t>moral blameworthiness</w:t>
      </w:r>
      <w:r w:rsidR="004336B7" w:rsidRPr="000F1425">
        <w:t>’</w:t>
      </w:r>
      <w:r w:rsidRPr="000F1425">
        <w:t>.</w:t>
      </w:r>
      <w:r w:rsidRPr="000F1425">
        <w:rPr>
          <w:vertAlign w:val="superscript"/>
        </w:rPr>
        <w:footnoteReference w:id="9"/>
      </w:r>
      <w:r w:rsidRPr="000F1425">
        <w:t xml:space="preserve"> </w:t>
      </w:r>
      <w:r w:rsidR="00641515">
        <w:t>It is not disputed that</w:t>
      </w:r>
      <w:r w:rsidRPr="000F1425">
        <w:t xml:space="preserve"> duress, in some form, has existed for </w:t>
      </w:r>
      <w:r w:rsidR="009C3DB0" w:rsidRPr="000F1425">
        <w:t xml:space="preserve">many hundreds of </w:t>
      </w:r>
      <w:r w:rsidRPr="000F1425">
        <w:t>years and this article will trace the earliest examples of duress to establish its first recorded use</w:t>
      </w:r>
      <w:r w:rsidR="00087C67">
        <w:t xml:space="preserve">, to </w:t>
      </w:r>
      <w:r w:rsidR="00763F0A">
        <w:t xml:space="preserve">show that duress was </w:t>
      </w:r>
      <w:r w:rsidR="005312F2">
        <w:t>created</w:t>
      </w:r>
      <w:r w:rsidR="00763F0A">
        <w:t xml:space="preserve"> as a full defence for treason, including where the defendant had killed.</w:t>
      </w:r>
      <w:r w:rsidRPr="000F1425">
        <w:rPr>
          <w:vertAlign w:val="superscript"/>
        </w:rPr>
        <w:footnoteReference w:id="10"/>
      </w:r>
    </w:p>
    <w:p w14:paraId="5EF6D4DC" w14:textId="77777777" w:rsidR="00CA7718" w:rsidRPr="000F1425" w:rsidRDefault="00BF218A" w:rsidP="00D8300F">
      <w:pPr>
        <w:pStyle w:val="Newparagraph"/>
        <w:spacing w:before="100" w:beforeAutospacing="1" w:after="100" w:afterAutospacing="1" w:line="360" w:lineRule="auto"/>
        <w:ind w:firstLine="0"/>
        <w:contextualSpacing/>
        <w:jc w:val="both"/>
        <w:rPr>
          <w:b/>
          <w:bCs/>
        </w:rPr>
      </w:pPr>
      <w:r w:rsidRPr="000F1425">
        <w:rPr>
          <w:b/>
          <w:bCs/>
        </w:rPr>
        <w:t>Origins of duress in medieval law</w:t>
      </w:r>
    </w:p>
    <w:p w14:paraId="4595CCEF" w14:textId="23C52D0D" w:rsidR="001D2435" w:rsidRPr="000F1425" w:rsidRDefault="00E10388" w:rsidP="00D8300F">
      <w:pPr>
        <w:pStyle w:val="Newparagraph"/>
        <w:spacing w:before="100" w:beforeAutospacing="1" w:after="100" w:afterAutospacing="1" w:line="360" w:lineRule="auto"/>
        <w:ind w:firstLine="0"/>
        <w:contextualSpacing/>
        <w:jc w:val="both"/>
      </w:pPr>
      <w:r>
        <w:t xml:space="preserve">Many of the initial cases where duress was used </w:t>
      </w:r>
      <w:r w:rsidR="006F1834">
        <w:t>were where the defendant</w:t>
      </w:r>
      <w:r w:rsidR="008D222A">
        <w:t xml:space="preserve"> had been involved in some form of civil war or rebellion. </w:t>
      </w:r>
      <w:r w:rsidR="00CF7A79" w:rsidRPr="000F1425">
        <w:t>In Henry III Statutes of the Realm 1266-67</w:t>
      </w:r>
      <w:r w:rsidR="00CF7A79" w:rsidRPr="000F1425">
        <w:rPr>
          <w:vertAlign w:val="superscript"/>
        </w:rPr>
        <w:footnoteReference w:id="11"/>
      </w:r>
      <w:r w:rsidR="00CF7A79" w:rsidRPr="000F1425">
        <w:t xml:space="preserve"> the </w:t>
      </w:r>
      <w:r w:rsidR="005312F2">
        <w:t xml:space="preserve">excuse of </w:t>
      </w:r>
      <w:r w:rsidR="00CF7A79" w:rsidRPr="000F1425">
        <w:t>d</w:t>
      </w:r>
      <w:r w:rsidR="005312F2">
        <w:t>uress</w:t>
      </w:r>
      <w:r w:rsidR="00CF7A79" w:rsidRPr="000F1425">
        <w:t xml:space="preserve"> was used to mitigate the punishments of those who had committed treason by assisting rebels in the battle of Evesham. The ordinary punishment for bailiffs and officers of the Earl of Leicester who had committed treason through actions amounting to robbery and manslaughter</w:t>
      </w:r>
      <w:r w:rsidR="00CF7A79" w:rsidRPr="000F1425">
        <w:rPr>
          <w:vertAlign w:val="superscript"/>
        </w:rPr>
        <w:footnoteReference w:id="12"/>
      </w:r>
      <w:r w:rsidR="00CF7A79" w:rsidRPr="000F1425">
        <w:t xml:space="preserve"> was a fine of as much as their lands were worth for 5 years, but the punishment for those that acted though fear had the lesser punishment of one year’s value of their land.</w:t>
      </w:r>
      <w:r w:rsidR="00CF7A79" w:rsidRPr="000F1425">
        <w:rPr>
          <w:vertAlign w:val="superscript"/>
        </w:rPr>
        <w:footnoteReference w:id="13"/>
      </w:r>
      <w:r w:rsidR="00CF7A79" w:rsidRPr="000F1425">
        <w:t xml:space="preserve"> This early reference to duress sets no limits on what type of offence duress would act to mitigate, although it is an early indication that </w:t>
      </w:r>
      <w:r w:rsidR="008502E2">
        <w:t>acting under duress</w:t>
      </w:r>
      <w:r w:rsidR="00CF7A79" w:rsidRPr="000F1425">
        <w:t xml:space="preserve"> could be used to mitigate the punishment for manslaughter in treason cases. </w:t>
      </w:r>
    </w:p>
    <w:p w14:paraId="21C52AE4" w14:textId="77777777" w:rsidR="001D2435" w:rsidRPr="000F1425" w:rsidRDefault="001D2435" w:rsidP="00D8300F">
      <w:pPr>
        <w:pStyle w:val="Newparagraph"/>
        <w:spacing w:before="100" w:beforeAutospacing="1" w:after="100" w:afterAutospacing="1" w:line="360" w:lineRule="auto"/>
        <w:ind w:firstLine="0"/>
        <w:contextualSpacing/>
        <w:jc w:val="both"/>
      </w:pPr>
    </w:p>
    <w:p w14:paraId="07DC3A00" w14:textId="60272C49" w:rsidR="001D2435" w:rsidRPr="000F1425" w:rsidRDefault="005603A8" w:rsidP="00D8300F">
      <w:pPr>
        <w:pStyle w:val="Newparagraph"/>
        <w:spacing w:before="100" w:beforeAutospacing="1" w:after="100" w:afterAutospacing="1" w:line="360" w:lineRule="auto"/>
        <w:ind w:firstLine="0"/>
        <w:contextualSpacing/>
        <w:jc w:val="both"/>
      </w:pPr>
      <w:r w:rsidRPr="000F1425">
        <w:t>From this example in 1266 up until the 19</w:t>
      </w:r>
      <w:r w:rsidRPr="000F1425">
        <w:rPr>
          <w:vertAlign w:val="superscript"/>
        </w:rPr>
        <w:t>th</w:t>
      </w:r>
      <w:r w:rsidRPr="000F1425">
        <w:t xml:space="preserve"> century the lack of cases, or reference to duress in the Statutes of the Realm, suggests that at that time duress was not a widespread defence. It is possible that this can be attributed to the alternative options available during this period.</w:t>
      </w:r>
      <w:r w:rsidRPr="000F1425">
        <w:rPr>
          <w:vertAlign w:val="superscript"/>
        </w:rPr>
        <w:footnoteReference w:id="14"/>
      </w:r>
      <w:r w:rsidRPr="000F1425">
        <w:t xml:space="preserve"> Many of the earlier cases of duress occurred where the defendant had been charged with treason.</w:t>
      </w:r>
      <w:r w:rsidRPr="000F1425">
        <w:rPr>
          <w:vertAlign w:val="superscript"/>
        </w:rPr>
        <w:footnoteReference w:id="15"/>
      </w:r>
      <w:r w:rsidRPr="000F1425">
        <w:t xml:space="preserve"> Prior to 1351 there was no clear distinction between felonies and treason</w:t>
      </w:r>
      <w:r w:rsidRPr="000F1425">
        <w:rPr>
          <w:vertAlign w:val="superscript"/>
        </w:rPr>
        <w:footnoteReference w:id="16"/>
      </w:r>
      <w:r w:rsidRPr="000F1425">
        <w:t xml:space="preserve"> as both were against the King. </w:t>
      </w:r>
      <w:r w:rsidR="00994C68">
        <w:t>Despite this lack of distinction</w:t>
      </w:r>
      <w:r w:rsidR="00B070F1">
        <w:t>,</w:t>
      </w:r>
      <w:r w:rsidR="00994C68">
        <w:t xml:space="preserve"> t</w:t>
      </w:r>
      <w:r w:rsidRPr="000F1425">
        <w:t>he offence a person was charged with could make a significant difference</w:t>
      </w:r>
      <w:r w:rsidR="00B070F1">
        <w:t>.</w:t>
      </w:r>
      <w:r w:rsidRPr="000F1425">
        <w:t xml:space="preserve"> </w:t>
      </w:r>
      <w:r w:rsidR="00B070F1">
        <w:t>I</w:t>
      </w:r>
      <w:r w:rsidRPr="000F1425">
        <w:t xml:space="preserve">f the defendant was charged with a felony he could plead benefit of clergy, which was not available to a charge </w:t>
      </w:r>
      <w:r w:rsidRPr="000F1425">
        <w:lastRenderedPageBreak/>
        <w:t>of treason. Benefit of clergy was developed following the death of Thomas Becket and used up until the 19</w:t>
      </w:r>
      <w:r w:rsidRPr="000F1425">
        <w:rPr>
          <w:vertAlign w:val="superscript"/>
        </w:rPr>
        <w:t>th</w:t>
      </w:r>
      <w:r w:rsidRPr="000F1425">
        <w:t xml:space="preserve"> century (when perhaps not </w:t>
      </w:r>
      <w:r w:rsidR="00157DCD">
        <w:t>coin</w:t>
      </w:r>
      <w:r w:rsidR="00157DCD" w:rsidRPr="000F1425">
        <w:t>cidentally</w:t>
      </w:r>
      <w:r w:rsidRPr="000F1425">
        <w:t xml:space="preserve"> the pleading of duress became more prevalent before becoming more widely accepted in the 20</w:t>
      </w:r>
      <w:r w:rsidRPr="000F1425">
        <w:rPr>
          <w:vertAlign w:val="superscript"/>
        </w:rPr>
        <w:t>th</w:t>
      </w:r>
      <w:r w:rsidRPr="000F1425">
        <w:t xml:space="preserve"> century). Benefit of clergy was available to those in holy orders and in 1692 was extended to women. It became common practice that </w:t>
      </w:r>
      <w:r w:rsidR="00AF17EA">
        <w:t xml:space="preserve">being able to plead </w:t>
      </w:r>
      <w:r w:rsidRPr="000F1425">
        <w:t>the benefit was based on being able to read</w:t>
      </w:r>
      <w:r w:rsidR="00551084">
        <w:t>. This</w:t>
      </w:r>
      <w:r w:rsidRPr="000F1425">
        <w:t xml:space="preserve"> led to widespread abuse</w:t>
      </w:r>
      <w:r w:rsidR="00551084">
        <w:t xml:space="preserve"> as</w:t>
      </w:r>
      <w:r w:rsidR="009E770E" w:rsidRPr="000F1425">
        <w:t xml:space="preserve"> the benefit</w:t>
      </w:r>
      <w:r w:rsidR="00551084">
        <w:t xml:space="preserve"> was</w:t>
      </w:r>
      <w:r w:rsidR="009E770E" w:rsidRPr="000F1425">
        <w:t xml:space="preserve"> frequently made available to </w:t>
      </w:r>
      <w:r w:rsidRPr="000F1425">
        <w:t>those who were not actually clergy.</w:t>
      </w:r>
      <w:r w:rsidRPr="000F1425">
        <w:rPr>
          <w:vertAlign w:val="superscript"/>
        </w:rPr>
        <w:footnoteReference w:id="17"/>
      </w:r>
      <w:r w:rsidRPr="000F1425">
        <w:t xml:space="preserve"> A successful plea meant that the defendant would be tried in an ecclesiastical court, or be handed over to an ecclesiastical court once indicted and convicted by a jury in a secular court, an</w:t>
      </w:r>
      <w:r w:rsidRPr="000F1425">
        <w:fldChar w:fldCharType="begin"/>
      </w:r>
      <w:r w:rsidRPr="000F1425">
        <w:instrText xml:space="preserve"> ADDIN EN.CITE &lt;EndNote&gt;&lt;Cite&gt;&lt;Year&gt;1660&lt;/Year&gt;&lt;IDText&gt;Axtell&amp;apos;s case&lt;/IDText&gt;&lt;record&gt;&lt;titles&gt;&lt;title&gt;Axtell&amp;apos;s case&lt;/title&gt;&lt;/titles&gt;&lt;titles&gt;&lt;secondary-title&gt;(1660) 5 St.Tr.1146&lt;/secondary-title&gt;&lt;/titles&gt;&lt;added-date format="utc"&gt;1249914077&lt;/added-date&gt;&lt;ref-type name="Case"&gt;7&lt;/ref-type&gt;&lt;dates&gt;&lt;year&gt;1660&lt;/year&gt;&lt;/dates&gt;&lt;rec-number&gt;26&lt;/rec-number&gt;&lt;last-updated-date format="utc"&gt;1279980030&lt;/last-updated-date&gt;&lt;/record&gt;&lt;/Cite&gt;&lt;/EndNote&gt;</w:instrText>
      </w:r>
      <w:r w:rsidRPr="000F1425">
        <w:fldChar w:fldCharType="end"/>
      </w:r>
      <w:r w:rsidRPr="000F1425">
        <w:t>d only be exposed to the ecclesiastical court’s punishments.</w:t>
      </w:r>
      <w:r w:rsidRPr="000F1425">
        <w:rPr>
          <w:vertAlign w:val="superscript"/>
        </w:rPr>
        <w:footnoteReference w:id="18"/>
      </w:r>
      <w:r w:rsidRPr="000F1425">
        <w:t xml:space="preserve"> This</w:t>
      </w:r>
      <w:r w:rsidR="008502E2">
        <w:t xml:space="preserve"> in turn</w:t>
      </w:r>
      <w:r w:rsidRPr="000F1425">
        <w:t xml:space="preserve"> meant that the defendant was subject to more lenient punishment, if any at all, for crimes </w:t>
      </w:r>
      <w:r w:rsidR="00597580" w:rsidRPr="000F1425">
        <w:t xml:space="preserve">for which </w:t>
      </w:r>
      <w:r w:rsidRPr="000F1425">
        <w:t xml:space="preserve">he would have otherwise been hanged.  </w:t>
      </w:r>
      <w:r w:rsidR="001B7A72">
        <w:t>Duress was left to provide a defence to those who could not use benefit of clergy</w:t>
      </w:r>
      <w:r w:rsidR="008502E2">
        <w:t xml:space="preserve"> </w:t>
      </w:r>
      <w:r w:rsidR="001B7A72">
        <w:t>due to being charged with treason.</w:t>
      </w:r>
    </w:p>
    <w:p w14:paraId="5906F6A1" w14:textId="77777777" w:rsidR="001D2435" w:rsidRPr="000F1425" w:rsidRDefault="001D2435" w:rsidP="00D8300F">
      <w:pPr>
        <w:pStyle w:val="Newparagraph"/>
        <w:spacing w:before="100" w:beforeAutospacing="1" w:after="100" w:afterAutospacing="1" w:line="360" w:lineRule="auto"/>
        <w:ind w:firstLine="0"/>
        <w:contextualSpacing/>
        <w:jc w:val="both"/>
      </w:pPr>
    </w:p>
    <w:p w14:paraId="328F627A" w14:textId="633A0CDC" w:rsidR="0055553B" w:rsidRPr="000F1425" w:rsidRDefault="00227BF3" w:rsidP="00D8300F">
      <w:pPr>
        <w:pStyle w:val="Newparagraph"/>
        <w:spacing w:before="100" w:beforeAutospacing="1" w:after="100" w:afterAutospacing="1" w:line="360" w:lineRule="auto"/>
        <w:ind w:firstLine="0"/>
        <w:contextualSpacing/>
        <w:jc w:val="both"/>
      </w:pPr>
      <w:r>
        <w:t xml:space="preserve">An example of this is </w:t>
      </w:r>
      <w:r w:rsidR="00B62216" w:rsidRPr="000F1425">
        <w:t xml:space="preserve">John de </w:t>
      </w:r>
      <w:proofErr w:type="spellStart"/>
      <w:r w:rsidR="00B62216" w:rsidRPr="000F1425">
        <w:t>Culewen</w:t>
      </w:r>
      <w:proofErr w:type="spellEnd"/>
      <w:r>
        <w:t xml:space="preserve"> </w:t>
      </w:r>
      <w:r w:rsidR="00C15DA6">
        <w:t xml:space="preserve">who </w:t>
      </w:r>
      <w:r>
        <w:t xml:space="preserve">in 1331 </w:t>
      </w:r>
      <w:r w:rsidR="00B62216" w:rsidRPr="000F1425">
        <w:t>successfully used the defence of duress to a charge of treason that arose from him enlisting with the enemy.</w:t>
      </w:r>
      <w:r w:rsidR="00B62216" w:rsidRPr="000F1425">
        <w:rPr>
          <w:vertAlign w:val="superscript"/>
        </w:rPr>
        <w:footnoteReference w:id="19"/>
      </w:r>
      <w:r w:rsidR="00B62216" w:rsidRPr="000F1425">
        <w:t xml:space="preserve"> </w:t>
      </w:r>
      <w:r w:rsidR="007E6F56" w:rsidRPr="000F1425">
        <w:t xml:space="preserve">Although this case was before the Act of Treason it was classified as a treason offence as </w:t>
      </w:r>
      <w:r w:rsidR="00001F73">
        <w:t>he</w:t>
      </w:r>
      <w:r w:rsidR="007E6F56" w:rsidRPr="000F1425">
        <w:t xml:space="preserve"> had adhered to a King’s enemy, and therefore, the benefit of clergy would have been unavailable.</w:t>
      </w:r>
      <w:r w:rsidR="00B62216" w:rsidRPr="000F1425">
        <w:t xml:space="preserve"> Hale </w:t>
      </w:r>
      <w:r w:rsidR="00652B79" w:rsidRPr="000F1425">
        <w:t>commented some 400 years later</w:t>
      </w:r>
      <w:r w:rsidR="00B62216" w:rsidRPr="000F1425">
        <w:t xml:space="preserve"> that this case showed that the defendant must fear immediately for his life and stop committing the treason, allegiance with the enemy</w:t>
      </w:r>
      <w:r w:rsidR="00CD6660">
        <w:t xml:space="preserve"> </w:t>
      </w:r>
      <w:r w:rsidR="00B62216" w:rsidRPr="000F1425">
        <w:t>as soon as he could. These criteria</w:t>
      </w:r>
      <w:r w:rsidR="00D83DFD">
        <w:t xml:space="preserve"> </w:t>
      </w:r>
      <w:r w:rsidR="00B62216" w:rsidRPr="000F1425">
        <w:t>showed a development in the structure</w:t>
      </w:r>
      <w:r w:rsidR="00D83DFD">
        <w:t xml:space="preserve"> of the d</w:t>
      </w:r>
      <w:r w:rsidR="00A75C92">
        <w:t>efence</w:t>
      </w:r>
      <w:r w:rsidR="00044CAE">
        <w:t xml:space="preserve"> </w:t>
      </w:r>
      <w:r w:rsidR="00B62216" w:rsidRPr="000F1425">
        <w:t>to what was later to become a widely recognised</w:t>
      </w:r>
      <w:r w:rsidR="00044CAE">
        <w:t xml:space="preserve"> as the modern defence of duress</w:t>
      </w:r>
      <w:r w:rsidR="00B62216" w:rsidRPr="000F1425">
        <w:t xml:space="preserve">. The application of the defence was still to a charge of treason, but </w:t>
      </w:r>
      <w:r w:rsidR="00597580" w:rsidRPr="000F1425">
        <w:t>in contrast with</w:t>
      </w:r>
      <w:r w:rsidR="00B62216" w:rsidRPr="000F1425">
        <w:t xml:space="preserve"> Henry III’s statutes </w:t>
      </w:r>
      <w:r w:rsidR="008502E2">
        <w:t xml:space="preserve">the </w:t>
      </w:r>
      <w:r w:rsidR="00B62216" w:rsidRPr="000F1425">
        <w:t>defendant was acquitted</w:t>
      </w:r>
      <w:r w:rsidR="007E6F56">
        <w:t>,</w:t>
      </w:r>
      <w:r w:rsidR="00B62216" w:rsidRPr="000F1425">
        <w:t xml:space="preserve"> as opposed to the punishment being</w:t>
      </w:r>
      <w:r w:rsidR="007E6F56">
        <w:t xml:space="preserve"> merely</w:t>
      </w:r>
      <w:r w:rsidR="00B62216" w:rsidRPr="000F1425">
        <w:t xml:space="preserve"> mitigated.</w:t>
      </w:r>
      <w:r w:rsidR="00293EB4">
        <w:t xml:space="preserve"> Therefore, this case demonstrates that not only was duress available to a charge of treason</w:t>
      </w:r>
      <w:r w:rsidR="00D712E3">
        <w:t xml:space="preserve">, </w:t>
      </w:r>
      <w:r w:rsidR="004E086D">
        <w:t>but f</w:t>
      </w:r>
      <w:r w:rsidR="00BA15F0">
        <w:t xml:space="preserve">ully excused those who arguably </w:t>
      </w:r>
      <w:r w:rsidR="008502E2">
        <w:t>committed</w:t>
      </w:r>
      <w:r w:rsidR="00BA15F0">
        <w:t xml:space="preserve"> the most heinous of crime</w:t>
      </w:r>
      <w:r w:rsidR="008502E2">
        <w:t>s</w:t>
      </w:r>
      <w:r w:rsidR="00BA15F0">
        <w:t>.</w:t>
      </w:r>
    </w:p>
    <w:p w14:paraId="6B4A1783" w14:textId="28EDE62B" w:rsidR="001D2435" w:rsidRPr="000F1425" w:rsidRDefault="004476C5" w:rsidP="00D8300F">
      <w:pPr>
        <w:tabs>
          <w:tab w:val="left" w:pos="0"/>
        </w:tabs>
        <w:spacing w:before="100" w:beforeAutospacing="1" w:after="100" w:afterAutospacing="1" w:line="360" w:lineRule="auto"/>
        <w:contextualSpacing/>
        <w:jc w:val="both"/>
      </w:pPr>
      <w:r w:rsidRPr="000F1425">
        <w:rPr>
          <w:i/>
          <w:iCs/>
        </w:rPr>
        <w:lastRenderedPageBreak/>
        <w:t>Oldcastle’s case</w:t>
      </w:r>
      <w:r w:rsidRPr="000F1425">
        <w:rPr>
          <w:vertAlign w:val="superscript"/>
        </w:rPr>
        <w:footnoteReference w:id="20"/>
      </w:r>
      <w:r w:rsidRPr="000F1425">
        <w:t xml:space="preserve"> in 1419 is another of the earliest case examples of duress</w:t>
      </w:r>
      <w:r w:rsidR="00020488">
        <w:t>,</w:t>
      </w:r>
      <w:r w:rsidR="002341E6">
        <w:t xml:space="preserve"> when duress </w:t>
      </w:r>
      <w:r w:rsidR="004F39F7">
        <w:t>was again available for treason</w:t>
      </w:r>
      <w:r w:rsidRPr="000F1425">
        <w:t>.</w:t>
      </w:r>
      <w:r w:rsidRPr="000F1425">
        <w:rPr>
          <w:color w:val="FF0000"/>
        </w:rPr>
        <w:t xml:space="preserve"> </w:t>
      </w:r>
      <w:r w:rsidRPr="000F1425">
        <w:t>Much of what is known about Sir John Oldcastle was written after his death, however, it is reputed that he was a Herefordshire knight who became a Member of Parliament in 1409, known as Lord Cobham following his third marriage.</w:t>
      </w:r>
      <w:r w:rsidRPr="000F1425">
        <w:rPr>
          <w:vertAlign w:val="superscript"/>
        </w:rPr>
        <w:footnoteReference w:id="21"/>
      </w:r>
      <w:r w:rsidRPr="000F1425">
        <w:t xml:space="preserve"> He was found guilty and executed by being hanged and burned on 25 December 1417 following the case against him in 1413 for heresy.</w:t>
      </w:r>
      <w:r w:rsidRPr="000F1425">
        <w:rPr>
          <w:vertAlign w:val="superscript"/>
        </w:rPr>
        <w:footnoteReference w:id="22"/>
      </w:r>
      <w:r w:rsidRPr="000F1425">
        <w:t xml:space="preserve"> At the time he was found guilty he should have been immediately executed, but because of his social standing and relationship with the King (</w:t>
      </w:r>
      <w:r w:rsidR="00693126">
        <w:t xml:space="preserve">King </w:t>
      </w:r>
      <w:r w:rsidRPr="000F1425">
        <w:t>Henry IV and later King Henry V) he was instead imprisoned in the Tower of London for 40 days and given the opportunity to renounce Lollardy</w:t>
      </w:r>
      <w:r w:rsidRPr="000F1425">
        <w:rPr>
          <w:vertAlign w:val="superscript"/>
        </w:rPr>
        <w:footnoteReference w:id="23"/>
      </w:r>
      <w:r w:rsidRPr="000F1425">
        <w:t xml:space="preserve"> (a religious movement of which he was a promoter and later leader).</w:t>
      </w:r>
      <w:r w:rsidRPr="000F1425">
        <w:rPr>
          <w:vertAlign w:val="superscript"/>
        </w:rPr>
        <w:footnoteReference w:id="24"/>
      </w:r>
      <w:r w:rsidRPr="000F1425">
        <w:t xml:space="preserve"> Before the 40 days were complete he escaped. He was not captured again until 1417</w:t>
      </w:r>
      <w:r w:rsidR="001D28F4" w:rsidRPr="000F1425">
        <w:t xml:space="preserve">. </w:t>
      </w:r>
    </w:p>
    <w:p w14:paraId="648646C6" w14:textId="77777777" w:rsidR="001D2435" w:rsidRPr="000F1425" w:rsidRDefault="001D2435" w:rsidP="00D8300F">
      <w:pPr>
        <w:tabs>
          <w:tab w:val="left" w:pos="0"/>
        </w:tabs>
        <w:spacing w:before="100" w:beforeAutospacing="1" w:after="100" w:afterAutospacing="1" w:line="360" w:lineRule="auto"/>
        <w:contextualSpacing/>
        <w:jc w:val="both"/>
      </w:pPr>
    </w:p>
    <w:p w14:paraId="2753723D" w14:textId="570E62DE" w:rsidR="004476C5" w:rsidRPr="000F1425" w:rsidRDefault="004476C5" w:rsidP="00D8300F">
      <w:pPr>
        <w:tabs>
          <w:tab w:val="left" w:pos="0"/>
        </w:tabs>
        <w:spacing w:before="100" w:beforeAutospacing="1" w:after="100" w:afterAutospacing="1" w:line="360" w:lineRule="auto"/>
        <w:contextualSpacing/>
        <w:jc w:val="both"/>
      </w:pPr>
      <w:r w:rsidRPr="000F1425">
        <w:t>In the</w:t>
      </w:r>
      <w:r w:rsidR="00F5632D">
        <w:t>se</w:t>
      </w:r>
      <w:r w:rsidRPr="000F1425">
        <w:t xml:space="preserve"> three years </w:t>
      </w:r>
      <w:r w:rsidR="00F5632D">
        <w:t xml:space="preserve">when </w:t>
      </w:r>
      <w:r w:rsidRPr="000F1425">
        <w:t>he was a fugitive several people provided him with provisions, some of whom claimed to have done so under duress.</w:t>
      </w:r>
      <w:r w:rsidRPr="000F1425">
        <w:rPr>
          <w:vertAlign w:val="superscript"/>
        </w:rPr>
        <w:footnoteReference w:id="25"/>
      </w:r>
      <w:r w:rsidR="005418DA">
        <w:t xml:space="preserve"> Despite the case being known as </w:t>
      </w:r>
      <w:r w:rsidR="005418DA">
        <w:rPr>
          <w:i/>
          <w:iCs/>
        </w:rPr>
        <w:t xml:space="preserve">Oldcastle’s case </w:t>
      </w:r>
      <w:r w:rsidR="005418DA">
        <w:t>the defendant was not Oldcastle</w:t>
      </w:r>
      <w:r w:rsidR="00271A45">
        <w:t xml:space="preserve">, but those who provided him with aid. </w:t>
      </w:r>
      <w:r w:rsidR="00B922FB">
        <w:t xml:space="preserve">The recorded account of this case is provided by </w:t>
      </w:r>
      <w:r w:rsidRPr="000F1425">
        <w:t>Hale</w:t>
      </w:r>
      <w:r w:rsidR="00B922FB">
        <w:t xml:space="preserve">, written </w:t>
      </w:r>
      <w:r w:rsidR="00F5632D">
        <w:t>over</w:t>
      </w:r>
      <w:r w:rsidR="00B922FB">
        <w:t xml:space="preserve"> 300 years later, which only provides </w:t>
      </w:r>
      <w:proofErr w:type="gramStart"/>
      <w:r w:rsidR="00B922FB">
        <w:t>a brief summary</w:t>
      </w:r>
      <w:proofErr w:type="gramEnd"/>
      <w:r w:rsidR="00E20860">
        <w:t xml:space="preserve"> that </w:t>
      </w:r>
      <w:r w:rsidRPr="000F1425">
        <w:t>does not name these defendants</w:t>
      </w:r>
      <w:r w:rsidR="00E20860">
        <w:t xml:space="preserve">.  </w:t>
      </w:r>
      <w:r w:rsidRPr="000F1425">
        <w:t>Richardson</w:t>
      </w:r>
      <w:r w:rsidR="00E20860">
        <w:t>, however, in a separate account of Oldcastle’s years in hiding</w:t>
      </w:r>
      <w:r w:rsidR="007C54C7">
        <w:t>,</w:t>
      </w:r>
      <w:r w:rsidRPr="000F1425">
        <w:t xml:space="preserve"> discusses a commission formed in 1418 to inquire into the treasons, </w:t>
      </w:r>
      <w:proofErr w:type="spellStart"/>
      <w:r w:rsidRPr="000F1425">
        <w:t>Lollardies</w:t>
      </w:r>
      <w:proofErr w:type="spellEnd"/>
      <w:r w:rsidRPr="000F1425">
        <w:t xml:space="preserve"> and felonies committed by nine men.</w:t>
      </w:r>
      <w:r w:rsidRPr="000F1425">
        <w:rPr>
          <w:vertAlign w:val="superscript"/>
        </w:rPr>
        <w:footnoteReference w:id="26"/>
      </w:r>
      <w:r w:rsidRPr="000F1425">
        <w:t xml:space="preserve"> Four of the men were found not guilty by the inquiry.  There was evidence that the other five had been in touch with Oldcastle during 1417.</w:t>
      </w:r>
      <w:r w:rsidRPr="000F1425">
        <w:rPr>
          <w:vertAlign w:val="superscript"/>
        </w:rPr>
        <w:footnoteReference w:id="27"/>
      </w:r>
      <w:r w:rsidRPr="000F1425">
        <w:t xml:space="preserve"> Four of these five men were believed to be Oldcastle’s tenants, and the fifth man, the only one named, was David </w:t>
      </w:r>
      <w:proofErr w:type="spellStart"/>
      <w:r w:rsidRPr="000F1425">
        <w:t>Seys</w:t>
      </w:r>
      <w:proofErr w:type="spellEnd"/>
      <w:r w:rsidRPr="000F1425">
        <w:t>. The case against these five men for treason was referred to the King</w:t>
      </w:r>
      <w:r w:rsidR="00954760" w:rsidRPr="000F1425">
        <w:t>’</w:t>
      </w:r>
      <w:r w:rsidRPr="000F1425">
        <w:t xml:space="preserve">s Bench after the jury failed to come to a decision and </w:t>
      </w:r>
      <w:proofErr w:type="gramStart"/>
      <w:r w:rsidRPr="000F1425">
        <w:t>here</w:t>
      </w:r>
      <w:proofErr w:type="gramEnd"/>
      <w:r w:rsidRPr="000F1425">
        <w:t xml:space="preserve"> they were acquitted. </w:t>
      </w:r>
      <w:r w:rsidR="004E22FC">
        <w:t xml:space="preserve">It is contended </w:t>
      </w:r>
      <w:r w:rsidRPr="000F1425">
        <w:t xml:space="preserve">that these men are the same men that Hale is referring to in his account of </w:t>
      </w:r>
      <w:r w:rsidRPr="004E22FC">
        <w:rPr>
          <w:i/>
          <w:iCs/>
        </w:rPr>
        <w:t>Oldcastle’s case</w:t>
      </w:r>
      <w:r w:rsidR="00264299">
        <w:rPr>
          <w:i/>
          <w:iCs/>
        </w:rPr>
        <w:t>.</w:t>
      </w:r>
      <w:r w:rsidRPr="000F1425">
        <w:t xml:space="preserve"> </w:t>
      </w:r>
    </w:p>
    <w:p w14:paraId="049869DD" w14:textId="77777777" w:rsidR="001D28F4" w:rsidRPr="000F1425" w:rsidRDefault="001D28F4" w:rsidP="00D8300F">
      <w:pPr>
        <w:tabs>
          <w:tab w:val="left" w:pos="0"/>
        </w:tabs>
        <w:spacing w:before="100" w:beforeAutospacing="1" w:after="100" w:afterAutospacing="1" w:line="360" w:lineRule="auto"/>
        <w:contextualSpacing/>
        <w:jc w:val="both"/>
      </w:pPr>
    </w:p>
    <w:p w14:paraId="47525E7C" w14:textId="3E797BC3" w:rsidR="00E95EEB" w:rsidRPr="000F1425" w:rsidRDefault="00E95EEB" w:rsidP="00D8300F">
      <w:pPr>
        <w:tabs>
          <w:tab w:val="left" w:pos="0"/>
        </w:tabs>
        <w:spacing w:before="100" w:beforeAutospacing="1" w:after="100" w:afterAutospacing="1" w:line="360" w:lineRule="auto"/>
        <w:jc w:val="both"/>
      </w:pPr>
      <w:r w:rsidRPr="000F1425">
        <w:t xml:space="preserve">Hale states that the defendants were acquitted as they had acted </w:t>
      </w:r>
      <w:r w:rsidRPr="000F1425">
        <w:rPr>
          <w:i/>
          <w:iCs/>
        </w:rPr>
        <w:t xml:space="preserve">pro </w:t>
      </w:r>
      <w:proofErr w:type="spellStart"/>
      <w:r w:rsidRPr="000F1425">
        <w:rPr>
          <w:i/>
          <w:iCs/>
        </w:rPr>
        <w:t>timore</w:t>
      </w:r>
      <w:proofErr w:type="spellEnd"/>
      <w:r w:rsidRPr="000F1425">
        <w:rPr>
          <w:i/>
          <w:iCs/>
        </w:rPr>
        <w:t xml:space="preserve"> mortis </w:t>
      </w:r>
      <w:r w:rsidRPr="000F1425">
        <w:t xml:space="preserve">and </w:t>
      </w:r>
      <w:r w:rsidRPr="000F1425">
        <w:rPr>
          <w:i/>
          <w:iCs/>
        </w:rPr>
        <w:t xml:space="preserve">quod </w:t>
      </w:r>
      <w:proofErr w:type="spellStart"/>
      <w:r w:rsidRPr="000F1425">
        <w:rPr>
          <w:i/>
          <w:iCs/>
        </w:rPr>
        <w:t>recesserunt</w:t>
      </w:r>
      <w:proofErr w:type="spellEnd"/>
      <w:r w:rsidRPr="000F1425">
        <w:rPr>
          <w:i/>
          <w:iCs/>
        </w:rPr>
        <w:t xml:space="preserve"> </w:t>
      </w:r>
      <w:proofErr w:type="spellStart"/>
      <w:r w:rsidRPr="000F1425">
        <w:rPr>
          <w:i/>
          <w:iCs/>
        </w:rPr>
        <w:t>quam</w:t>
      </w:r>
      <w:proofErr w:type="spellEnd"/>
      <w:r w:rsidRPr="000F1425">
        <w:rPr>
          <w:i/>
          <w:iCs/>
        </w:rPr>
        <w:t xml:space="preserve"> cito </w:t>
      </w:r>
      <w:proofErr w:type="spellStart"/>
      <w:r w:rsidRPr="000F1425">
        <w:rPr>
          <w:i/>
          <w:iCs/>
        </w:rPr>
        <w:t>potuerent</w:t>
      </w:r>
      <w:proofErr w:type="spellEnd"/>
      <w:r w:rsidRPr="000F1425">
        <w:rPr>
          <w:i/>
          <w:iCs/>
        </w:rPr>
        <w:t>.</w:t>
      </w:r>
      <w:r w:rsidRPr="000F1425">
        <w:rPr>
          <w:vertAlign w:val="superscript"/>
        </w:rPr>
        <w:footnoteReference w:id="28"/>
      </w:r>
      <w:r w:rsidR="00CB719E" w:rsidRPr="000F1425">
        <w:rPr>
          <w:i/>
          <w:iCs/>
        </w:rPr>
        <w:t xml:space="preserve"> </w:t>
      </w:r>
      <w:r w:rsidRPr="000F1425">
        <w:t>This established the rule that in the 15</w:t>
      </w:r>
      <w:r w:rsidRPr="000F1425">
        <w:rPr>
          <w:vertAlign w:val="superscript"/>
        </w:rPr>
        <w:t>th</w:t>
      </w:r>
      <w:r w:rsidRPr="000F1425">
        <w:t xml:space="preserve"> century a person could successfully plead duress in times of war or rebellion, if he was acting in fear of his life and committed the crime of </w:t>
      </w:r>
      <w:proofErr w:type="gramStart"/>
      <w:r w:rsidRPr="000F1425">
        <w:t>treason, but</w:t>
      </w:r>
      <w:proofErr w:type="gramEnd"/>
      <w:r w:rsidRPr="000F1425">
        <w:t xml:space="preserve"> stopped committing the offence as quickly as he was able. Allowing the defence in the manner prescribed by Hale is understandable when looked at in the context of</w:t>
      </w:r>
      <w:r w:rsidR="00274D20">
        <w:t xml:space="preserve"> the law</w:t>
      </w:r>
      <w:r w:rsidRPr="000F1425">
        <w:t xml:space="preserve"> </w:t>
      </w:r>
      <w:r w:rsidR="00274D20">
        <w:t xml:space="preserve">surrounding </w:t>
      </w:r>
      <w:r w:rsidRPr="000F1425">
        <w:t>superior orders</w:t>
      </w:r>
      <w:r w:rsidR="00274D20">
        <w:t xml:space="preserve"> for soldiers</w:t>
      </w:r>
      <w:r w:rsidR="005160B5">
        <w:t>.</w:t>
      </w:r>
      <w:r w:rsidRPr="000F1425">
        <w:t xml:space="preserve"> English Law has never recognised a defence of superior orders, which is particularly harsh in the case of military orders,</w:t>
      </w:r>
      <w:r w:rsidRPr="000F1425">
        <w:rPr>
          <w:vertAlign w:val="superscript"/>
        </w:rPr>
        <w:footnoteReference w:id="29"/>
      </w:r>
      <w:r w:rsidRPr="000F1425">
        <w:t xml:space="preserve"> especially in cases where it is unclear whether the actions are manifestly illegal or not. As Dicey explains a soldier faces the risk of punishment by the courts if he does obey an order and the risk of court martial if he does not.</w:t>
      </w:r>
      <w:r w:rsidRPr="000F1425">
        <w:rPr>
          <w:vertAlign w:val="superscript"/>
        </w:rPr>
        <w:footnoteReference w:id="30"/>
      </w:r>
      <w:r w:rsidRPr="000F1425">
        <w:t xml:space="preserve"> To bridge this gap a limited defence of duress was introduced instead of reversing the fundamental principle of not allowing a defence of superior orders. Th</w:t>
      </w:r>
      <w:r w:rsidR="00725FF1">
        <w:t>u</w:t>
      </w:r>
      <w:r w:rsidRPr="000F1425">
        <w:t>s</w:t>
      </w:r>
      <w:r w:rsidR="00725FF1">
        <w:t xml:space="preserve">, </w:t>
      </w:r>
      <w:r w:rsidR="00725FF1">
        <w:rPr>
          <w:i/>
          <w:iCs/>
        </w:rPr>
        <w:t>Oldcastle’s case</w:t>
      </w:r>
      <w:r w:rsidR="00725FF1">
        <w:t>,</w:t>
      </w:r>
      <w:r w:rsidRPr="000F1425">
        <w:t xml:space="preserve"> </w:t>
      </w:r>
      <w:r w:rsidR="00A23CA3">
        <w:t xml:space="preserve">again </w:t>
      </w:r>
      <w:r w:rsidRPr="000F1425">
        <w:t>demonstrates that duress was available to those who committed treason</w:t>
      </w:r>
      <w:r w:rsidR="0096057A">
        <w:t>, albeit within the context</w:t>
      </w:r>
      <w:r w:rsidR="0096057A" w:rsidRPr="000F1425">
        <w:t xml:space="preserve"> of war</w:t>
      </w:r>
      <w:r w:rsidR="00725FF1">
        <w:t xml:space="preserve"> or rebellion</w:t>
      </w:r>
      <w:r w:rsidRPr="000F1425">
        <w:t>.</w:t>
      </w:r>
    </w:p>
    <w:p w14:paraId="3DFF8A19" w14:textId="77777777" w:rsidR="00507FDE" w:rsidRPr="000F1425" w:rsidRDefault="00507FDE" w:rsidP="00D8300F">
      <w:pPr>
        <w:tabs>
          <w:tab w:val="left" w:pos="0"/>
        </w:tabs>
        <w:spacing w:before="100" w:beforeAutospacing="1" w:after="100" w:afterAutospacing="1" w:line="360" w:lineRule="auto"/>
        <w:contextualSpacing/>
        <w:jc w:val="both"/>
        <w:rPr>
          <w:b/>
          <w:bCs/>
        </w:rPr>
      </w:pPr>
      <w:r w:rsidRPr="000F1425">
        <w:rPr>
          <w:b/>
          <w:bCs/>
        </w:rPr>
        <w:t>Rejection of the defence in the 17</w:t>
      </w:r>
      <w:r w:rsidRPr="000F1425">
        <w:rPr>
          <w:b/>
          <w:bCs/>
          <w:vertAlign w:val="superscript"/>
        </w:rPr>
        <w:t>th</w:t>
      </w:r>
      <w:r w:rsidRPr="000F1425">
        <w:rPr>
          <w:b/>
          <w:bCs/>
        </w:rPr>
        <w:t xml:space="preserve"> century</w:t>
      </w:r>
    </w:p>
    <w:p w14:paraId="190BB182" w14:textId="09D66C1E" w:rsidR="001D28F4" w:rsidRPr="000F1425" w:rsidRDefault="000C3ABB" w:rsidP="00D8300F">
      <w:pPr>
        <w:tabs>
          <w:tab w:val="left" w:pos="0"/>
        </w:tabs>
        <w:spacing w:before="100" w:beforeAutospacing="1" w:after="100" w:afterAutospacing="1" w:line="360" w:lineRule="auto"/>
        <w:contextualSpacing/>
        <w:jc w:val="both"/>
      </w:pPr>
      <w:r>
        <w:t xml:space="preserve">This early emergence of duress as a defence to one of the most heinous crimes was not without its challenges. </w:t>
      </w:r>
      <w:r w:rsidR="00507FDE" w:rsidRPr="000F1425">
        <w:t xml:space="preserve">In 1660 </w:t>
      </w:r>
      <w:r w:rsidR="00507FDE" w:rsidRPr="000F1425">
        <w:rPr>
          <w:i/>
          <w:iCs/>
        </w:rPr>
        <w:t>Axtell</w:t>
      </w:r>
      <w:r w:rsidR="00507FDE" w:rsidRPr="000F1425">
        <w:t xml:space="preserve"> unsuccessfully pleaded a defence on grounds </w:t>
      </w:r>
      <w:proofErr w:type="gramStart"/>
      <w:r w:rsidR="00507FDE" w:rsidRPr="000F1425">
        <w:t>similar to</w:t>
      </w:r>
      <w:proofErr w:type="gramEnd"/>
      <w:r w:rsidR="00507FDE" w:rsidRPr="000F1425">
        <w:t xml:space="preserve"> that of duress.</w:t>
      </w:r>
      <w:r w:rsidR="002232E4">
        <w:rPr>
          <w:rStyle w:val="FootnoteReference"/>
        </w:rPr>
        <w:footnoteReference w:id="31"/>
      </w:r>
      <w:r w:rsidR="00507FDE" w:rsidRPr="000F1425">
        <w:t xml:space="preserve"> He was charged with treason under the statute of 3 Edward 25, based on compassing and imagining the death of King Charles I during the King’s trial and subsequent execution. The case was not brought until eleven years after the events had occurred. This is significant in understanding the outcome of the case, as</w:t>
      </w:r>
      <w:r w:rsidR="00CD4746">
        <w:t xml:space="preserve"> arguably it was not a desire to limit the defence of duress per se that led to the </w:t>
      </w:r>
      <w:r w:rsidR="00825B95" w:rsidRPr="00825B95">
        <w:t xml:space="preserve">Axtell’s </w:t>
      </w:r>
      <w:r w:rsidR="00825B95">
        <w:t>lack of</w:t>
      </w:r>
      <w:r w:rsidR="00507FDE" w:rsidRPr="000F1425">
        <w:t xml:space="preserve"> </w:t>
      </w:r>
      <w:r w:rsidR="00825B95">
        <w:t>defence, but instead a reflection of the political climate</w:t>
      </w:r>
      <w:r w:rsidR="00C47434">
        <w:t xml:space="preserve"> at the time</w:t>
      </w:r>
      <w:r w:rsidR="00825B95">
        <w:t>. T</w:t>
      </w:r>
      <w:r w:rsidR="00507FDE" w:rsidRPr="000F1425">
        <w:t>he events</w:t>
      </w:r>
      <w:r w:rsidR="00C47434">
        <w:t xml:space="preserve"> of the case</w:t>
      </w:r>
      <w:r w:rsidR="00507FDE" w:rsidRPr="000F1425">
        <w:t xml:space="preserve"> occurred in 1649 just before Charles I was executed. Cromwell then formed the Commonwealth of England and later became Lord Protector until the monarchy was restored in 1660 with Charles II on the throne. It was at that time that Axtell was brought to trial.</w:t>
      </w:r>
    </w:p>
    <w:p w14:paraId="16F4E0A9" w14:textId="77777777" w:rsidR="001D28F4" w:rsidRPr="000F1425" w:rsidRDefault="001D28F4" w:rsidP="00D8300F">
      <w:pPr>
        <w:tabs>
          <w:tab w:val="left" w:pos="0"/>
        </w:tabs>
        <w:spacing w:before="100" w:beforeAutospacing="1" w:after="100" w:afterAutospacing="1" w:line="360" w:lineRule="auto"/>
        <w:contextualSpacing/>
        <w:jc w:val="both"/>
      </w:pPr>
    </w:p>
    <w:p w14:paraId="4F9631E3" w14:textId="16C87604" w:rsidR="001D28F4" w:rsidRPr="000F1425" w:rsidRDefault="001D28F4" w:rsidP="00D8300F">
      <w:pPr>
        <w:tabs>
          <w:tab w:val="left" w:pos="0"/>
        </w:tabs>
        <w:spacing w:before="100" w:beforeAutospacing="1" w:after="100" w:afterAutospacing="1" w:line="360" w:lineRule="auto"/>
        <w:contextualSpacing/>
        <w:jc w:val="both"/>
      </w:pPr>
      <w:r w:rsidRPr="000F1425">
        <w:t>A</w:t>
      </w:r>
      <w:r w:rsidR="00507FDE" w:rsidRPr="000F1425">
        <w:t xml:space="preserve">xtell was the leader of a regiment who was present at the trial of Charles </w:t>
      </w:r>
      <w:r w:rsidRPr="000F1425">
        <w:t xml:space="preserve">I. </w:t>
      </w:r>
      <w:r w:rsidR="00507FDE" w:rsidRPr="000F1425">
        <w:t xml:space="preserve">During this trial, it was alleged he ordered his troops to shout </w:t>
      </w:r>
      <w:r w:rsidR="003D6DF8" w:rsidRPr="000F1425">
        <w:t>‘</w:t>
      </w:r>
      <w:r w:rsidR="00507FDE" w:rsidRPr="000F1425">
        <w:t>Justice, Justice</w:t>
      </w:r>
      <w:r w:rsidR="003D6DF8" w:rsidRPr="000F1425">
        <w:t>’</w:t>
      </w:r>
      <w:r w:rsidR="00507FDE" w:rsidRPr="000F1425">
        <w:t xml:space="preserve"> and on the last day of the trial </w:t>
      </w:r>
      <w:r w:rsidR="003D6DF8" w:rsidRPr="000F1425">
        <w:t>‘</w:t>
      </w:r>
      <w:r w:rsidR="00507FDE" w:rsidRPr="000F1425">
        <w:t>Execution, Execution</w:t>
      </w:r>
      <w:r w:rsidR="003D6DF8" w:rsidRPr="000F1425">
        <w:t>’</w:t>
      </w:r>
      <w:r w:rsidR="00507FDE" w:rsidRPr="000F1425">
        <w:t>. Axtell is then said to have given orders for an executioner to be fetched following the trial of Charles I. These actions led to Axtell being charged with treason.</w:t>
      </w:r>
      <w:r w:rsidR="00DB4AAA">
        <w:t xml:space="preserve"> </w:t>
      </w:r>
      <w:r w:rsidR="00507FDE" w:rsidRPr="000F1425">
        <w:t>At his trial Axtell claimed that he had not compassed or imagined the death of King Charles I</w:t>
      </w:r>
      <w:r w:rsidR="005E5737">
        <w:t>,</w:t>
      </w:r>
      <w:r w:rsidR="00DB4AAA">
        <w:t xml:space="preserve"> stating</w:t>
      </w:r>
      <w:r w:rsidR="00507FDE" w:rsidRPr="000F1425">
        <w:t xml:space="preserve"> that his actions had been misconstrued. Furthermore, despite Axtell appearing to act as a </w:t>
      </w:r>
      <w:proofErr w:type="spellStart"/>
      <w:r w:rsidR="00507FDE" w:rsidRPr="000F1425">
        <w:t>duressor</w:t>
      </w:r>
      <w:proofErr w:type="spellEnd"/>
      <w:r w:rsidR="00507FDE" w:rsidRPr="000F1425">
        <w:t xml:space="preserve"> to the troops under his command, he himself claimed that anything he had done during the trial of Charles I he had not done voluntarily. He said that he had only committed the alleged actions, due to his commission as a soldier. He claimed that had he not obeyed what he believed to be his orders from his superior officer, Lord Fairfax, then he would have been subject to death by the rules of war,</w:t>
      </w:r>
      <w:r w:rsidR="00507FDE" w:rsidRPr="000F1425">
        <w:rPr>
          <w:vertAlign w:val="superscript"/>
        </w:rPr>
        <w:footnoteReference w:id="32"/>
      </w:r>
      <w:r w:rsidR="00507FDE" w:rsidRPr="000F1425">
        <w:t xml:space="preserve"> thus fulfilling the criteria laid down in </w:t>
      </w:r>
      <w:r w:rsidR="00507FDE" w:rsidRPr="000F1425">
        <w:rPr>
          <w:i/>
          <w:iCs/>
        </w:rPr>
        <w:t>Oldcastle’s case</w:t>
      </w:r>
      <w:r w:rsidR="00507FDE" w:rsidRPr="000F1425">
        <w:t xml:space="preserve"> that the defendant must be in fear of death.</w:t>
      </w:r>
    </w:p>
    <w:p w14:paraId="5CBCC890" w14:textId="77777777" w:rsidR="001D28F4" w:rsidRPr="000F1425" w:rsidRDefault="001D28F4" w:rsidP="00D8300F">
      <w:pPr>
        <w:tabs>
          <w:tab w:val="left" w:pos="0"/>
        </w:tabs>
        <w:spacing w:before="100" w:beforeAutospacing="1" w:after="100" w:afterAutospacing="1" w:line="360" w:lineRule="auto"/>
        <w:contextualSpacing/>
        <w:jc w:val="both"/>
      </w:pPr>
    </w:p>
    <w:p w14:paraId="2E4B0BE3" w14:textId="741C08D7" w:rsidR="00507FDE" w:rsidRPr="000F1425" w:rsidRDefault="00507FDE" w:rsidP="00D8300F">
      <w:pPr>
        <w:tabs>
          <w:tab w:val="left" w:pos="0"/>
        </w:tabs>
        <w:spacing w:before="100" w:beforeAutospacing="1" w:after="100" w:afterAutospacing="1" w:line="360" w:lineRule="auto"/>
        <w:contextualSpacing/>
        <w:jc w:val="both"/>
      </w:pPr>
      <w:r w:rsidRPr="000F1425">
        <w:t>The prosecution argued that the defendant’s actions were outside his commission, which was to preserve the King’s life. They argued that he had not been ordered to behave in the way he did at the King’s trial,</w:t>
      </w:r>
      <w:r w:rsidRPr="000F1425">
        <w:rPr>
          <w:vertAlign w:val="superscript"/>
        </w:rPr>
        <w:footnoteReference w:id="33"/>
      </w:r>
      <w:r w:rsidRPr="000F1425">
        <w:t xml:space="preserve"> therefore, rebuffing his defence on this ground.  Even if Axtell could have proved that he was acting under his commission or superior orders, </w:t>
      </w:r>
      <w:r w:rsidR="00725FF1">
        <w:t xml:space="preserve">which would not have provided a </w:t>
      </w:r>
      <w:proofErr w:type="gramStart"/>
      <w:r w:rsidR="00725FF1">
        <w:t xml:space="preserve">defence in itself, </w:t>
      </w:r>
      <w:r w:rsidRPr="000F1425">
        <w:t>L.C.</w:t>
      </w:r>
      <w:proofErr w:type="gramEnd"/>
      <w:r w:rsidRPr="000F1425">
        <w:t xml:space="preserve"> Baron </w:t>
      </w:r>
      <w:r w:rsidR="00B84A88">
        <w:t>held</w:t>
      </w:r>
      <w:r w:rsidRPr="000F1425">
        <w:t xml:space="preserve"> that </w:t>
      </w:r>
      <w:r w:rsidR="003D6DF8" w:rsidRPr="000F1425">
        <w:t>‘</w:t>
      </w:r>
      <w:r w:rsidRPr="000F1425">
        <w:t>there is no excuse at all for treason</w:t>
      </w:r>
      <w:r w:rsidR="003D6DF8" w:rsidRPr="000F1425">
        <w:t>’.</w:t>
      </w:r>
      <w:r w:rsidRPr="000F1425">
        <w:rPr>
          <w:vertAlign w:val="superscript"/>
        </w:rPr>
        <w:footnoteReference w:id="34"/>
      </w:r>
      <w:r w:rsidRPr="000F1425" w:rsidDel="008E23C1">
        <w:rPr>
          <w:vertAlign w:val="superscript"/>
        </w:rPr>
        <w:t xml:space="preserve"> </w:t>
      </w:r>
      <w:r w:rsidRPr="000F1425">
        <w:t>Th</w:t>
      </w:r>
      <w:r w:rsidR="002871C9">
        <w:t>us,</w:t>
      </w:r>
      <w:r w:rsidRPr="000F1425">
        <w:t xml:space="preserve"> contradict</w:t>
      </w:r>
      <w:r w:rsidR="002871C9">
        <w:t xml:space="preserve">ing </w:t>
      </w:r>
      <w:r w:rsidRPr="000F1425">
        <w:t xml:space="preserve">the previous law established in </w:t>
      </w:r>
      <w:r w:rsidRPr="000F1425">
        <w:rPr>
          <w:i/>
          <w:iCs/>
        </w:rPr>
        <w:t xml:space="preserve">John de </w:t>
      </w:r>
      <w:proofErr w:type="spellStart"/>
      <w:r w:rsidRPr="000F1425">
        <w:rPr>
          <w:i/>
          <w:iCs/>
        </w:rPr>
        <w:t>Culewen’s</w:t>
      </w:r>
      <w:proofErr w:type="spellEnd"/>
      <w:r w:rsidRPr="000F1425">
        <w:rPr>
          <w:i/>
          <w:iCs/>
        </w:rPr>
        <w:t xml:space="preserve"> case</w:t>
      </w:r>
      <w:r w:rsidRPr="000F1425">
        <w:t xml:space="preserve"> and </w:t>
      </w:r>
      <w:r w:rsidRPr="000F1425">
        <w:rPr>
          <w:i/>
          <w:iCs/>
        </w:rPr>
        <w:t>Oldcastle’s case</w:t>
      </w:r>
      <w:r w:rsidRPr="000F1425">
        <w:t>, leaving some doubt as to whether the defence did exist. As previously stated, however, this case must be understood in the political climate of the time. King Charles II had just been reinstated to the throne and those seemingly in support of Cromwell would be easy subjects for punishment. Furthermore, as the previous cases were not stated to be</w:t>
      </w:r>
      <w:r w:rsidRPr="000F1425">
        <w:rPr>
          <w:i/>
        </w:rPr>
        <w:t xml:space="preserve"> </w:t>
      </w:r>
      <w:r w:rsidRPr="000F1425">
        <w:rPr>
          <w:i/>
          <w:iCs/>
        </w:rPr>
        <w:t>per incuriam</w:t>
      </w:r>
      <w:r w:rsidRPr="000F1425">
        <w:t>, this comment that duress is not available for treason is seemingly inaccurate</w:t>
      </w:r>
      <w:r w:rsidR="002871C9">
        <w:t xml:space="preserve"> and so does not provide sound evidence that duress should not be available to the most heinous of crimes</w:t>
      </w:r>
      <w:r w:rsidRPr="000F1425">
        <w:t>.</w:t>
      </w:r>
    </w:p>
    <w:p w14:paraId="7DAC669A" w14:textId="77777777" w:rsidR="001D28F4" w:rsidRPr="000F1425" w:rsidRDefault="001D28F4" w:rsidP="00D8300F">
      <w:pPr>
        <w:tabs>
          <w:tab w:val="left" w:pos="0"/>
        </w:tabs>
        <w:spacing w:before="100" w:beforeAutospacing="1" w:after="100" w:afterAutospacing="1" w:line="360" w:lineRule="auto"/>
        <w:contextualSpacing/>
        <w:jc w:val="both"/>
      </w:pPr>
    </w:p>
    <w:p w14:paraId="1013DCA2" w14:textId="3B29B944" w:rsidR="00E06420" w:rsidRDefault="00E06420" w:rsidP="00D8300F">
      <w:pPr>
        <w:tabs>
          <w:tab w:val="left" w:pos="0"/>
        </w:tabs>
        <w:spacing w:before="100" w:beforeAutospacing="1" w:after="100" w:afterAutospacing="1" w:line="360" w:lineRule="auto"/>
        <w:contextualSpacing/>
        <w:jc w:val="both"/>
        <w:rPr>
          <w:b/>
          <w:bCs/>
        </w:rPr>
      </w:pPr>
      <w:r w:rsidRPr="000F1425">
        <w:rPr>
          <w:b/>
          <w:bCs/>
        </w:rPr>
        <w:t>Structuring the defence</w:t>
      </w:r>
    </w:p>
    <w:p w14:paraId="0C1C753E" w14:textId="26C22291" w:rsidR="00D64FB6" w:rsidRDefault="0068010D" w:rsidP="00D8300F">
      <w:pPr>
        <w:tabs>
          <w:tab w:val="left" w:pos="0"/>
        </w:tabs>
        <w:spacing w:before="100" w:beforeAutospacing="1" w:after="100" w:afterAutospacing="1" w:line="360" w:lineRule="auto"/>
        <w:contextualSpacing/>
        <w:jc w:val="both"/>
      </w:pPr>
      <w:r w:rsidRPr="002C0CFA">
        <w:lastRenderedPageBreak/>
        <w:t>So far it</w:t>
      </w:r>
      <w:r w:rsidRPr="0068010D">
        <w:t xml:space="preserve"> </w:t>
      </w:r>
      <w:r w:rsidR="00050B83">
        <w:t xml:space="preserve">can be seen that </w:t>
      </w:r>
      <w:r w:rsidR="0018523A">
        <w:t xml:space="preserve">duress had </w:t>
      </w:r>
      <w:r w:rsidR="00E73185">
        <w:t>only been accepted in times of war</w:t>
      </w:r>
      <w:r w:rsidR="00F52AFA">
        <w:t xml:space="preserve"> to a charge of treason</w:t>
      </w:r>
      <w:r w:rsidR="00FA1A21">
        <w:t>, but because of the wide definition of treason this did not necessarily include where the defendant had killed.</w:t>
      </w:r>
      <w:r w:rsidR="00BF45CA">
        <w:t xml:space="preserve"> </w:t>
      </w:r>
      <w:r w:rsidR="00C714AD">
        <w:t xml:space="preserve">Thus, providing little evidence </w:t>
      </w:r>
      <w:r w:rsidR="009956EF">
        <w:t xml:space="preserve">to support </w:t>
      </w:r>
      <w:r w:rsidR="00C714AD">
        <w:t xml:space="preserve">the supposition that the historical development of duress means that it is unfounded that </w:t>
      </w:r>
      <w:r w:rsidR="00D64FB6">
        <w:t>it does not provide a defence to murder</w:t>
      </w:r>
      <w:r w:rsidR="0003723F">
        <w:t xml:space="preserve"> in times of peace</w:t>
      </w:r>
      <w:r w:rsidR="00D64FB6">
        <w:t>. Th</w:t>
      </w:r>
      <w:r w:rsidR="00DD5294">
        <w:t>e</w:t>
      </w:r>
      <w:r w:rsidR="00D64FB6">
        <w:t xml:space="preserve"> </w:t>
      </w:r>
      <w:r w:rsidR="00E02886">
        <w:t xml:space="preserve">next section will </w:t>
      </w:r>
      <w:r w:rsidR="00B05E06">
        <w:t>demonstrate</w:t>
      </w:r>
      <w:r w:rsidR="00E02886">
        <w:t>, however, that the defence was developed to be available in times of peace as well as war and could be available when the defendant had killed.</w:t>
      </w:r>
    </w:p>
    <w:p w14:paraId="06264CC9" w14:textId="77777777" w:rsidR="00D64FB6" w:rsidRDefault="00D64FB6" w:rsidP="00D8300F">
      <w:pPr>
        <w:tabs>
          <w:tab w:val="left" w:pos="0"/>
        </w:tabs>
        <w:spacing w:before="100" w:beforeAutospacing="1" w:after="100" w:afterAutospacing="1" w:line="360" w:lineRule="auto"/>
        <w:contextualSpacing/>
        <w:jc w:val="both"/>
      </w:pPr>
    </w:p>
    <w:p w14:paraId="11B94F95" w14:textId="656D5F1B" w:rsidR="001D28F4" w:rsidRPr="000F1425" w:rsidRDefault="00E06420" w:rsidP="00D8300F">
      <w:pPr>
        <w:tabs>
          <w:tab w:val="left" w:pos="0"/>
        </w:tabs>
        <w:spacing w:before="100" w:beforeAutospacing="1" w:after="100" w:afterAutospacing="1" w:line="360" w:lineRule="auto"/>
        <w:contextualSpacing/>
        <w:jc w:val="both"/>
      </w:pPr>
      <w:r w:rsidRPr="000F1425">
        <w:t>In considering the defence of duress in the 18</w:t>
      </w:r>
      <w:r w:rsidRPr="000F1425">
        <w:rPr>
          <w:vertAlign w:val="superscript"/>
        </w:rPr>
        <w:t>th</w:t>
      </w:r>
      <w:r w:rsidRPr="000F1425">
        <w:t xml:space="preserve"> Century, Hale</w:t>
      </w:r>
      <w:r w:rsidR="0081245E">
        <w:t>, a</w:t>
      </w:r>
      <w:r w:rsidR="00DF2A72">
        <w:t xml:space="preserve"> </w:t>
      </w:r>
      <w:proofErr w:type="gramStart"/>
      <w:r w:rsidR="00DF2A72">
        <w:t>judge</w:t>
      </w:r>
      <w:proofErr w:type="gramEnd"/>
      <w:r w:rsidR="00DF2A72">
        <w:t xml:space="preserve"> and</w:t>
      </w:r>
      <w:r w:rsidR="0081245E">
        <w:t xml:space="preserve"> influential writer of the time, </w:t>
      </w:r>
      <w:r w:rsidRPr="000F1425">
        <w:t>ma</w:t>
      </w:r>
      <w:r w:rsidR="00DF2A72">
        <w:t>de</w:t>
      </w:r>
      <w:r w:rsidRPr="000F1425">
        <w:t xml:space="preserve"> the point that the law is different in times of war to times of peace; stating that duress would not be a defence to treason, murder or robbery in times of peace,</w:t>
      </w:r>
      <w:r w:rsidRPr="000F1425">
        <w:rPr>
          <w:color w:val="FF0000"/>
        </w:rPr>
        <w:t xml:space="preserve"> </w:t>
      </w:r>
      <w:r w:rsidRPr="000F1425">
        <w:t>but could be (a defence to treason) in times of war or rebellion.</w:t>
      </w:r>
      <w:r w:rsidR="008A0469" w:rsidRPr="008A0469">
        <w:rPr>
          <w:vertAlign w:val="superscript"/>
        </w:rPr>
        <w:t xml:space="preserve"> </w:t>
      </w:r>
      <w:r w:rsidR="008A0469" w:rsidRPr="000F1425">
        <w:rPr>
          <w:vertAlign w:val="superscript"/>
        </w:rPr>
        <w:footnoteReference w:id="35"/>
      </w:r>
      <w:r w:rsidRPr="000F1425">
        <w:t xml:space="preserve"> Hale’s rationale for this was that in times of peace the defendant could seek legal protection for these crimes </w:t>
      </w:r>
      <w:r w:rsidR="00A3556E">
        <w:t xml:space="preserve">called a </w:t>
      </w:r>
      <w:r w:rsidRPr="000F1425">
        <w:t xml:space="preserve">writ </w:t>
      </w:r>
      <w:r w:rsidRPr="000F1425">
        <w:rPr>
          <w:i/>
          <w:iCs/>
        </w:rPr>
        <w:t xml:space="preserve">de </w:t>
      </w:r>
      <w:proofErr w:type="spellStart"/>
      <w:r w:rsidRPr="000F1425">
        <w:rPr>
          <w:i/>
          <w:iCs/>
        </w:rPr>
        <w:t>securitae</w:t>
      </w:r>
      <w:proofErr w:type="spellEnd"/>
      <w:r w:rsidRPr="000F1425">
        <w:rPr>
          <w:i/>
          <w:iCs/>
        </w:rPr>
        <w:t xml:space="preserve"> </w:t>
      </w:r>
      <w:proofErr w:type="spellStart"/>
      <w:r w:rsidRPr="000F1425">
        <w:rPr>
          <w:i/>
          <w:iCs/>
        </w:rPr>
        <w:t>pacis</w:t>
      </w:r>
      <w:proofErr w:type="spellEnd"/>
      <w:r w:rsidRPr="000F1425">
        <w:t>, which may not be available in times of war.</w:t>
      </w:r>
      <w:r w:rsidRPr="000F1425">
        <w:rPr>
          <w:vertAlign w:val="superscript"/>
        </w:rPr>
        <w:footnoteReference w:id="36"/>
      </w:r>
      <w:r w:rsidRPr="000F1425">
        <w:t xml:space="preserve"> This seems an illogical conclusion if the threat was immediate and so no protection could be sought</w:t>
      </w:r>
      <w:r w:rsidR="00AD7A5F">
        <w:t xml:space="preserve"> even in times of peace</w:t>
      </w:r>
      <w:r w:rsidR="002D6C69">
        <w:t>, as will be demonstrated in later case law</w:t>
      </w:r>
      <w:r w:rsidRPr="000F1425">
        <w:t xml:space="preserve">. </w:t>
      </w:r>
    </w:p>
    <w:p w14:paraId="585A1435" w14:textId="77777777" w:rsidR="001D28F4" w:rsidRPr="000F1425" w:rsidRDefault="001D28F4" w:rsidP="00D8300F">
      <w:pPr>
        <w:tabs>
          <w:tab w:val="left" w:pos="0"/>
        </w:tabs>
        <w:spacing w:before="100" w:beforeAutospacing="1" w:after="100" w:afterAutospacing="1" w:line="360" w:lineRule="auto"/>
        <w:contextualSpacing/>
        <w:jc w:val="both"/>
      </w:pPr>
    </w:p>
    <w:p w14:paraId="031C9B6D" w14:textId="541365AA" w:rsidR="001D28F4" w:rsidRPr="000F1425" w:rsidRDefault="00E06420" w:rsidP="00D8300F">
      <w:pPr>
        <w:tabs>
          <w:tab w:val="left" w:pos="0"/>
        </w:tabs>
        <w:spacing w:before="100" w:beforeAutospacing="1" w:after="100" w:afterAutospacing="1" w:line="360" w:lineRule="auto"/>
        <w:contextualSpacing/>
        <w:jc w:val="both"/>
      </w:pPr>
      <w:r w:rsidRPr="000F1425">
        <w:t>After the writings of Hale</w:t>
      </w:r>
      <w:r w:rsidR="009D4642">
        <w:t xml:space="preserve">, </w:t>
      </w:r>
      <w:r w:rsidRPr="000F1425">
        <w:t xml:space="preserve">the law of duress was developed further in </w:t>
      </w:r>
      <w:proofErr w:type="spellStart"/>
      <w:r w:rsidRPr="000F1425">
        <w:rPr>
          <w:i/>
          <w:iCs/>
        </w:rPr>
        <w:t>M’Growther’s</w:t>
      </w:r>
      <w:proofErr w:type="spellEnd"/>
      <w:r w:rsidRPr="000F1425">
        <w:rPr>
          <w:i/>
          <w:iCs/>
        </w:rPr>
        <w:t xml:space="preserve"> case</w:t>
      </w:r>
      <w:r w:rsidRPr="000F1425">
        <w:t>.</w:t>
      </w:r>
      <w:r w:rsidRPr="000F1425">
        <w:rPr>
          <w:vertAlign w:val="superscript"/>
        </w:rPr>
        <w:footnoteReference w:id="37"/>
      </w:r>
      <w:r w:rsidRPr="000F1425">
        <w:t xml:space="preserve">  The defendant was one of several defendants charged with treason; he tried to plead the defence of duress after arguing that he had been forced against his will to fight for a rebel army in 1745. The rebel army of about three thousand men were armed and hostile. They had assembled and levied war against King George II. They killed the King’s faithful subjects and took possession of Carlisle castle and city, which they then defended against the King. </w:t>
      </w:r>
      <w:proofErr w:type="spellStart"/>
      <w:r w:rsidRPr="000F1425">
        <w:t>M’Growther’s</w:t>
      </w:r>
      <w:proofErr w:type="spellEnd"/>
      <w:r w:rsidRPr="000F1425">
        <w:t xml:space="preserve"> defence rested on the fact that he was forced to join the rebel army as he was in fear of having his house burnt down and his cattle driven away. In this case there was no suggestion that duress could not be a defence to treason, as was declared by L.C. Baron in </w:t>
      </w:r>
      <w:r w:rsidRPr="000F1425">
        <w:rPr>
          <w:i/>
          <w:iCs/>
        </w:rPr>
        <w:t>Axtell’s case</w:t>
      </w:r>
      <w:r w:rsidRPr="000F1425">
        <w:t>, but the defence still failed due to the inadequate nature of the threat. The threat to destroy his property was not sufficient to excuse the defendant from treason. There was</w:t>
      </w:r>
      <w:r w:rsidR="004C54B5">
        <w:t xml:space="preserve"> also</w:t>
      </w:r>
      <w:r w:rsidRPr="000F1425">
        <w:t xml:space="preserve"> no suggestion in this case that duress could not be a defence to the killings that </w:t>
      </w:r>
      <w:proofErr w:type="spellStart"/>
      <w:r w:rsidRPr="000F1425">
        <w:t>M’Growther</w:t>
      </w:r>
      <w:proofErr w:type="spellEnd"/>
      <w:r w:rsidRPr="000F1425">
        <w:t xml:space="preserve"> had participated in whilst he was </w:t>
      </w:r>
      <w:r w:rsidRPr="000F1425">
        <w:lastRenderedPageBreak/>
        <w:t>part of the rebel army. Th</w:t>
      </w:r>
      <w:r w:rsidR="0057777B">
        <w:t>us</w:t>
      </w:r>
      <w:r w:rsidR="006E45C7">
        <w:t>,</w:t>
      </w:r>
      <w:r w:rsidRPr="000F1425">
        <w:t xml:space="preserve"> suggest</w:t>
      </w:r>
      <w:r w:rsidR="0057777B">
        <w:t>ing</w:t>
      </w:r>
      <w:r w:rsidRPr="000F1425">
        <w:t xml:space="preserve"> that there was no restriction on duress being available to murder</w:t>
      </w:r>
      <w:r w:rsidR="0057777B">
        <w:t>.</w:t>
      </w:r>
    </w:p>
    <w:p w14:paraId="7666DEA3" w14:textId="77777777" w:rsidR="001D28F4" w:rsidRPr="000F1425" w:rsidRDefault="001D28F4" w:rsidP="00D8300F">
      <w:pPr>
        <w:tabs>
          <w:tab w:val="left" w:pos="0"/>
        </w:tabs>
        <w:spacing w:before="100" w:beforeAutospacing="1" w:after="100" w:afterAutospacing="1" w:line="360" w:lineRule="auto"/>
        <w:contextualSpacing/>
        <w:jc w:val="both"/>
      </w:pPr>
    </w:p>
    <w:p w14:paraId="03B0C410" w14:textId="3B92CAE2" w:rsidR="00E06420" w:rsidRPr="000F1425" w:rsidRDefault="00E06420" w:rsidP="00D8300F">
      <w:pPr>
        <w:tabs>
          <w:tab w:val="left" w:pos="0"/>
        </w:tabs>
        <w:spacing w:before="100" w:beforeAutospacing="1" w:after="100" w:afterAutospacing="1" w:line="360" w:lineRule="auto"/>
        <w:contextualSpacing/>
        <w:jc w:val="both"/>
      </w:pPr>
      <w:r w:rsidRPr="000F1425">
        <w:t xml:space="preserve">Thirty years later in </w:t>
      </w:r>
      <w:r w:rsidRPr="000F1425">
        <w:rPr>
          <w:i/>
          <w:iCs/>
        </w:rPr>
        <w:t>R v Stratton</w:t>
      </w:r>
      <w:r w:rsidRPr="000F1425">
        <w:rPr>
          <w:vertAlign w:val="superscript"/>
        </w:rPr>
        <w:footnoteReference w:id="38"/>
      </w:r>
      <w:r w:rsidRPr="000F1425">
        <w:rPr>
          <w:i/>
        </w:rPr>
        <w:t xml:space="preserve"> </w:t>
      </w:r>
      <w:r w:rsidRPr="000F1425">
        <w:t xml:space="preserve">the defendants, Stratton, Brooke, </w:t>
      </w:r>
      <w:proofErr w:type="spellStart"/>
      <w:r w:rsidRPr="000F1425">
        <w:t>Floyer</w:t>
      </w:r>
      <w:proofErr w:type="spellEnd"/>
      <w:r w:rsidRPr="000F1425">
        <w:t xml:space="preserve"> and MacKay, were charged with arresting, imprisoning and deposing Lord George </w:t>
      </w:r>
      <w:proofErr w:type="spellStart"/>
      <w:r w:rsidRPr="000F1425">
        <w:t>Pigot</w:t>
      </w:r>
      <w:proofErr w:type="spellEnd"/>
      <w:r w:rsidRPr="000F1425">
        <w:t xml:space="preserve">, Commander in Chief of the forces in St George and President and Governor of the settlement of Madras. </w:t>
      </w:r>
      <w:r w:rsidR="00102F74">
        <w:t xml:space="preserve">Following a dispute over council matters </w:t>
      </w:r>
      <w:r w:rsidR="00794419">
        <w:t xml:space="preserve">the </w:t>
      </w:r>
      <w:r w:rsidRPr="000F1425">
        <w:t xml:space="preserve">defendants </w:t>
      </w:r>
      <w:r w:rsidR="00794419">
        <w:t xml:space="preserve">had </w:t>
      </w:r>
      <w:r w:rsidRPr="000F1425">
        <w:t>imprison</w:t>
      </w:r>
      <w:r w:rsidR="00794419">
        <w:t>ed</w:t>
      </w:r>
      <w:r w:rsidRPr="000F1425">
        <w:t xml:space="preserve"> Lord </w:t>
      </w:r>
      <w:proofErr w:type="spellStart"/>
      <w:r w:rsidRPr="000F1425">
        <w:t>Pigot</w:t>
      </w:r>
      <w:proofErr w:type="spellEnd"/>
      <w:r w:rsidRPr="000F1425">
        <w:t xml:space="preserve"> as they felt that he was trying to control the</w:t>
      </w:r>
      <w:r w:rsidR="005402CF">
        <w:t xml:space="preserve"> democratic</w:t>
      </w:r>
      <w:r w:rsidRPr="000F1425">
        <w:t xml:space="preserve"> council. The defendants claimed that they were forced into their action in response to Lord </w:t>
      </w:r>
      <w:proofErr w:type="spellStart"/>
      <w:r w:rsidRPr="000F1425">
        <w:t>Pigot’s</w:t>
      </w:r>
      <w:proofErr w:type="spellEnd"/>
      <w:r w:rsidRPr="000F1425">
        <w:t xml:space="preserve"> behaviour. In directing the jury, the Earl of Mansfield recognised that there c</w:t>
      </w:r>
      <w:r w:rsidR="005402CF">
        <w:t>ould</w:t>
      </w:r>
      <w:r w:rsidRPr="000F1425">
        <w:t xml:space="preserve"> be a defence (referred to by the Earl of Mansfield as necessity) where someone is charged with high treason when they have been forced to the point that human nature could not be expected to resist</w:t>
      </w:r>
      <w:r w:rsidR="00B80B7D" w:rsidRPr="000F1425">
        <w:t>,</w:t>
      </w:r>
      <w:r w:rsidRPr="000F1425">
        <w:t xml:space="preserve"> again showing the acceptance of the defence for the most heinous of crimes</w:t>
      </w:r>
      <w:r w:rsidR="008A0469">
        <w:t xml:space="preserve"> even in times of peace.</w:t>
      </w:r>
    </w:p>
    <w:p w14:paraId="0FF84859" w14:textId="77777777" w:rsidR="001D28F4" w:rsidRPr="000F1425" w:rsidRDefault="001D28F4" w:rsidP="00D8300F">
      <w:pPr>
        <w:tabs>
          <w:tab w:val="left" w:pos="0"/>
        </w:tabs>
        <w:spacing w:before="100" w:beforeAutospacing="1" w:after="100" w:afterAutospacing="1" w:line="360" w:lineRule="auto"/>
        <w:contextualSpacing/>
        <w:jc w:val="both"/>
        <w:rPr>
          <w:b/>
          <w:bCs/>
        </w:rPr>
      </w:pPr>
    </w:p>
    <w:p w14:paraId="2F5E4379" w14:textId="63780F85" w:rsidR="00E51581" w:rsidRPr="000F1425" w:rsidRDefault="00E51581" w:rsidP="00D8300F">
      <w:pPr>
        <w:tabs>
          <w:tab w:val="left" w:pos="0"/>
        </w:tabs>
        <w:spacing w:before="100" w:beforeAutospacing="1" w:after="100" w:afterAutospacing="1" w:line="360" w:lineRule="auto"/>
        <w:contextualSpacing/>
        <w:jc w:val="both"/>
        <w:rPr>
          <w:b/>
          <w:bCs/>
        </w:rPr>
      </w:pPr>
      <w:r w:rsidRPr="000F1425">
        <w:rPr>
          <w:b/>
          <w:bCs/>
        </w:rPr>
        <w:t xml:space="preserve">Retreating from the defence? </w:t>
      </w:r>
    </w:p>
    <w:p w14:paraId="6C80DD8C" w14:textId="76036DE9" w:rsidR="00885D61" w:rsidRPr="000F1425" w:rsidRDefault="00D178B2" w:rsidP="00D8300F">
      <w:pPr>
        <w:tabs>
          <w:tab w:val="left" w:pos="0"/>
        </w:tabs>
        <w:spacing w:before="100" w:beforeAutospacing="1" w:after="100" w:afterAutospacing="1" w:line="360" w:lineRule="auto"/>
        <w:contextualSpacing/>
        <w:jc w:val="both"/>
      </w:pPr>
      <w:r>
        <w:t xml:space="preserve">Following these cases, </w:t>
      </w:r>
      <w:r w:rsidR="00E51581" w:rsidRPr="000F1425">
        <w:t xml:space="preserve">the question of duress was once again raised in the courts, in </w:t>
      </w:r>
      <w:r w:rsidR="00E51581" w:rsidRPr="000F1425">
        <w:rPr>
          <w:i/>
          <w:iCs/>
        </w:rPr>
        <w:t xml:space="preserve">R v </w:t>
      </w:r>
      <w:proofErr w:type="spellStart"/>
      <w:r w:rsidR="00E51581" w:rsidRPr="000F1425">
        <w:rPr>
          <w:i/>
          <w:iCs/>
        </w:rPr>
        <w:t>Cundell</w:t>
      </w:r>
      <w:proofErr w:type="spellEnd"/>
      <w:r w:rsidR="00E51581" w:rsidRPr="000F1425">
        <w:rPr>
          <w:i/>
          <w:iCs/>
        </w:rPr>
        <w:t xml:space="preserve"> and Smith</w:t>
      </w:r>
      <w:r w:rsidR="00E51581" w:rsidRPr="000F1425">
        <w:t>.</w:t>
      </w:r>
      <w:r w:rsidR="00E51581" w:rsidRPr="000F1425">
        <w:rPr>
          <w:vertAlign w:val="superscript"/>
        </w:rPr>
        <w:footnoteReference w:id="39"/>
      </w:r>
      <w:r w:rsidR="00E51581" w:rsidRPr="000F1425">
        <w:rPr>
          <w:i/>
        </w:rPr>
        <w:t xml:space="preserve">  </w:t>
      </w:r>
      <w:r w:rsidR="00E51581" w:rsidRPr="000F1425">
        <w:t xml:space="preserve">In this case British prisoners of war were being held in a prison on the Isle of France (now known as Mauritius) in 1808. The conditions were crowded and filthy and the prisoners were treated in an inhumane manner. To escape these conditions, the prisoners were offered the opportunity to pledge allegiance to the French and fifty prisoners did so. </w:t>
      </w:r>
      <w:proofErr w:type="spellStart"/>
      <w:r w:rsidR="00E51581" w:rsidRPr="000F1425">
        <w:t>Cundell</w:t>
      </w:r>
      <w:proofErr w:type="spellEnd"/>
      <w:r w:rsidR="00E51581" w:rsidRPr="000F1425">
        <w:t xml:space="preserve"> and Smith were two of the fifty men who pledged allegiance</w:t>
      </w:r>
      <w:r w:rsidR="00E14A89">
        <w:t xml:space="preserve">. </w:t>
      </w:r>
      <w:r w:rsidR="00E51581" w:rsidRPr="000F1425">
        <w:t xml:space="preserve">Eventually the island was surrendered to the British and at this point thirty-eight of the men who had changed allegiance marched off with the enemy to France. The remaining twelve men threw themselves on British mercy. They were all charged with high treason and at the trial seven of the men, including </w:t>
      </w:r>
      <w:proofErr w:type="spellStart"/>
      <w:r w:rsidR="00E51581" w:rsidRPr="000F1425">
        <w:t>Cundell</w:t>
      </w:r>
      <w:proofErr w:type="spellEnd"/>
      <w:r w:rsidR="00E51581" w:rsidRPr="000F1425">
        <w:t xml:space="preserve"> and Smith, were found guilty. Even though there was no lack of evidence against them the charges against the other five were dropped.</w:t>
      </w:r>
      <w:r w:rsidR="00D20140" w:rsidRPr="000F1425">
        <w:t xml:space="preserve"> </w:t>
      </w:r>
      <w:r w:rsidR="00E51581" w:rsidRPr="000F1425">
        <w:t xml:space="preserve">The Attorney-General felt that the ends of justice had been sufficiently obtained by an example being made of the </w:t>
      </w:r>
      <w:r w:rsidR="00501E96">
        <w:t>seven</w:t>
      </w:r>
      <w:r w:rsidR="00E51581" w:rsidRPr="000F1425">
        <w:t xml:space="preserve"> convicted men, which would deter others, and that the shades of criminality between the defendants had warranted the distinction.</w:t>
      </w:r>
      <w:r w:rsidR="00E51581" w:rsidRPr="000F1425">
        <w:rPr>
          <w:vertAlign w:val="superscript"/>
        </w:rPr>
        <w:footnoteReference w:id="40"/>
      </w:r>
      <w:r w:rsidR="00E51581" w:rsidRPr="000F1425">
        <w:t xml:space="preserve"> </w:t>
      </w:r>
      <w:proofErr w:type="spellStart"/>
      <w:r w:rsidR="00E51581" w:rsidRPr="000F1425">
        <w:lastRenderedPageBreak/>
        <w:t>Cundell</w:t>
      </w:r>
      <w:proofErr w:type="spellEnd"/>
      <w:r w:rsidR="00E51581" w:rsidRPr="000F1425">
        <w:t xml:space="preserve"> and Smith were sentenced to be hanged, </w:t>
      </w:r>
      <w:proofErr w:type="gramStart"/>
      <w:r w:rsidR="00E51581" w:rsidRPr="000F1425">
        <w:t>drawn</w:t>
      </w:r>
      <w:proofErr w:type="gramEnd"/>
      <w:r w:rsidR="00E51581" w:rsidRPr="000F1425">
        <w:t xml:space="preserve"> and quartered. The other five men who were found guilty were pardoned on condition of serving in colonies abroad.</w:t>
      </w:r>
      <w:r w:rsidR="00155999" w:rsidRPr="00155999">
        <w:rPr>
          <w:vertAlign w:val="superscript"/>
        </w:rPr>
        <w:footnoteReference w:id="41"/>
      </w:r>
      <w:r w:rsidR="00E51581" w:rsidRPr="000F1425">
        <w:t xml:space="preserve"> Regardless of the defendants possibly suffer</w:t>
      </w:r>
      <w:r w:rsidR="00155999">
        <w:t>ing</w:t>
      </w:r>
      <w:r w:rsidR="00E51581" w:rsidRPr="000F1425">
        <w:t xml:space="preserve"> some actual harm through their inhumane treatment</w:t>
      </w:r>
      <w:r w:rsidR="00CA6CD8">
        <w:t>,</w:t>
      </w:r>
      <w:r w:rsidR="00E51581" w:rsidRPr="000F1425">
        <w:t xml:space="preserve"> it seems that dirt and overcrowding </w:t>
      </w:r>
      <w:r w:rsidR="00B03A1B">
        <w:t>were</w:t>
      </w:r>
      <w:r w:rsidR="00E51581" w:rsidRPr="000F1425">
        <w:t xml:space="preserve"> not enough to excuse treason. For this reason, they were rightly found guilty of treason even though they had quitted the service as soon as they could</w:t>
      </w:r>
      <w:r w:rsidR="00155999">
        <w:t>.</w:t>
      </w:r>
      <w:r w:rsidR="00E51581" w:rsidRPr="000F1425">
        <w:t xml:space="preserve"> </w:t>
      </w:r>
      <w:r w:rsidR="00155999">
        <w:t>T</w:t>
      </w:r>
      <w:r w:rsidR="00E51581" w:rsidRPr="000F1425">
        <w:t>herefore</w:t>
      </w:r>
      <w:r w:rsidR="00155999">
        <w:t>,</w:t>
      </w:r>
      <w:r w:rsidR="00E51581" w:rsidRPr="000F1425">
        <w:t xml:space="preserve"> showing that the defence of duress could still be available to treason but</w:t>
      </w:r>
      <w:r w:rsidR="00155999">
        <w:t>,</w:t>
      </w:r>
      <w:r w:rsidR="00B03A1B">
        <w:t xml:space="preserve"> if it was to be available to the most serious of crimes</w:t>
      </w:r>
      <w:r w:rsidR="00155999">
        <w:t xml:space="preserve">, </w:t>
      </w:r>
      <w:r w:rsidR="00B03A1B">
        <w:t>restrictions must be put in place and as such</w:t>
      </w:r>
      <w:r w:rsidR="00E51581" w:rsidRPr="000F1425">
        <w:t xml:space="preserve"> the threat must be of a serious nature.</w:t>
      </w:r>
    </w:p>
    <w:p w14:paraId="108ABD58" w14:textId="77777777" w:rsidR="001D28F4" w:rsidRPr="000F1425" w:rsidRDefault="001D28F4" w:rsidP="00D8300F">
      <w:pPr>
        <w:tabs>
          <w:tab w:val="left" w:pos="0"/>
        </w:tabs>
        <w:spacing w:before="100" w:beforeAutospacing="1" w:after="100" w:afterAutospacing="1" w:line="360" w:lineRule="auto"/>
        <w:contextualSpacing/>
        <w:jc w:val="both"/>
      </w:pPr>
    </w:p>
    <w:p w14:paraId="26C03873" w14:textId="0D0C46B4" w:rsidR="00885D61" w:rsidRPr="000F1425" w:rsidRDefault="00E51581" w:rsidP="00D8300F">
      <w:pPr>
        <w:tabs>
          <w:tab w:val="left" w:pos="0"/>
        </w:tabs>
        <w:spacing w:before="100" w:beforeAutospacing="1" w:after="100" w:afterAutospacing="1" w:line="360" w:lineRule="auto"/>
        <w:contextualSpacing/>
        <w:jc w:val="both"/>
      </w:pPr>
      <w:r w:rsidRPr="000F1425">
        <w:t>Later in the 19</w:t>
      </w:r>
      <w:r w:rsidRPr="000F1425">
        <w:rPr>
          <w:vertAlign w:val="superscript"/>
        </w:rPr>
        <w:t>th</w:t>
      </w:r>
      <w:r w:rsidRPr="000F1425">
        <w:t xml:space="preserve"> Century in </w:t>
      </w:r>
      <w:r w:rsidRPr="000F1425">
        <w:rPr>
          <w:i/>
          <w:iCs/>
        </w:rPr>
        <w:t xml:space="preserve">R v </w:t>
      </w:r>
      <w:proofErr w:type="spellStart"/>
      <w:r w:rsidRPr="000F1425">
        <w:rPr>
          <w:i/>
          <w:iCs/>
        </w:rPr>
        <w:t>Crutchley</w:t>
      </w:r>
      <w:proofErr w:type="spellEnd"/>
      <w:r w:rsidRPr="000F1425">
        <w:rPr>
          <w:vertAlign w:val="superscript"/>
        </w:rPr>
        <w:footnoteReference w:id="42"/>
      </w:r>
      <w:r w:rsidRPr="000F1425">
        <w:rPr>
          <w:i/>
        </w:rPr>
        <w:t xml:space="preserve"> </w:t>
      </w:r>
      <w:r w:rsidRPr="000F1425">
        <w:t>the defendant was found not guilty of breaking and destroying a threshing machine</w:t>
      </w:r>
      <w:r w:rsidRPr="000F1425">
        <w:rPr>
          <w:vertAlign w:val="superscript"/>
        </w:rPr>
        <w:footnoteReference w:id="43"/>
      </w:r>
      <w:r w:rsidRPr="000F1425">
        <w:t xml:space="preserve"> after hitting it once with a </w:t>
      </w:r>
      <w:r w:rsidR="00B03A1B" w:rsidRPr="000F1425">
        <w:t>sledgehammer</w:t>
      </w:r>
      <w:r w:rsidRPr="000F1425">
        <w:t xml:space="preserve"> when forced by a gang of </w:t>
      </w:r>
      <w:proofErr w:type="spellStart"/>
      <w:r w:rsidRPr="000F1425">
        <w:t>duressors</w:t>
      </w:r>
      <w:proofErr w:type="spellEnd"/>
      <w:r w:rsidRPr="000F1425">
        <w:t>. He had left the gang as soon as he could (after about fifteen minutes)</w:t>
      </w:r>
      <w:r w:rsidR="007F4413">
        <w:t>, which was essential to the success to his plea of duress</w:t>
      </w:r>
      <w:r w:rsidRPr="000F1425">
        <w:t>.</w:t>
      </w:r>
      <w:r w:rsidR="003075BB">
        <w:t xml:space="preserve"> Unlike previous cases</w:t>
      </w:r>
      <w:r w:rsidR="0085578C">
        <w:t>, this case did</w:t>
      </w:r>
      <w:r w:rsidRPr="000F1425">
        <w:t xml:space="preserve"> not involve an act of treason during the time of war or rebellion</w:t>
      </w:r>
      <w:r w:rsidR="00155999">
        <w:t>.  Thus</w:t>
      </w:r>
      <w:r w:rsidR="00235BE8">
        <w:t>,</w:t>
      </w:r>
      <w:r w:rsidR="00155999">
        <w:t xml:space="preserve"> </w:t>
      </w:r>
      <w:r w:rsidRPr="000F1425">
        <w:t xml:space="preserve">showing that the defence was available </w:t>
      </w:r>
      <w:r w:rsidR="000023F9">
        <w:t>to a range of offences</w:t>
      </w:r>
      <w:r w:rsidR="00155999">
        <w:t xml:space="preserve">, </w:t>
      </w:r>
      <w:r w:rsidR="000023F9">
        <w:t xml:space="preserve">or </w:t>
      </w:r>
      <w:r w:rsidR="000023F9" w:rsidRPr="000F1425">
        <w:t>at least for breaking and destroying a threshing machine</w:t>
      </w:r>
      <w:r w:rsidR="00155999">
        <w:t>,</w:t>
      </w:r>
      <w:r w:rsidR="000023F9">
        <w:t xml:space="preserve"> </w:t>
      </w:r>
      <w:r w:rsidRPr="000F1425">
        <w:t>in times of peace</w:t>
      </w:r>
      <w:r w:rsidR="000023F9">
        <w:t>.</w:t>
      </w:r>
    </w:p>
    <w:p w14:paraId="7BA2767F" w14:textId="77777777" w:rsidR="001D28F4" w:rsidRPr="000F1425" w:rsidRDefault="001D28F4" w:rsidP="00D8300F">
      <w:pPr>
        <w:tabs>
          <w:tab w:val="left" w:pos="0"/>
        </w:tabs>
        <w:spacing w:before="100" w:beforeAutospacing="1" w:after="100" w:afterAutospacing="1" w:line="360" w:lineRule="auto"/>
        <w:contextualSpacing/>
        <w:jc w:val="both"/>
      </w:pPr>
    </w:p>
    <w:p w14:paraId="105AA303" w14:textId="48D890FC" w:rsidR="00D8300F" w:rsidRPr="000F1425" w:rsidRDefault="00E51581" w:rsidP="00D8300F">
      <w:pPr>
        <w:tabs>
          <w:tab w:val="left" w:pos="0"/>
        </w:tabs>
        <w:spacing w:before="100" w:beforeAutospacing="1" w:after="100" w:afterAutospacing="1" w:line="360" w:lineRule="auto"/>
        <w:contextualSpacing/>
        <w:jc w:val="both"/>
      </w:pPr>
      <w:r w:rsidRPr="000F1425">
        <w:t xml:space="preserve">This expansion in the law could be said to only apply where the defendant had caused damage to property as a few years later </w:t>
      </w:r>
      <w:r w:rsidRPr="000F1425">
        <w:rPr>
          <w:i/>
          <w:iCs/>
        </w:rPr>
        <w:t>R v Tyler</w:t>
      </w:r>
      <w:r w:rsidRPr="000F1425">
        <w:rPr>
          <w:vertAlign w:val="superscript"/>
        </w:rPr>
        <w:footnoteReference w:id="44"/>
      </w:r>
      <w:r w:rsidRPr="000F1425">
        <w:t xml:space="preserve"> provided another example of duress in time</w:t>
      </w:r>
      <w:r w:rsidR="006766D0">
        <w:t>s</w:t>
      </w:r>
      <w:r w:rsidRPr="000F1425">
        <w:t xml:space="preserve"> of peace, but this time the plea was unsuccessful to a charge of murder. The defence was </w:t>
      </w:r>
      <w:proofErr w:type="gramStart"/>
      <w:r w:rsidRPr="000F1425">
        <w:t>rejected</w:t>
      </w:r>
      <w:proofErr w:type="gramEnd"/>
      <w:r w:rsidRPr="000F1425">
        <w:t xml:space="preserve"> and Lord Denman went as far as to say, </w:t>
      </w:r>
      <w:r w:rsidR="00B71BFE" w:rsidRPr="000F1425">
        <w:t>‘</w:t>
      </w:r>
      <w:r w:rsidRPr="000F1425">
        <w:t>that no man, from fear of consequence to himself, has a right to make himself a party to committing mischief on mankind</w:t>
      </w:r>
      <w:r w:rsidR="00B71BFE" w:rsidRPr="000F1425">
        <w:t>’</w:t>
      </w:r>
      <w:r w:rsidRPr="000F1425">
        <w:t>.</w:t>
      </w:r>
      <w:r w:rsidRPr="000F1425">
        <w:rPr>
          <w:vertAlign w:val="superscript"/>
        </w:rPr>
        <w:footnoteReference w:id="45"/>
      </w:r>
      <w:r w:rsidRPr="000F1425">
        <w:t xml:space="preserve"> The offence in question was murder, however, Lord Denman does not specify that this was the only type of </w:t>
      </w:r>
      <w:r w:rsidR="00111FD0" w:rsidRPr="000F1425">
        <w:t>‘</w:t>
      </w:r>
      <w:r w:rsidRPr="000F1425">
        <w:t>mischief on mankind</w:t>
      </w:r>
      <w:r w:rsidR="00111FD0" w:rsidRPr="000F1425">
        <w:t>’</w:t>
      </w:r>
      <w:r w:rsidRPr="000F1425">
        <w:t xml:space="preserve"> he was excluding from the defence of duress. It could reasonably be argued that he is stating the defence is only available where the defendant damages property under duress (as this is not </w:t>
      </w:r>
      <w:r w:rsidR="00111FD0" w:rsidRPr="000F1425">
        <w:t>‘</w:t>
      </w:r>
      <w:r w:rsidRPr="000F1425">
        <w:t>to mankind</w:t>
      </w:r>
      <w:r w:rsidR="00111FD0" w:rsidRPr="000F1425">
        <w:t>’</w:t>
      </w:r>
      <w:r w:rsidRPr="000F1425">
        <w:t xml:space="preserve"> and it had only seven years earlier been accepted that the defence was available to breaking and destroying a threshing machine). This interpretation would represent a huge </w:t>
      </w:r>
      <w:r w:rsidRPr="000F1425">
        <w:lastRenderedPageBreak/>
        <w:t xml:space="preserve">restriction to the </w:t>
      </w:r>
      <w:r w:rsidR="00347B8F" w:rsidRPr="000F1425">
        <w:t>defence,</w:t>
      </w:r>
      <w:r w:rsidRPr="000F1425">
        <w:t xml:space="preserve"> and it is perhaps unlikely that</w:t>
      </w:r>
      <w:r w:rsidR="0017148F">
        <w:t xml:space="preserve"> he is stating that</w:t>
      </w:r>
      <w:r w:rsidRPr="000F1425">
        <w:t xml:space="preserve"> duress is never available where the defendant has caused any harm to another person when there </w:t>
      </w:r>
      <w:r w:rsidR="0017148F">
        <w:t>wa</w:t>
      </w:r>
      <w:r w:rsidRPr="000F1425">
        <w:t xml:space="preserve">s no previous authority </w:t>
      </w:r>
      <w:r w:rsidR="0017148F">
        <w:t>to support</w:t>
      </w:r>
      <w:r w:rsidRPr="000F1425">
        <w:t xml:space="preserve"> this. </w:t>
      </w:r>
    </w:p>
    <w:p w14:paraId="40845B8E" w14:textId="77777777" w:rsidR="00D8300F" w:rsidRPr="000F1425" w:rsidRDefault="00D8300F" w:rsidP="00D8300F">
      <w:pPr>
        <w:tabs>
          <w:tab w:val="left" w:pos="0"/>
        </w:tabs>
        <w:spacing w:before="100" w:beforeAutospacing="1" w:after="100" w:afterAutospacing="1" w:line="360" w:lineRule="auto"/>
        <w:contextualSpacing/>
        <w:jc w:val="both"/>
      </w:pPr>
    </w:p>
    <w:p w14:paraId="0857B063" w14:textId="08043584" w:rsidR="00E51581" w:rsidRPr="000F1425" w:rsidRDefault="00E51581" w:rsidP="00D8300F">
      <w:pPr>
        <w:tabs>
          <w:tab w:val="left" w:pos="0"/>
        </w:tabs>
        <w:spacing w:before="100" w:beforeAutospacing="1" w:after="100" w:afterAutospacing="1" w:line="360" w:lineRule="auto"/>
        <w:contextualSpacing/>
        <w:jc w:val="both"/>
      </w:pPr>
      <w:r w:rsidRPr="000F1425">
        <w:t>Alternatively, and perhaps more likely in view of the case facts, it could be argued that Lord Denman is only saying that the defence of duress is not available to murder</w:t>
      </w:r>
      <w:r w:rsidR="0003739F">
        <w:t xml:space="preserve"> in this situation</w:t>
      </w:r>
      <w:r w:rsidRPr="000F1425">
        <w:t xml:space="preserve"> and, therefore, is potentially available to all other offences in times of peace.</w:t>
      </w:r>
      <w:r w:rsidR="004F33EC" w:rsidRPr="000F1425">
        <w:t xml:space="preserve"> </w:t>
      </w:r>
      <w:r w:rsidRPr="000F1425">
        <w:t xml:space="preserve">Nonetheless, this does not necessarily mean that duress could never be a defence to murder because Lord Denman clearly states that the defence is unavailable when the defendants are acting in apprehension of personal violence. </w:t>
      </w:r>
      <w:r w:rsidRPr="00ED7D82">
        <w:t>As stated above,</w:t>
      </w:r>
      <w:r w:rsidRPr="000F1425">
        <w:t xml:space="preserve"> the requirement to have the defence for a charge of murder </w:t>
      </w:r>
      <w:r w:rsidR="00B04E15">
        <w:t>the threat must be of a serious nature</w:t>
      </w:r>
      <w:r w:rsidRPr="000F1425">
        <w:t xml:space="preserve">, which is arguably more than </w:t>
      </w:r>
      <w:r w:rsidR="00B30A11">
        <w:t xml:space="preserve">just </w:t>
      </w:r>
      <w:r w:rsidRPr="000F1425">
        <w:t xml:space="preserve">an apprehension of personal violence. In addition, this case is </w:t>
      </w:r>
      <w:r w:rsidR="00DD0B0B">
        <w:t xml:space="preserve">later </w:t>
      </w:r>
      <w:r w:rsidRPr="000F1425">
        <w:t xml:space="preserve">explicitly discredited by Lord Morris in </w:t>
      </w:r>
      <w:r w:rsidRPr="000F1425">
        <w:rPr>
          <w:i/>
          <w:iCs/>
        </w:rPr>
        <w:t>DPP for Northern Ireland v Lynch</w:t>
      </w:r>
      <w:r w:rsidRPr="000F1425">
        <w:rPr>
          <w:vertAlign w:val="superscript"/>
        </w:rPr>
        <w:footnoteReference w:id="46"/>
      </w:r>
      <w:r w:rsidRPr="000F1425">
        <w:rPr>
          <w:i/>
        </w:rPr>
        <w:t xml:space="preserve"> </w:t>
      </w:r>
      <w:r w:rsidRPr="000F1425">
        <w:t xml:space="preserve">who asserts that the defendants joined the </w:t>
      </w:r>
      <w:proofErr w:type="spellStart"/>
      <w:r w:rsidRPr="000F1425">
        <w:t>duressor</w:t>
      </w:r>
      <w:proofErr w:type="spellEnd"/>
      <w:r w:rsidRPr="000F1425">
        <w:t xml:space="preserve"> of their own free will and could have easily detached themselves from him. This would mean the defence would be unavailable regardless of the type of crime committed</w:t>
      </w:r>
      <w:r w:rsidR="00DD0B0B">
        <w:t xml:space="preserve"> and thus provides no sound authority for duress not being av</w:t>
      </w:r>
      <w:r w:rsidR="001E15F0">
        <w:t>ailable to a charge of murder.</w:t>
      </w:r>
    </w:p>
    <w:p w14:paraId="4C585C16" w14:textId="77777777" w:rsidR="00D8300F" w:rsidRPr="000F1425" w:rsidRDefault="00D8300F" w:rsidP="00D8300F">
      <w:pPr>
        <w:tabs>
          <w:tab w:val="left" w:pos="0"/>
        </w:tabs>
        <w:spacing w:before="100" w:beforeAutospacing="1" w:after="100" w:afterAutospacing="1" w:line="360" w:lineRule="auto"/>
        <w:contextualSpacing/>
        <w:jc w:val="both"/>
      </w:pPr>
    </w:p>
    <w:p w14:paraId="699255D8" w14:textId="50205DF9" w:rsidR="00A84463" w:rsidRPr="000F1425" w:rsidRDefault="00A84463" w:rsidP="00D8300F">
      <w:pPr>
        <w:tabs>
          <w:tab w:val="left" w:pos="0"/>
        </w:tabs>
        <w:spacing w:before="100" w:beforeAutospacing="1" w:after="100" w:afterAutospacing="1" w:line="360" w:lineRule="auto"/>
        <w:contextualSpacing/>
        <w:jc w:val="both"/>
        <w:rPr>
          <w:b/>
          <w:bCs/>
        </w:rPr>
      </w:pPr>
      <w:r w:rsidRPr="000F1425">
        <w:rPr>
          <w:b/>
          <w:bCs/>
        </w:rPr>
        <w:t>Distinguishing Duress</w:t>
      </w:r>
    </w:p>
    <w:p w14:paraId="0C4209EF" w14:textId="16BE3ADF" w:rsidR="00EF5CE6" w:rsidRPr="000F1425" w:rsidRDefault="0038370F" w:rsidP="00D8300F">
      <w:pPr>
        <w:tabs>
          <w:tab w:val="left" w:pos="0"/>
        </w:tabs>
        <w:spacing w:before="100" w:beforeAutospacing="1" w:after="100" w:afterAutospacing="1" w:line="360" w:lineRule="auto"/>
        <w:jc w:val="both"/>
        <w:rPr>
          <w:b/>
          <w:bCs/>
        </w:rPr>
      </w:pPr>
      <w:r w:rsidRPr="000F1425">
        <w:t xml:space="preserve">In addition to the duress </w:t>
      </w:r>
      <w:r w:rsidR="00B30A11">
        <w:t xml:space="preserve">defence </w:t>
      </w:r>
      <w:r w:rsidRPr="000F1425">
        <w:t xml:space="preserve">explained above, other forms of duress, or compulsion, have been recognised throughout the same period of history. </w:t>
      </w:r>
      <w:r w:rsidR="000E2068" w:rsidRPr="000F1425">
        <w:t xml:space="preserve">These </w:t>
      </w:r>
      <w:r w:rsidR="00DF5E59" w:rsidRPr="000F1425">
        <w:t xml:space="preserve">alternative </w:t>
      </w:r>
      <w:r w:rsidR="000E2068" w:rsidRPr="000F1425">
        <w:t>defences</w:t>
      </w:r>
      <w:r w:rsidR="00DF5E59" w:rsidRPr="000F1425">
        <w:t xml:space="preserve"> </w:t>
      </w:r>
      <w:r w:rsidR="00935865">
        <w:t>include</w:t>
      </w:r>
      <w:r w:rsidR="000E2068" w:rsidRPr="000F1425">
        <w:t xml:space="preserve"> </w:t>
      </w:r>
      <w:r w:rsidR="00DF5E59" w:rsidRPr="000F1425">
        <w:t>n</w:t>
      </w:r>
      <w:r w:rsidR="000E2068" w:rsidRPr="000F1425">
        <w:t xml:space="preserve">ecessity. </w:t>
      </w:r>
      <w:r w:rsidRPr="000F1425">
        <w:t xml:space="preserve">To draw a comparison to duress (and its availability to murder), and to identify duress’s place within the historical context of the alternatives available, </w:t>
      </w:r>
      <w:r w:rsidR="00DD1767">
        <w:t>the application of necessity will be briefly considered.</w:t>
      </w:r>
    </w:p>
    <w:p w14:paraId="6150DF5D" w14:textId="70A3F113" w:rsidR="00D8300F" w:rsidRPr="000F1425" w:rsidRDefault="00ED7801" w:rsidP="00D8300F">
      <w:pPr>
        <w:tabs>
          <w:tab w:val="left" w:pos="0"/>
        </w:tabs>
        <w:spacing w:before="100" w:beforeAutospacing="1" w:after="100" w:afterAutospacing="1" w:line="360" w:lineRule="auto"/>
        <w:contextualSpacing/>
        <w:jc w:val="both"/>
      </w:pPr>
      <w:r w:rsidRPr="000F1425">
        <w:t>Historically</w:t>
      </w:r>
      <w:r w:rsidR="005F5EB4">
        <w:t>,</w:t>
      </w:r>
      <w:r w:rsidRPr="000F1425">
        <w:t xml:space="preserve"> a defence of necessity has been recognised alongside duress. Hale recognised an additional defence of necessity where crimes ha</w:t>
      </w:r>
      <w:r w:rsidR="00AF5CDB">
        <w:t>d</w:t>
      </w:r>
      <w:r w:rsidRPr="000F1425">
        <w:t xml:space="preserve"> been committed for reasons other than fear.</w:t>
      </w:r>
      <w:r w:rsidRPr="000F1425">
        <w:rPr>
          <w:vertAlign w:val="superscript"/>
        </w:rPr>
        <w:footnoteReference w:id="47"/>
      </w:r>
      <w:r w:rsidRPr="000F1425">
        <w:t xml:space="preserve"> He stated that this c</w:t>
      </w:r>
      <w:r w:rsidR="009D0809">
        <w:t>ould</w:t>
      </w:r>
      <w:r w:rsidRPr="000F1425">
        <w:t xml:space="preserve"> be used in limited circumstances, for example, to preserve the peace if a riotous assembly </w:t>
      </w:r>
      <w:r w:rsidR="009D0809">
        <w:t>wa</w:t>
      </w:r>
      <w:r w:rsidRPr="000F1425">
        <w:t xml:space="preserve">s formed. In such a situation Justices of the Peace, the sheriff, major or other officers </w:t>
      </w:r>
      <w:r w:rsidR="007B449E">
        <w:t>could</w:t>
      </w:r>
      <w:r w:rsidRPr="000F1425">
        <w:t xml:space="preserve"> raise a power to suppress </w:t>
      </w:r>
      <w:r w:rsidRPr="000F1425">
        <w:lastRenderedPageBreak/>
        <w:t>and apprehend the rioters. Should any of the rioters get hurt or killed by the law enforcement officers or those that they have assembled they w</w:t>
      </w:r>
      <w:r w:rsidR="00001C82">
        <w:t>ould</w:t>
      </w:r>
      <w:r w:rsidRPr="000F1425">
        <w:t xml:space="preserve"> be subject to no punishment. Blackstone also gives the examples of necessity as being where someone must wound or even kill under a commandment of the law to arrest someone for a capital offence or to disperse a riot. Additionally, according to Hale a person can supply the King’s enemies with goods, which would normally be treason, when the enemies are invading in times of war if it is necessary to prevent the devastation of the country.</w:t>
      </w:r>
      <w:r w:rsidRPr="000F1425">
        <w:rPr>
          <w:vertAlign w:val="superscript"/>
        </w:rPr>
        <w:footnoteReference w:id="48"/>
      </w:r>
    </w:p>
    <w:p w14:paraId="6D141992" w14:textId="77777777" w:rsidR="00D8300F" w:rsidRPr="000F1425" w:rsidRDefault="00D8300F" w:rsidP="00D8300F">
      <w:pPr>
        <w:tabs>
          <w:tab w:val="left" w:pos="0"/>
        </w:tabs>
        <w:spacing w:before="100" w:beforeAutospacing="1" w:after="100" w:afterAutospacing="1" w:line="360" w:lineRule="auto"/>
        <w:contextualSpacing/>
        <w:jc w:val="both"/>
      </w:pPr>
    </w:p>
    <w:p w14:paraId="2C0CE524" w14:textId="54BDB04A" w:rsidR="00D8300F" w:rsidRPr="000F1425" w:rsidRDefault="00ED7801" w:rsidP="00D8300F">
      <w:pPr>
        <w:tabs>
          <w:tab w:val="left" w:pos="0"/>
        </w:tabs>
        <w:spacing w:before="100" w:beforeAutospacing="1" w:after="100" w:afterAutospacing="1" w:line="360" w:lineRule="auto"/>
        <w:contextualSpacing/>
        <w:jc w:val="both"/>
      </w:pPr>
      <w:r w:rsidRPr="000F1425">
        <w:t>Blackstone</w:t>
      </w:r>
      <w:r w:rsidR="002A4E67">
        <w:t>’</w:t>
      </w:r>
      <w:r w:rsidRPr="000F1425">
        <w:t xml:space="preserve">s </w:t>
      </w:r>
      <w:r w:rsidR="00E67ABE">
        <w:t>defines</w:t>
      </w:r>
      <w:r w:rsidRPr="000F1425">
        <w:t xml:space="preserve"> necessity</w:t>
      </w:r>
      <w:r w:rsidR="003D3D07" w:rsidRPr="003D3D07">
        <w:t xml:space="preserve"> </w:t>
      </w:r>
      <w:r w:rsidR="00E67ABE">
        <w:t>as</w:t>
      </w:r>
      <w:r w:rsidR="003D3D07">
        <w:t xml:space="preserve"> </w:t>
      </w:r>
      <w:r w:rsidR="00E67ABE">
        <w:t xml:space="preserve">occurring </w:t>
      </w:r>
      <w:r w:rsidRPr="000F1425">
        <w:t>whe</w:t>
      </w:r>
      <w:r w:rsidR="00E67ABE">
        <w:t>n</w:t>
      </w:r>
      <w:r w:rsidRPr="000F1425">
        <w:t xml:space="preserve"> the defendant has been compelled to act due to some external force or fear, which means he must choose the lesser of two evils.</w:t>
      </w:r>
      <w:r w:rsidRPr="000F1425">
        <w:rPr>
          <w:vertAlign w:val="superscript"/>
        </w:rPr>
        <w:footnoteReference w:id="49"/>
      </w:r>
      <w:r w:rsidR="005436BA">
        <w:t xml:space="preserve">  </w:t>
      </w:r>
      <w:r w:rsidR="00E67ABE">
        <w:t>The requirement that the defendant’s actions be the lesser of two evils can be seen i</w:t>
      </w:r>
      <w:r w:rsidR="00E67ABE" w:rsidRPr="000F1425">
        <w:t xml:space="preserve">n </w:t>
      </w:r>
      <w:r w:rsidR="00E67ABE" w:rsidRPr="000F1425">
        <w:rPr>
          <w:i/>
          <w:iCs/>
        </w:rPr>
        <w:t>Mouse’s case</w:t>
      </w:r>
      <w:r w:rsidR="00B949F7">
        <w:rPr>
          <w:i/>
          <w:iCs/>
        </w:rPr>
        <w:t>.</w:t>
      </w:r>
      <w:r w:rsidR="00E67ABE" w:rsidRPr="000F1425">
        <w:rPr>
          <w:vertAlign w:val="superscript"/>
        </w:rPr>
        <w:footnoteReference w:id="50"/>
      </w:r>
      <w:r w:rsidR="00E67ABE" w:rsidRPr="000F1425">
        <w:t xml:space="preserve"> </w:t>
      </w:r>
      <w:r w:rsidR="00B949F7">
        <w:t>The</w:t>
      </w:r>
      <w:r w:rsidR="00E67ABE" w:rsidRPr="000F1425">
        <w:t xml:space="preserve"> defence of necessity was accepted whe</w:t>
      </w:r>
      <w:r w:rsidR="00B949F7">
        <w:t>n</w:t>
      </w:r>
      <w:r w:rsidR="00E67ABE" w:rsidRPr="000F1425">
        <w:t xml:space="preserve"> passengers of a barge</w:t>
      </w:r>
      <w:r w:rsidR="009D2CE2">
        <w:t>, which had</w:t>
      </w:r>
      <w:r w:rsidR="00B949F7">
        <w:t xml:space="preserve"> </w:t>
      </w:r>
      <w:r w:rsidR="00B949F7" w:rsidRPr="000F1425">
        <w:t>encountered a tempest</w:t>
      </w:r>
      <w:r w:rsidR="009D2CE2">
        <w:t>,</w:t>
      </w:r>
      <w:r w:rsidR="00E67ABE" w:rsidRPr="000F1425">
        <w:t xml:space="preserve"> had thrown the ferryman’s belongings overboard</w:t>
      </w:r>
      <w:r w:rsidR="00B949F7">
        <w:t xml:space="preserve"> to</w:t>
      </w:r>
      <w:r w:rsidR="00B949F7" w:rsidRPr="000F1425">
        <w:t xml:space="preserve"> save their lives</w:t>
      </w:r>
      <w:r w:rsidR="00E67ABE" w:rsidRPr="000F1425">
        <w:t xml:space="preserve"> </w:t>
      </w:r>
      <w:r w:rsidR="00B949F7">
        <w:t>due to their</w:t>
      </w:r>
      <w:r w:rsidR="00E67ABE">
        <w:t xml:space="preserve"> fear of </w:t>
      </w:r>
      <w:r w:rsidR="00E67ABE" w:rsidRPr="000F1425">
        <w:t>the barge sinking.</w:t>
      </w:r>
      <w:r w:rsidR="00E67ABE">
        <w:t xml:space="preserve"> This makes the distinction between duress and necessity less clear as</w:t>
      </w:r>
      <w:r w:rsidR="005436BA">
        <w:t xml:space="preserve"> both can arise when the defendant has acted from fear. </w:t>
      </w:r>
    </w:p>
    <w:p w14:paraId="191EDF9C" w14:textId="77777777" w:rsidR="00D8300F" w:rsidRPr="000F1425" w:rsidRDefault="00D8300F" w:rsidP="00D8300F">
      <w:pPr>
        <w:tabs>
          <w:tab w:val="left" w:pos="0"/>
        </w:tabs>
        <w:spacing w:before="100" w:beforeAutospacing="1" w:after="100" w:afterAutospacing="1" w:line="360" w:lineRule="auto"/>
        <w:contextualSpacing/>
        <w:jc w:val="both"/>
      </w:pPr>
    </w:p>
    <w:p w14:paraId="0BC32FA9" w14:textId="6C687405" w:rsidR="00ED7801" w:rsidRPr="00862E92" w:rsidRDefault="00ED7801" w:rsidP="002553F7">
      <w:pPr>
        <w:tabs>
          <w:tab w:val="left" w:pos="0"/>
        </w:tabs>
        <w:spacing w:before="100" w:beforeAutospacing="1" w:after="100" w:afterAutospacing="1" w:line="360" w:lineRule="auto"/>
        <w:contextualSpacing/>
        <w:jc w:val="both"/>
        <w:rPr>
          <w:rFonts w:eastAsia="Calibri"/>
        </w:rPr>
      </w:pPr>
      <w:r w:rsidRPr="000F1425">
        <w:rPr>
          <w:rFonts w:eastAsia="Calibri"/>
        </w:rPr>
        <w:t>Necessity</w:t>
      </w:r>
      <w:r w:rsidR="00B949F7">
        <w:rPr>
          <w:rFonts w:eastAsia="Calibri"/>
        </w:rPr>
        <w:t>, however,</w:t>
      </w:r>
      <w:r w:rsidRPr="000F1425">
        <w:rPr>
          <w:rFonts w:eastAsia="Calibri"/>
        </w:rPr>
        <w:t xml:space="preserve"> is considered a justificatory defence </w:t>
      </w:r>
      <w:r w:rsidR="00A2199B">
        <w:rPr>
          <w:rFonts w:eastAsia="Calibri"/>
        </w:rPr>
        <w:t>based on</w:t>
      </w:r>
      <w:r w:rsidR="008A0C8F">
        <w:rPr>
          <w:rFonts w:eastAsia="Calibri"/>
        </w:rPr>
        <w:t xml:space="preserve"> this requirement </w:t>
      </w:r>
      <w:r w:rsidRPr="000F1425">
        <w:rPr>
          <w:rFonts w:eastAsia="Calibri"/>
        </w:rPr>
        <w:t>that the defendant’s actions are the lesser of two evils.</w:t>
      </w:r>
      <w:r w:rsidR="00A2199B">
        <w:rPr>
          <w:rStyle w:val="FootnoteReference"/>
          <w:rFonts w:eastAsia="Calibri"/>
        </w:rPr>
        <w:footnoteReference w:id="51"/>
      </w:r>
      <w:r w:rsidRPr="000F1425">
        <w:rPr>
          <w:rFonts w:eastAsia="Calibri"/>
        </w:rPr>
        <w:t xml:space="preserve"> </w:t>
      </w:r>
      <w:r w:rsidR="00B728C5">
        <w:rPr>
          <w:rFonts w:eastAsia="Calibri"/>
        </w:rPr>
        <w:t>As such, d</w:t>
      </w:r>
      <w:r w:rsidRPr="000F1425">
        <w:rPr>
          <w:rFonts w:eastAsia="Calibri"/>
        </w:rPr>
        <w:t>uress can be distinguished from necessity as duress</w:t>
      </w:r>
      <w:r w:rsidR="00702A78">
        <w:rPr>
          <w:rFonts w:eastAsia="Calibri"/>
        </w:rPr>
        <w:t xml:space="preserve"> </w:t>
      </w:r>
      <w:r w:rsidRPr="000F1425">
        <w:rPr>
          <w:rFonts w:eastAsia="Calibri"/>
        </w:rPr>
        <w:t>can operate when the defendant’s actions are not the lesser of two evils</w:t>
      </w:r>
      <w:r w:rsidR="00B728C5">
        <w:rPr>
          <w:rFonts w:eastAsia="Calibri"/>
        </w:rPr>
        <w:t>,</w:t>
      </w:r>
      <w:r w:rsidRPr="000F1425">
        <w:rPr>
          <w:rFonts w:eastAsia="Calibri"/>
        </w:rPr>
        <w:t xml:space="preserve"> and equally can fail when the defendant’s actions are.</w:t>
      </w:r>
      <w:r w:rsidR="00F53388">
        <w:rPr>
          <w:rFonts w:eastAsia="Calibri"/>
        </w:rPr>
        <w:t xml:space="preserve"> </w:t>
      </w:r>
      <w:proofErr w:type="spellStart"/>
      <w:r w:rsidRPr="000F1425">
        <w:rPr>
          <w:rFonts w:eastAsia="Calibri"/>
        </w:rPr>
        <w:t>Horder</w:t>
      </w:r>
      <w:proofErr w:type="spellEnd"/>
      <w:r w:rsidRPr="000F1425">
        <w:rPr>
          <w:rFonts w:eastAsia="Calibri"/>
        </w:rPr>
        <w:t xml:space="preserve"> compares necessity and duress. He states that necessity is a strong justificatory defence because the defendant has a moral imperative to act. He claims that duress, on the other hand, is </w:t>
      </w:r>
      <w:r w:rsidR="00B728C5">
        <w:rPr>
          <w:rFonts w:eastAsia="Calibri"/>
        </w:rPr>
        <w:t xml:space="preserve">an </w:t>
      </w:r>
      <w:r w:rsidRPr="000F1425">
        <w:rPr>
          <w:rFonts w:eastAsia="Calibri"/>
        </w:rPr>
        <w:lastRenderedPageBreak/>
        <w:t>excuse because it only requires the defendant to make a personal sacrifice.</w:t>
      </w:r>
      <w:r w:rsidRPr="000F1425">
        <w:rPr>
          <w:rFonts w:eastAsia="Calibri"/>
          <w:vertAlign w:val="superscript"/>
        </w:rPr>
        <w:footnoteReference w:id="52"/>
      </w:r>
      <w:r w:rsidRPr="000F1425">
        <w:rPr>
          <w:rFonts w:eastAsia="Calibri"/>
        </w:rPr>
        <w:t xml:space="preserve"> Th</w:t>
      </w:r>
      <w:r w:rsidR="00D97307">
        <w:rPr>
          <w:rFonts w:eastAsia="Calibri"/>
        </w:rPr>
        <w:t>us,</w:t>
      </w:r>
      <w:r w:rsidRPr="000F1425">
        <w:rPr>
          <w:rFonts w:eastAsia="Calibri"/>
        </w:rPr>
        <w:t xml:space="preserve"> duress is an excusatory </w:t>
      </w:r>
      <w:r w:rsidR="0046035E">
        <w:rPr>
          <w:rFonts w:eastAsia="Calibri"/>
        </w:rPr>
        <w:t>defence</w:t>
      </w:r>
      <w:r w:rsidRPr="000F1425">
        <w:rPr>
          <w:rFonts w:eastAsia="Calibri"/>
        </w:rPr>
        <w:t xml:space="preserve">, as the defendant is not acting to promote a greater moral good for everyone but is acting to protect himself (or his family). </w:t>
      </w:r>
      <w:r w:rsidR="00A47149">
        <w:rPr>
          <w:rFonts w:eastAsia="Calibri"/>
        </w:rPr>
        <w:t>M</w:t>
      </w:r>
      <w:r w:rsidRPr="000F1425">
        <w:rPr>
          <w:rFonts w:eastAsia="Calibri"/>
        </w:rPr>
        <w:t>ean</w:t>
      </w:r>
      <w:r w:rsidR="00A47149">
        <w:rPr>
          <w:rFonts w:eastAsia="Calibri"/>
        </w:rPr>
        <w:t>ing</w:t>
      </w:r>
      <w:r w:rsidRPr="000F1425">
        <w:rPr>
          <w:rFonts w:eastAsia="Calibri"/>
        </w:rPr>
        <w:t xml:space="preserve"> that on balance no objective value is served.</w:t>
      </w:r>
      <w:r w:rsidR="00334B88">
        <w:rPr>
          <w:rFonts w:eastAsia="Calibri"/>
        </w:rPr>
        <w:t xml:space="preserve"> </w:t>
      </w:r>
      <w:r w:rsidRPr="000F1425">
        <w:rPr>
          <w:rFonts w:eastAsia="Calibri"/>
        </w:rPr>
        <w:t>This is because although protecting one’s family is an auxiliary reason that upholds a value that is operative to the whole of society, harming an innocent person to achieve this outcome is not.</w:t>
      </w:r>
      <w:r w:rsidR="00CE5A14" w:rsidRPr="000F1425">
        <w:rPr>
          <w:rFonts w:eastAsia="Calibri"/>
        </w:rPr>
        <w:t xml:space="preserve"> </w:t>
      </w:r>
      <w:r w:rsidRPr="000F1425">
        <w:rPr>
          <w:rFonts w:eastAsia="Calibri"/>
        </w:rPr>
        <w:t>This indicates</w:t>
      </w:r>
      <w:r w:rsidR="00A47149">
        <w:rPr>
          <w:rFonts w:eastAsia="Calibri"/>
        </w:rPr>
        <w:t>, that although both defences can operate when the defendant has acted out of fear,</w:t>
      </w:r>
      <w:r w:rsidRPr="000F1425">
        <w:rPr>
          <w:rFonts w:eastAsia="Calibri"/>
        </w:rPr>
        <w:t xml:space="preserve"> </w:t>
      </w:r>
      <w:r w:rsidR="00A47149">
        <w:rPr>
          <w:rFonts w:eastAsia="Calibri"/>
        </w:rPr>
        <w:t>they do not</w:t>
      </w:r>
      <w:r w:rsidRPr="000F1425">
        <w:rPr>
          <w:rFonts w:eastAsia="Calibri"/>
        </w:rPr>
        <w:t xml:space="preserve"> </w:t>
      </w:r>
      <w:r w:rsidR="00265D0E">
        <w:rPr>
          <w:rFonts w:eastAsia="Calibri"/>
        </w:rPr>
        <w:t>have the same theoretical underpinning or rationale</w:t>
      </w:r>
      <w:r w:rsidRPr="000F1425">
        <w:rPr>
          <w:rFonts w:eastAsia="Calibri"/>
        </w:rPr>
        <w:t>.</w:t>
      </w:r>
      <w:r w:rsidR="00862E92">
        <w:rPr>
          <w:rFonts w:eastAsia="Calibri"/>
        </w:rPr>
        <w:t xml:space="preserve"> </w:t>
      </w:r>
      <w:r w:rsidRPr="000F1425">
        <w:rPr>
          <w:rFonts w:eastAsia="Calibri"/>
        </w:rPr>
        <w:t xml:space="preserve">Therefore, </w:t>
      </w:r>
      <w:r w:rsidR="00862E92">
        <w:rPr>
          <w:rFonts w:eastAsia="Calibri"/>
        </w:rPr>
        <w:t>as wil</w:t>
      </w:r>
      <w:r w:rsidR="00BE7795">
        <w:rPr>
          <w:rFonts w:eastAsia="Calibri"/>
        </w:rPr>
        <w:t>l</w:t>
      </w:r>
      <w:r w:rsidR="00862E92">
        <w:rPr>
          <w:rFonts w:eastAsia="Calibri"/>
        </w:rPr>
        <w:t xml:space="preserve"> be discussed further below, </w:t>
      </w:r>
      <w:r w:rsidRPr="000F1425">
        <w:rPr>
          <w:rFonts w:eastAsia="Calibri"/>
        </w:rPr>
        <w:t>d</w:t>
      </w:r>
      <w:r w:rsidRPr="000F1425">
        <w:t xml:space="preserve">espite necessity being denied for a charge of murder in </w:t>
      </w:r>
      <w:r w:rsidRPr="000F1425">
        <w:rPr>
          <w:i/>
          <w:iCs/>
        </w:rPr>
        <w:t>Dudley and Stephens</w:t>
      </w:r>
      <w:r w:rsidR="00862E92">
        <w:t>,</w:t>
      </w:r>
      <w:r w:rsidR="002C6BD8">
        <w:t xml:space="preserve"> </w:t>
      </w:r>
      <w:r w:rsidRPr="000F1425">
        <w:t>this does not provide authority for duress not to be available to murder, as the two defences have different theoretical underpinnings.</w:t>
      </w:r>
    </w:p>
    <w:p w14:paraId="116B08A0" w14:textId="77777777" w:rsidR="002553F7" w:rsidRPr="000F1425" w:rsidRDefault="002553F7" w:rsidP="002553F7">
      <w:pPr>
        <w:tabs>
          <w:tab w:val="left" w:pos="0"/>
        </w:tabs>
        <w:spacing w:before="100" w:beforeAutospacing="1" w:after="100" w:afterAutospacing="1" w:line="360" w:lineRule="auto"/>
        <w:contextualSpacing/>
        <w:jc w:val="both"/>
        <w:rPr>
          <w:i/>
        </w:rPr>
      </w:pPr>
    </w:p>
    <w:p w14:paraId="5A082436" w14:textId="77777777" w:rsidR="00FC22D0" w:rsidRPr="000F1425" w:rsidRDefault="00FC22D0" w:rsidP="00D8300F">
      <w:pPr>
        <w:tabs>
          <w:tab w:val="left" w:pos="0"/>
        </w:tabs>
        <w:spacing w:before="100" w:beforeAutospacing="1" w:after="100" w:afterAutospacing="1" w:line="360" w:lineRule="auto"/>
        <w:contextualSpacing/>
        <w:jc w:val="both"/>
        <w:rPr>
          <w:b/>
          <w:bCs/>
        </w:rPr>
      </w:pPr>
      <w:r w:rsidRPr="000F1425">
        <w:rPr>
          <w:b/>
          <w:bCs/>
        </w:rPr>
        <w:t>The unfounded result of denying duress to murder</w:t>
      </w:r>
    </w:p>
    <w:p w14:paraId="78407BB7" w14:textId="50A26557" w:rsidR="00D8300F" w:rsidRPr="000F1425" w:rsidRDefault="00FC22D0" w:rsidP="00D8300F">
      <w:pPr>
        <w:spacing w:before="100" w:beforeAutospacing="1" w:after="100" w:afterAutospacing="1" w:line="360" w:lineRule="auto"/>
        <w:contextualSpacing/>
        <w:jc w:val="both"/>
      </w:pPr>
      <w:r w:rsidRPr="000F1425">
        <w:t xml:space="preserve">The House of Lords in </w:t>
      </w:r>
      <w:r w:rsidRPr="000F1425">
        <w:rPr>
          <w:i/>
          <w:iCs/>
        </w:rPr>
        <w:t>Howe</w:t>
      </w:r>
      <w:r w:rsidRPr="000F1425">
        <w:rPr>
          <w:i/>
        </w:rPr>
        <w:t xml:space="preserve"> </w:t>
      </w:r>
      <w:r w:rsidRPr="000F1425">
        <w:t xml:space="preserve">decided that duress could not be a defence to murder. This is an important decision as it has the effect that someone who was charged with murder </w:t>
      </w:r>
      <w:r w:rsidR="00862E92">
        <w:t>can</w:t>
      </w:r>
      <w:r w:rsidRPr="000F1425">
        <w:t xml:space="preserve">not </w:t>
      </w:r>
      <w:r w:rsidR="00862E92">
        <w:t xml:space="preserve">plead </w:t>
      </w:r>
      <w:r w:rsidRPr="000F1425">
        <w:t xml:space="preserve">an excuse despite </w:t>
      </w:r>
      <w:r w:rsidR="00FF7E39">
        <w:t xml:space="preserve">meeting the historically set criteria of </w:t>
      </w:r>
      <w:r w:rsidRPr="000F1425">
        <w:t>acting under fear</w:t>
      </w:r>
      <w:r w:rsidR="004709D7">
        <w:t xml:space="preserve"> of </w:t>
      </w:r>
      <w:r w:rsidR="00E2624D">
        <w:t>threat of a serious nature</w:t>
      </w:r>
      <w:r w:rsidRPr="000F1425">
        <w:t>. Furthermore, in addition to being convicted as a murderer (in the same way as someone who had not acted under duress), the convicted person would receive a mandatory life sentence. Therefore, it would seem imperative that such a decision would have strong historical, doctrinal based, foundations. It is, however, argued below that this is not the situation.</w:t>
      </w:r>
    </w:p>
    <w:p w14:paraId="43C694E4" w14:textId="77777777" w:rsidR="00D8300F" w:rsidRPr="000F1425" w:rsidRDefault="00D8300F" w:rsidP="00D8300F">
      <w:pPr>
        <w:spacing w:before="100" w:beforeAutospacing="1" w:after="100" w:afterAutospacing="1" w:line="360" w:lineRule="auto"/>
        <w:contextualSpacing/>
        <w:jc w:val="both"/>
      </w:pPr>
    </w:p>
    <w:p w14:paraId="5E79B405" w14:textId="55CF1696" w:rsidR="00281C49" w:rsidRPr="003227F0" w:rsidRDefault="00FC22D0" w:rsidP="00D8300F">
      <w:pPr>
        <w:spacing w:before="100" w:beforeAutospacing="1" w:after="100" w:afterAutospacing="1" w:line="360" w:lineRule="auto"/>
        <w:contextualSpacing/>
        <w:jc w:val="both"/>
      </w:pPr>
      <w:r w:rsidRPr="000318F7">
        <w:t>In coming</w:t>
      </w:r>
      <w:r w:rsidRPr="000F1425">
        <w:t xml:space="preserve"> to the decision</w:t>
      </w:r>
      <w:r w:rsidR="00B14D0F" w:rsidRPr="00B14D0F">
        <w:t xml:space="preserve"> </w:t>
      </w:r>
      <w:r w:rsidR="00B14D0F" w:rsidRPr="000F1425">
        <w:t>to deny duress as a defence to murder</w:t>
      </w:r>
      <w:r w:rsidRPr="000F1425">
        <w:t xml:space="preserve"> in </w:t>
      </w:r>
      <w:r w:rsidRPr="000F1425">
        <w:rPr>
          <w:i/>
          <w:iCs/>
        </w:rPr>
        <w:t>Howe</w:t>
      </w:r>
      <w:r w:rsidR="005B6F5B">
        <w:t>,</w:t>
      </w:r>
      <w:r w:rsidRPr="000F1425">
        <w:rPr>
          <w:rStyle w:val="FootnoteReference"/>
        </w:rPr>
        <w:footnoteReference w:id="53"/>
      </w:r>
      <w:r w:rsidRPr="000F1425">
        <w:t xml:space="preserve"> the House of Lords followed </w:t>
      </w:r>
      <w:r w:rsidRPr="000F1425">
        <w:rPr>
          <w:i/>
          <w:iCs/>
        </w:rPr>
        <w:t>Tyler</w:t>
      </w:r>
      <w:r w:rsidR="00EA1EEA">
        <w:t>.</w:t>
      </w:r>
      <w:r w:rsidRPr="000F1425">
        <w:rPr>
          <w:rStyle w:val="FootnoteReference"/>
        </w:rPr>
        <w:footnoteReference w:id="54"/>
      </w:r>
      <w:r w:rsidRPr="000F1425">
        <w:rPr>
          <w:i/>
        </w:rPr>
        <w:t xml:space="preserve">  </w:t>
      </w:r>
      <w:r w:rsidRPr="000F1425">
        <w:t>Lord Wilberforce</w:t>
      </w:r>
      <w:r w:rsidR="00E2624D">
        <w:t>, however,</w:t>
      </w:r>
      <w:r w:rsidRPr="000F1425">
        <w:t xml:space="preserve"> in </w:t>
      </w:r>
      <w:r w:rsidRPr="000F1425">
        <w:rPr>
          <w:i/>
          <w:iCs/>
        </w:rPr>
        <w:t>Abbott</w:t>
      </w:r>
      <w:r w:rsidRPr="000F1425">
        <w:rPr>
          <w:rStyle w:val="FootnoteReference"/>
        </w:rPr>
        <w:footnoteReference w:id="55"/>
      </w:r>
      <w:r w:rsidRPr="000F1425">
        <w:t xml:space="preserve"> asserted that it must be observed that there is little use in looking back at authorities that are earlier that 1898 as until then the accused could not give evidence on his own behalf. This would have meant that before 1898 putting forward a plea of duress would almost certainly be foredoomed to failure, as the defendant would not be able to explain why he acted as he did. This </w:t>
      </w:r>
      <w:r w:rsidRPr="000F1425">
        <w:lastRenderedPageBreak/>
        <w:t xml:space="preserve">supposition is supported by the increasingly successful use of duress since this gag on the </w:t>
      </w:r>
      <w:r w:rsidR="00E2624D">
        <w:t>defendant</w:t>
      </w:r>
      <w:r w:rsidRPr="000F1425">
        <w:t xml:space="preserve"> was removed. Despite these comments by Lord Wilberforce that pre-1898 cases should not be depended on due to a lack of reliability</w:t>
      </w:r>
      <w:r w:rsidR="00E2624D">
        <w:t>,</w:t>
      </w:r>
      <w:r w:rsidRPr="000F1425">
        <w:t xml:space="preserve"> this is exactly what the House of Lords did in </w:t>
      </w:r>
      <w:r w:rsidRPr="000F1425">
        <w:rPr>
          <w:i/>
          <w:iCs/>
        </w:rPr>
        <w:t xml:space="preserve">Howe </w:t>
      </w:r>
      <w:r w:rsidRPr="000F1425">
        <w:t xml:space="preserve">when they were persuaded to deny duress as a defence to murder by </w:t>
      </w:r>
      <w:r w:rsidR="00EA1EEA">
        <w:t xml:space="preserve">a </w:t>
      </w:r>
      <w:r w:rsidRPr="000F1425">
        <w:t>case</w:t>
      </w:r>
      <w:r w:rsidR="00E2624D">
        <w:t xml:space="preserve"> of </w:t>
      </w:r>
      <w:r w:rsidR="00E2624D">
        <w:rPr>
          <w:i/>
          <w:iCs/>
        </w:rPr>
        <w:t>Tyler</w:t>
      </w:r>
      <w:r w:rsidRPr="000F1425">
        <w:t xml:space="preserve"> that w</w:t>
      </w:r>
      <w:r w:rsidR="00EA1EEA">
        <w:t>as</w:t>
      </w:r>
      <w:r w:rsidRPr="000F1425">
        <w:t xml:space="preserve"> decided in 1834</w:t>
      </w:r>
      <w:r w:rsidR="00EA1EEA">
        <w:t>.</w:t>
      </w:r>
      <w:r w:rsidRPr="000F1425">
        <w:rPr>
          <w:rStyle w:val="FootnoteReference"/>
        </w:rPr>
        <w:footnoteReference w:id="56"/>
      </w:r>
      <w:r w:rsidR="00281C49">
        <w:t xml:space="preserve">  </w:t>
      </w:r>
      <w:r w:rsidR="00EA61D1">
        <w:t xml:space="preserve">Furthermore, as </w:t>
      </w:r>
      <w:r w:rsidR="00F54295">
        <w:t>argued</w:t>
      </w:r>
      <w:r w:rsidR="00EA61D1">
        <w:t xml:space="preserve"> above, of all the case authority available </w:t>
      </w:r>
      <w:r w:rsidR="00EA61D1" w:rsidRPr="00F82C1F">
        <w:rPr>
          <w:i/>
          <w:iCs/>
        </w:rPr>
        <w:t>Tyler</w:t>
      </w:r>
      <w:r w:rsidR="00EA61D1">
        <w:t xml:space="preserve"> is perhaps not the most convincing. As </w:t>
      </w:r>
      <w:proofErr w:type="spellStart"/>
      <w:r w:rsidR="00EA61D1">
        <w:t>Gearty</w:t>
      </w:r>
      <w:proofErr w:type="spellEnd"/>
      <w:r w:rsidR="00EA61D1">
        <w:t xml:space="preserve"> states </w:t>
      </w:r>
      <w:r w:rsidR="00F82C1F">
        <w:t xml:space="preserve">it should not have been followed in </w:t>
      </w:r>
      <w:r w:rsidR="00F82C1F">
        <w:rPr>
          <w:i/>
          <w:iCs/>
        </w:rPr>
        <w:t>Howe</w:t>
      </w:r>
      <w:r w:rsidR="00F82C1F">
        <w:t xml:space="preserve"> as it was out of date as it presumed that duress was a defence to no crimes.</w:t>
      </w:r>
      <w:r w:rsidR="00F82C1F">
        <w:rPr>
          <w:rStyle w:val="FootnoteReference"/>
        </w:rPr>
        <w:footnoteReference w:id="57"/>
      </w:r>
      <w:r w:rsidR="00EA61D1">
        <w:t xml:space="preserve"> </w:t>
      </w:r>
      <w:r w:rsidR="00281C49" w:rsidRPr="00EA61D1">
        <w:t>If</w:t>
      </w:r>
      <w:r w:rsidR="00281C49">
        <w:t xml:space="preserve"> it is accepted</w:t>
      </w:r>
      <w:r w:rsidR="00EA2F81">
        <w:t xml:space="preserve">, however, that earlier cases are relevant in deciding </w:t>
      </w:r>
      <w:r w:rsidR="006E45C7">
        <w:t xml:space="preserve">the applicability of duress, </w:t>
      </w:r>
      <w:r w:rsidR="002009BD">
        <w:rPr>
          <w:i/>
          <w:iCs/>
        </w:rPr>
        <w:t>Howe</w:t>
      </w:r>
      <w:r w:rsidR="003227F0">
        <w:t xml:space="preserve"> should have considered</w:t>
      </w:r>
      <w:r w:rsidR="003227F0">
        <w:rPr>
          <w:i/>
          <w:iCs/>
        </w:rPr>
        <w:t xml:space="preserve"> </w:t>
      </w:r>
      <w:r w:rsidR="003227F0">
        <w:t>that duress</w:t>
      </w:r>
      <w:r w:rsidR="002C310D">
        <w:t>, as discussed above,</w:t>
      </w:r>
      <w:r w:rsidR="003227F0">
        <w:t xml:space="preserve"> had historically been accepted </w:t>
      </w:r>
      <w:r w:rsidR="00235E38">
        <w:t xml:space="preserve">to the most heinous crime of </w:t>
      </w:r>
      <w:r w:rsidR="00201CEB">
        <w:t>treason</w:t>
      </w:r>
      <w:r w:rsidR="00235E38">
        <w:t xml:space="preserve"> and </w:t>
      </w:r>
      <w:r w:rsidR="00DA62D8">
        <w:t xml:space="preserve">that </w:t>
      </w:r>
      <w:r w:rsidR="00235E38">
        <w:t>there was no clear authority to deny it to murder.</w:t>
      </w:r>
    </w:p>
    <w:p w14:paraId="4A2A4614" w14:textId="77777777" w:rsidR="00281C49" w:rsidRDefault="00281C49" w:rsidP="00D8300F">
      <w:pPr>
        <w:spacing w:before="100" w:beforeAutospacing="1" w:after="100" w:afterAutospacing="1" w:line="360" w:lineRule="auto"/>
        <w:contextualSpacing/>
        <w:jc w:val="both"/>
      </w:pPr>
    </w:p>
    <w:p w14:paraId="7A70129D" w14:textId="6EC6A78A" w:rsidR="00D61986" w:rsidRDefault="00802E25" w:rsidP="005A3519">
      <w:pPr>
        <w:spacing w:before="100" w:beforeAutospacing="1" w:after="100" w:afterAutospacing="1" w:line="360" w:lineRule="auto"/>
        <w:contextualSpacing/>
        <w:jc w:val="both"/>
        <w:rPr>
          <w:rFonts w:eastAsia="Calibri"/>
        </w:rPr>
      </w:pPr>
      <w:r>
        <w:t xml:space="preserve">In coming to their decision in </w:t>
      </w:r>
      <w:r>
        <w:rPr>
          <w:i/>
          <w:iCs/>
        </w:rPr>
        <w:t xml:space="preserve">Howe </w:t>
      </w:r>
      <w:r>
        <w:t>t</w:t>
      </w:r>
      <w:r w:rsidR="005B6F5B">
        <w:t xml:space="preserve">he </w:t>
      </w:r>
      <w:r w:rsidR="00F54295">
        <w:t xml:space="preserve">House of Lords also </w:t>
      </w:r>
      <w:r w:rsidR="002636D2">
        <w:t>followed</w:t>
      </w:r>
      <w:r w:rsidR="00F54295">
        <w:t xml:space="preserve"> </w:t>
      </w:r>
      <w:r w:rsidR="002636D2">
        <w:rPr>
          <w:i/>
          <w:iCs/>
        </w:rPr>
        <w:t>Dudley and Stephens</w:t>
      </w:r>
      <w:r w:rsidR="00413764" w:rsidRPr="000F1425">
        <w:rPr>
          <w:i/>
        </w:rPr>
        <w:t>.</w:t>
      </w:r>
      <w:r w:rsidR="00413764" w:rsidRPr="000F1425">
        <w:rPr>
          <w:rStyle w:val="FootnoteReference"/>
        </w:rPr>
        <w:footnoteReference w:id="58"/>
      </w:r>
      <w:r w:rsidR="00A26811">
        <w:rPr>
          <w:i/>
        </w:rPr>
        <w:t xml:space="preserve"> </w:t>
      </w:r>
      <w:r w:rsidR="00724793">
        <w:rPr>
          <w:i/>
        </w:rPr>
        <w:t>Dudley and Stephens</w:t>
      </w:r>
      <w:r w:rsidR="00563F8E">
        <w:rPr>
          <w:i/>
        </w:rPr>
        <w:t xml:space="preserve">, </w:t>
      </w:r>
      <w:r w:rsidR="00563F8E">
        <w:rPr>
          <w:iCs/>
        </w:rPr>
        <w:t xml:space="preserve">the notorious case of </w:t>
      </w:r>
      <w:r>
        <w:rPr>
          <w:iCs/>
        </w:rPr>
        <w:t xml:space="preserve">two ship-wrecked </w:t>
      </w:r>
      <w:r w:rsidR="00563F8E">
        <w:rPr>
          <w:iCs/>
        </w:rPr>
        <w:t xml:space="preserve">sailors eating the cabin boy </w:t>
      </w:r>
      <w:proofErr w:type="gramStart"/>
      <w:r w:rsidR="00563F8E">
        <w:rPr>
          <w:iCs/>
        </w:rPr>
        <w:t>in order to</w:t>
      </w:r>
      <w:proofErr w:type="gramEnd"/>
      <w:r w:rsidR="00563F8E">
        <w:rPr>
          <w:iCs/>
        </w:rPr>
        <w:t xml:space="preserve"> survive,</w:t>
      </w:r>
      <w:r w:rsidR="00724793">
        <w:rPr>
          <w:iCs/>
        </w:rPr>
        <w:t xml:space="preserve"> </w:t>
      </w:r>
      <w:r w:rsidR="00CE301C">
        <w:rPr>
          <w:iCs/>
        </w:rPr>
        <w:t xml:space="preserve">depended on the defence of necessity </w:t>
      </w:r>
      <w:r w:rsidR="00724793">
        <w:rPr>
          <w:iCs/>
        </w:rPr>
        <w:t>whereas</w:t>
      </w:r>
      <w:r w:rsidR="00AE3191">
        <w:rPr>
          <w:iCs/>
        </w:rPr>
        <w:t xml:space="preserve"> in</w:t>
      </w:r>
      <w:r w:rsidR="00724793">
        <w:rPr>
          <w:iCs/>
        </w:rPr>
        <w:t xml:space="preserve"> </w:t>
      </w:r>
      <w:r w:rsidR="00724793">
        <w:rPr>
          <w:i/>
        </w:rPr>
        <w:t xml:space="preserve">Howe </w:t>
      </w:r>
      <w:r w:rsidR="00E209C6">
        <w:rPr>
          <w:iCs/>
        </w:rPr>
        <w:t xml:space="preserve">a defence of duress was used. </w:t>
      </w:r>
      <w:r w:rsidR="00FC22D0" w:rsidRPr="00A26811">
        <w:t xml:space="preserve">As </w:t>
      </w:r>
      <w:r w:rsidR="009D514D">
        <w:t>identified</w:t>
      </w:r>
      <w:r w:rsidR="00FC22D0" w:rsidRPr="00A26811">
        <w:t xml:space="preserve"> above the two defences have different theoretical underpinnings</w:t>
      </w:r>
      <w:r w:rsidR="00D61986">
        <w:t xml:space="preserve"> and thus the outcome of </w:t>
      </w:r>
      <w:r w:rsidR="00D61986">
        <w:rPr>
          <w:i/>
          <w:iCs/>
        </w:rPr>
        <w:t>Dudley and Stephens</w:t>
      </w:r>
      <w:r w:rsidR="00D61986">
        <w:t xml:space="preserve"> should not have been as persuasive on the outcome of </w:t>
      </w:r>
      <w:r w:rsidR="00D61986">
        <w:rPr>
          <w:i/>
          <w:iCs/>
        </w:rPr>
        <w:t>Howe</w:t>
      </w:r>
      <w:r w:rsidR="00D61986">
        <w:t xml:space="preserve"> as it appears to have been</w:t>
      </w:r>
      <w:r w:rsidR="00E209C6">
        <w:t xml:space="preserve">. As </w:t>
      </w:r>
      <w:r w:rsidR="00E209C6" w:rsidRPr="000F1425">
        <w:rPr>
          <w:rFonts w:eastAsia="Calibri"/>
        </w:rPr>
        <w:t xml:space="preserve">Walters </w:t>
      </w:r>
      <w:r w:rsidR="00E209C6" w:rsidRPr="00E209C6">
        <w:rPr>
          <w:rFonts w:eastAsia="Calibri"/>
        </w:rPr>
        <w:t>argues</w:t>
      </w:r>
      <w:r w:rsidR="00D61986">
        <w:rPr>
          <w:rFonts w:eastAsia="Calibri"/>
        </w:rPr>
        <w:t>,</w:t>
      </w:r>
      <w:r w:rsidR="00E209C6" w:rsidRPr="00E209C6">
        <w:rPr>
          <w:rFonts w:eastAsia="Calibri"/>
        </w:rPr>
        <w:t xml:space="preserve"> by holding the decision in </w:t>
      </w:r>
      <w:r w:rsidR="00E209C6" w:rsidRPr="00E209C6">
        <w:rPr>
          <w:rFonts w:eastAsia="Calibri"/>
          <w:i/>
          <w:iCs/>
        </w:rPr>
        <w:t xml:space="preserve">Dudley and Stephens </w:t>
      </w:r>
      <w:r w:rsidR="00E209C6" w:rsidRPr="00E209C6">
        <w:rPr>
          <w:rFonts w:eastAsia="Calibri"/>
        </w:rPr>
        <w:t xml:space="preserve">to be applicable in </w:t>
      </w:r>
      <w:r w:rsidR="00E209C6" w:rsidRPr="00E209C6">
        <w:rPr>
          <w:rFonts w:eastAsia="Calibri"/>
          <w:i/>
          <w:iCs/>
        </w:rPr>
        <w:t>Howe</w:t>
      </w:r>
      <w:r w:rsidR="00E209C6" w:rsidRPr="00E209C6">
        <w:rPr>
          <w:rFonts w:eastAsia="Calibri"/>
        </w:rPr>
        <w:t xml:space="preserve"> </w:t>
      </w:r>
      <w:r w:rsidR="00E209C6">
        <w:rPr>
          <w:rFonts w:eastAsia="Calibri"/>
        </w:rPr>
        <w:t xml:space="preserve">it </w:t>
      </w:r>
      <w:r w:rsidR="00E209C6" w:rsidRPr="00E209C6">
        <w:rPr>
          <w:rFonts w:eastAsia="Calibri"/>
        </w:rPr>
        <w:t>means that there is no distinction between justified killing under necessity in the former case and killing under the excuse of duress in the latter.</w:t>
      </w:r>
      <w:r w:rsidR="008B6149">
        <w:rPr>
          <w:rStyle w:val="FootnoteReference"/>
          <w:rFonts w:eastAsia="Calibri"/>
        </w:rPr>
        <w:footnoteReference w:id="59"/>
      </w:r>
      <w:r w:rsidR="009D514D">
        <w:rPr>
          <w:rFonts w:eastAsia="Calibri"/>
        </w:rPr>
        <w:t xml:space="preserve">  </w:t>
      </w:r>
    </w:p>
    <w:p w14:paraId="2E20A031" w14:textId="77777777" w:rsidR="00D61986" w:rsidRDefault="00D61986" w:rsidP="005A3519">
      <w:pPr>
        <w:spacing w:before="100" w:beforeAutospacing="1" w:after="100" w:afterAutospacing="1" w:line="360" w:lineRule="auto"/>
        <w:contextualSpacing/>
        <w:jc w:val="both"/>
        <w:rPr>
          <w:rFonts w:eastAsia="Calibri"/>
        </w:rPr>
      </w:pPr>
    </w:p>
    <w:p w14:paraId="68474C39" w14:textId="13023EB1" w:rsidR="005A3519" w:rsidRPr="000F1425" w:rsidRDefault="009D514D" w:rsidP="005A3519">
      <w:pPr>
        <w:spacing w:before="100" w:beforeAutospacing="1" w:after="100" w:afterAutospacing="1" w:line="360" w:lineRule="auto"/>
        <w:contextualSpacing/>
        <w:jc w:val="both"/>
      </w:pPr>
      <w:r>
        <w:rPr>
          <w:rFonts w:eastAsia="Calibri"/>
        </w:rPr>
        <w:t xml:space="preserve">Moreover, </w:t>
      </w:r>
      <w:r>
        <w:rPr>
          <w:rFonts w:eastAsia="Calibri"/>
          <w:i/>
          <w:iCs/>
        </w:rPr>
        <w:t xml:space="preserve">Dudley and Stephens </w:t>
      </w:r>
      <w:proofErr w:type="gramStart"/>
      <w:r w:rsidR="001C4CEA">
        <w:rPr>
          <w:rFonts w:eastAsia="Calibri"/>
        </w:rPr>
        <w:t>was</w:t>
      </w:r>
      <w:proofErr w:type="gramEnd"/>
      <w:r w:rsidR="001C4CEA">
        <w:rPr>
          <w:rFonts w:eastAsia="Calibri"/>
        </w:rPr>
        <w:t xml:space="preserve"> decided in Queen’s Bench Divisional Court</w:t>
      </w:r>
      <w:r w:rsidR="00EA7759">
        <w:rPr>
          <w:rFonts w:eastAsia="Calibri"/>
        </w:rPr>
        <w:t>, meaning that i</w:t>
      </w:r>
      <w:r w:rsidR="00EA7759" w:rsidRPr="00EA7759">
        <w:rPr>
          <w:rFonts w:eastAsia="Calibri"/>
        </w:rPr>
        <w:t>t</w:t>
      </w:r>
      <w:r w:rsidR="00FC22D0" w:rsidRPr="00EA7759">
        <w:t xml:space="preserve"> was only persuasive precedent</w:t>
      </w:r>
      <w:r w:rsidR="00F061A9">
        <w:t xml:space="preserve">. </w:t>
      </w:r>
      <w:r w:rsidR="00D87DF2">
        <w:t>As such, i</w:t>
      </w:r>
      <w:r w:rsidR="00F061A9">
        <w:t>t was</w:t>
      </w:r>
      <w:r w:rsidR="00FC22D0" w:rsidRPr="00EA7759">
        <w:t xml:space="preserve"> not binding on the House of Lords who could have chosen not to follow it without declaring </w:t>
      </w:r>
      <w:r w:rsidR="00FC22D0" w:rsidRPr="00EA7759">
        <w:rPr>
          <w:i/>
          <w:iCs/>
        </w:rPr>
        <w:t>Dudley and Stephens</w:t>
      </w:r>
      <w:r w:rsidR="00FC22D0" w:rsidRPr="00EA7759">
        <w:t xml:space="preserve"> bad law due to its lack of applicability.</w:t>
      </w:r>
      <w:r w:rsidR="00D3227A" w:rsidRPr="00EA7759">
        <w:rPr>
          <w:rStyle w:val="FootnoteReference"/>
        </w:rPr>
        <w:footnoteReference w:id="60"/>
      </w:r>
      <w:r w:rsidR="00FC22D0" w:rsidRPr="000F1425">
        <w:t xml:space="preserve"> </w:t>
      </w:r>
      <w:r w:rsidR="00D3227A">
        <w:t xml:space="preserve">As </w:t>
      </w:r>
      <w:r w:rsidR="000A3C60" w:rsidRPr="000F1425">
        <w:t xml:space="preserve">Walters </w:t>
      </w:r>
      <w:r w:rsidR="005D715B">
        <w:t>aptly states,</w:t>
      </w:r>
      <w:r w:rsidR="000A3C60" w:rsidRPr="000F1425">
        <w:t xml:space="preserve"> the House of Lords choosing to rely on a precedent that was made by an inferior court over a hundred years </w:t>
      </w:r>
      <w:r w:rsidR="000A3C60" w:rsidRPr="000F1425">
        <w:lastRenderedPageBreak/>
        <w:t>ago was ‘surprising’.</w:t>
      </w:r>
      <w:r w:rsidR="000A3C60" w:rsidRPr="000F1425">
        <w:rPr>
          <w:rStyle w:val="FootnoteReference"/>
        </w:rPr>
        <w:footnoteReference w:id="61"/>
      </w:r>
      <w:r w:rsidR="005A3519">
        <w:t xml:space="preserve"> </w:t>
      </w:r>
      <w:r w:rsidR="005A3519" w:rsidRPr="000F1425">
        <w:t xml:space="preserve">Furthermore, even if it was accepted that </w:t>
      </w:r>
      <w:r w:rsidR="005A3519" w:rsidRPr="000F1425">
        <w:rPr>
          <w:i/>
          <w:iCs/>
        </w:rPr>
        <w:t>Dudley and Stephens</w:t>
      </w:r>
      <w:r w:rsidR="005A3519" w:rsidRPr="000F1425">
        <w:rPr>
          <w:i/>
        </w:rPr>
        <w:t xml:space="preserve"> </w:t>
      </w:r>
      <w:r w:rsidR="005A3519" w:rsidRPr="000F1425">
        <w:t xml:space="preserve">was the correct precedent to follow in </w:t>
      </w:r>
      <w:r w:rsidR="005A3519" w:rsidRPr="000F1425">
        <w:rPr>
          <w:i/>
          <w:iCs/>
        </w:rPr>
        <w:t>Howe</w:t>
      </w:r>
      <w:r w:rsidR="005A3519" w:rsidRPr="000F1425">
        <w:t xml:space="preserve">, the more recent decision in </w:t>
      </w:r>
      <w:r w:rsidR="005A3519" w:rsidRPr="000F1425">
        <w:rPr>
          <w:i/>
          <w:iCs/>
        </w:rPr>
        <w:t>Re A</w:t>
      </w:r>
      <w:r w:rsidR="00142AA1" w:rsidRPr="001B525A">
        <w:rPr>
          <w:rStyle w:val="FootnoteReference"/>
        </w:rPr>
        <w:footnoteReference w:id="62"/>
      </w:r>
      <w:r w:rsidR="005A3519" w:rsidRPr="000F1425">
        <w:t xml:space="preserve"> </w:t>
      </w:r>
      <w:r w:rsidR="00E25B1C">
        <w:t xml:space="preserve">now </w:t>
      </w:r>
      <w:r w:rsidR="005A3519" w:rsidRPr="000F1425">
        <w:t>suggests that necessity could be a defence to murder</w:t>
      </w:r>
      <w:r w:rsidR="0044532B">
        <w:t>.</w:t>
      </w:r>
      <w:r w:rsidR="0044532B" w:rsidRPr="0044532B">
        <w:rPr>
          <w:rStyle w:val="FootnoteReference"/>
        </w:rPr>
        <w:t xml:space="preserve"> </w:t>
      </w:r>
      <w:r w:rsidR="0044532B" w:rsidRPr="000F1425">
        <w:rPr>
          <w:rStyle w:val="FootnoteReference"/>
        </w:rPr>
        <w:footnoteReference w:id="63"/>
      </w:r>
      <w:r w:rsidR="0044532B">
        <w:t xml:space="preserve">  </w:t>
      </w:r>
      <w:r w:rsidR="0044532B" w:rsidRPr="008F309C">
        <w:rPr>
          <w:highlight w:val="yellow"/>
        </w:rPr>
        <w:t>T</w:t>
      </w:r>
      <w:r w:rsidR="00165630" w:rsidRPr="008F309C">
        <w:rPr>
          <w:highlight w:val="yellow"/>
        </w:rPr>
        <w:t>hus</w:t>
      </w:r>
      <w:r w:rsidR="0044532B" w:rsidRPr="008F309C">
        <w:rPr>
          <w:highlight w:val="yellow"/>
        </w:rPr>
        <w:t>,</w:t>
      </w:r>
      <w:r w:rsidR="00165630" w:rsidRPr="008F309C">
        <w:rPr>
          <w:highlight w:val="yellow"/>
        </w:rPr>
        <w:t xml:space="preserve"> </w:t>
      </w:r>
      <w:r w:rsidR="004210A1" w:rsidRPr="008F309C">
        <w:rPr>
          <w:highlight w:val="yellow"/>
        </w:rPr>
        <w:t xml:space="preserve">whilst it is acknowledged that this was a </w:t>
      </w:r>
      <w:r w:rsidR="00CC12DA" w:rsidRPr="008F309C">
        <w:rPr>
          <w:highlight w:val="yellow"/>
        </w:rPr>
        <w:t xml:space="preserve">Court of Appeal </w:t>
      </w:r>
      <w:r w:rsidR="004210A1" w:rsidRPr="008F309C">
        <w:rPr>
          <w:highlight w:val="yellow"/>
        </w:rPr>
        <w:t xml:space="preserve">civil </w:t>
      </w:r>
      <w:r w:rsidR="001A45C5" w:rsidRPr="008F309C">
        <w:rPr>
          <w:highlight w:val="yellow"/>
        </w:rPr>
        <w:t>decision</w:t>
      </w:r>
      <w:r w:rsidR="00FF3EAF" w:rsidRPr="008F309C">
        <w:rPr>
          <w:highlight w:val="yellow"/>
        </w:rPr>
        <w:t xml:space="preserve"> </w:t>
      </w:r>
      <w:r w:rsidR="00CC12DA" w:rsidRPr="008F309C">
        <w:rPr>
          <w:highlight w:val="yellow"/>
        </w:rPr>
        <w:t>that</w:t>
      </w:r>
      <w:r w:rsidR="004210A1" w:rsidRPr="008F309C">
        <w:rPr>
          <w:highlight w:val="yellow"/>
        </w:rPr>
        <w:t xml:space="preserve"> considered the defence of necessity</w:t>
      </w:r>
      <w:r w:rsidR="00CC12DA" w:rsidRPr="008F309C">
        <w:rPr>
          <w:highlight w:val="yellow"/>
        </w:rPr>
        <w:t xml:space="preserve">, which only </w:t>
      </w:r>
      <w:r w:rsidR="001A45C5" w:rsidRPr="008F309C">
        <w:rPr>
          <w:highlight w:val="yellow"/>
        </w:rPr>
        <w:t xml:space="preserve">provides </w:t>
      </w:r>
      <w:r w:rsidR="00CC12DA" w:rsidRPr="008F309C">
        <w:rPr>
          <w:highlight w:val="yellow"/>
        </w:rPr>
        <w:t>persuasive authority,</w:t>
      </w:r>
      <w:r w:rsidR="004210A1" w:rsidRPr="008F309C">
        <w:rPr>
          <w:highlight w:val="yellow"/>
        </w:rPr>
        <w:t xml:space="preserve"> </w:t>
      </w:r>
      <w:r w:rsidR="003E66AE" w:rsidRPr="008F309C">
        <w:rPr>
          <w:highlight w:val="yellow"/>
        </w:rPr>
        <w:t>i</w:t>
      </w:r>
      <w:r w:rsidR="004210A1" w:rsidRPr="008F309C">
        <w:rPr>
          <w:highlight w:val="yellow"/>
        </w:rPr>
        <w:t xml:space="preserve">t further </w:t>
      </w:r>
      <w:r w:rsidR="00165630" w:rsidRPr="008F309C">
        <w:rPr>
          <w:highlight w:val="yellow"/>
        </w:rPr>
        <w:t>cast</w:t>
      </w:r>
      <w:r w:rsidR="004210A1" w:rsidRPr="008F309C">
        <w:rPr>
          <w:highlight w:val="yellow"/>
        </w:rPr>
        <w:t>s</w:t>
      </w:r>
      <w:r w:rsidR="00165630" w:rsidRPr="008F309C">
        <w:rPr>
          <w:highlight w:val="yellow"/>
        </w:rPr>
        <w:t xml:space="preserve"> doubt on whether th</w:t>
      </w:r>
      <w:r w:rsidR="009230C8" w:rsidRPr="008F309C">
        <w:rPr>
          <w:highlight w:val="yellow"/>
        </w:rPr>
        <w:t xml:space="preserve">e door to allowing a defence to those who kill </w:t>
      </w:r>
      <w:r w:rsidR="00E54A23" w:rsidRPr="008F309C">
        <w:rPr>
          <w:highlight w:val="yellow"/>
        </w:rPr>
        <w:t>in order to save life</w:t>
      </w:r>
      <w:r w:rsidR="00465106" w:rsidRPr="008F309C">
        <w:rPr>
          <w:highlight w:val="yellow"/>
        </w:rPr>
        <w:t xml:space="preserve"> is</w:t>
      </w:r>
      <w:r w:rsidR="00747979" w:rsidRPr="008F309C">
        <w:rPr>
          <w:highlight w:val="yellow"/>
        </w:rPr>
        <w:t xml:space="preserve"> now</w:t>
      </w:r>
      <w:r w:rsidR="00CC33DB" w:rsidRPr="008F309C">
        <w:rPr>
          <w:highlight w:val="yellow"/>
        </w:rPr>
        <w:t xml:space="preserve"> as</w:t>
      </w:r>
      <w:r w:rsidR="00465106" w:rsidRPr="008F309C">
        <w:rPr>
          <w:highlight w:val="yellow"/>
        </w:rPr>
        <w:t xml:space="preserve"> firmly shut</w:t>
      </w:r>
      <w:r w:rsidR="000C4E4B" w:rsidRPr="008F309C">
        <w:rPr>
          <w:highlight w:val="yellow"/>
        </w:rPr>
        <w:t xml:space="preserve"> as previously supposed following </w:t>
      </w:r>
      <w:r w:rsidR="000C4E4B" w:rsidRPr="008F309C">
        <w:rPr>
          <w:i/>
          <w:iCs/>
          <w:highlight w:val="yellow"/>
        </w:rPr>
        <w:t>Dudley and Stephens</w:t>
      </w:r>
      <w:r w:rsidR="00465106" w:rsidRPr="008F309C">
        <w:rPr>
          <w:highlight w:val="yellow"/>
        </w:rPr>
        <w:t>.</w:t>
      </w:r>
    </w:p>
    <w:p w14:paraId="52278D24" w14:textId="12442377" w:rsidR="000A3C60" w:rsidRDefault="000A3C60" w:rsidP="00EA7759">
      <w:pPr>
        <w:tabs>
          <w:tab w:val="left" w:pos="0"/>
        </w:tabs>
        <w:spacing w:before="100" w:beforeAutospacing="1" w:after="100" w:afterAutospacing="1" w:line="360" w:lineRule="auto"/>
        <w:contextualSpacing/>
        <w:jc w:val="both"/>
      </w:pPr>
    </w:p>
    <w:p w14:paraId="7D46349A" w14:textId="446E2AA2" w:rsidR="00466E31" w:rsidRDefault="007E4D6E" w:rsidP="00D8300F">
      <w:pPr>
        <w:spacing w:before="100" w:beforeAutospacing="1" w:after="100" w:afterAutospacing="1" w:line="360" w:lineRule="auto"/>
        <w:contextualSpacing/>
        <w:jc w:val="both"/>
      </w:pPr>
      <w:r>
        <w:t>I</w:t>
      </w:r>
      <w:r w:rsidR="002D001B">
        <w:t xml:space="preserve">n </w:t>
      </w:r>
      <w:r w:rsidR="00FC22D0" w:rsidRPr="000F1425">
        <w:rPr>
          <w:i/>
          <w:iCs/>
        </w:rPr>
        <w:t>Howe</w:t>
      </w:r>
      <w:r w:rsidR="00FC22D0" w:rsidRPr="000F1425">
        <w:t xml:space="preserve"> </w:t>
      </w:r>
      <w:r w:rsidR="002D001B">
        <w:t xml:space="preserve">the Lords </w:t>
      </w:r>
      <w:r w:rsidR="00E25B1C">
        <w:t xml:space="preserve">also </w:t>
      </w:r>
      <w:r w:rsidR="00FC22D0" w:rsidRPr="000F1425">
        <w:t xml:space="preserve">referred to the decision in </w:t>
      </w:r>
      <w:r w:rsidR="00FC22D0" w:rsidRPr="000F1425">
        <w:rPr>
          <w:i/>
          <w:iCs/>
        </w:rPr>
        <w:t>Abbott v The Queen</w:t>
      </w:r>
      <w:r w:rsidR="00F958C9">
        <w:rPr>
          <w:i/>
          <w:iCs/>
        </w:rPr>
        <w:t xml:space="preserve"> </w:t>
      </w:r>
      <w:r w:rsidR="00F958C9">
        <w:t xml:space="preserve">when the </w:t>
      </w:r>
      <w:r w:rsidR="00032412">
        <w:t>Priv</w:t>
      </w:r>
      <w:r w:rsidR="00FB3981">
        <w:t>y Council decided that duress was not available to</w:t>
      </w:r>
      <w:r w:rsidR="006B3257">
        <w:t xml:space="preserve"> the principal in a murder case</w:t>
      </w:r>
      <w:r w:rsidR="00FB3981">
        <w:t>.</w:t>
      </w:r>
      <w:r w:rsidR="00FC22D0" w:rsidRPr="000F1425">
        <w:rPr>
          <w:rStyle w:val="FootnoteReference"/>
        </w:rPr>
        <w:footnoteReference w:id="64"/>
      </w:r>
      <w:r w:rsidR="00FC22D0" w:rsidRPr="000F1425">
        <w:t xml:space="preserve"> </w:t>
      </w:r>
      <w:r w:rsidR="002D001B">
        <w:t xml:space="preserve">Again, </w:t>
      </w:r>
      <w:r w:rsidR="00FC22D0" w:rsidRPr="000F1425">
        <w:rPr>
          <w:i/>
          <w:iCs/>
        </w:rPr>
        <w:t xml:space="preserve">Abbott </w:t>
      </w:r>
      <w:r w:rsidR="0053733B">
        <w:t>wa</w:t>
      </w:r>
      <w:r w:rsidR="00FC22D0" w:rsidRPr="000F1425">
        <w:t>s only persuasive authority</w:t>
      </w:r>
      <w:r w:rsidR="002D001B">
        <w:t>, which</w:t>
      </w:r>
      <w:r>
        <w:t xml:space="preserve"> again</w:t>
      </w:r>
      <w:r w:rsidR="00FC22D0" w:rsidRPr="000F1425">
        <w:t xml:space="preserve"> the House of Lords could have chosen to ignore.</w:t>
      </w:r>
      <w:r w:rsidR="009A0969">
        <w:t xml:space="preserve">  Just five years after </w:t>
      </w:r>
      <w:r w:rsidR="009A0969">
        <w:rPr>
          <w:i/>
          <w:iCs/>
        </w:rPr>
        <w:t>Abbott</w:t>
      </w:r>
      <w:r w:rsidR="009A0969">
        <w:t xml:space="preserve"> in </w:t>
      </w:r>
      <w:r w:rsidR="009A0969">
        <w:rPr>
          <w:i/>
          <w:iCs/>
        </w:rPr>
        <w:t>R v Graham</w:t>
      </w:r>
      <w:r w:rsidR="00ED14ED">
        <w:t xml:space="preserve"> </w:t>
      </w:r>
      <w:r w:rsidR="00EA5D23">
        <w:t xml:space="preserve">the Court of Appeal were faced </w:t>
      </w:r>
      <w:r w:rsidR="000D0E7C">
        <w:t>with determining the definition for duress.</w:t>
      </w:r>
      <w:r w:rsidR="000D0E7C">
        <w:rPr>
          <w:rStyle w:val="FootnoteReference"/>
        </w:rPr>
        <w:footnoteReference w:id="65"/>
      </w:r>
      <w:r w:rsidR="00EC1301">
        <w:t xml:space="preserve"> </w:t>
      </w:r>
      <w:r w:rsidR="009E6D48">
        <w:t>T</w:t>
      </w:r>
      <w:r w:rsidR="00F7021D">
        <w:t xml:space="preserve">he defendant </w:t>
      </w:r>
      <w:r w:rsidR="00BF2BBE">
        <w:t>was tried for</w:t>
      </w:r>
      <w:r w:rsidR="00F7021D">
        <w:t xml:space="preserve"> of murder </w:t>
      </w:r>
      <w:r w:rsidR="00025C66">
        <w:t xml:space="preserve">as a principal </w:t>
      </w:r>
      <w:r w:rsidR="00600D8F">
        <w:t xml:space="preserve">after assisting his homosexual partner </w:t>
      </w:r>
      <w:r w:rsidR="00DC5970">
        <w:t>to kill</w:t>
      </w:r>
      <w:r w:rsidR="00600D8F">
        <w:t xml:space="preserve"> his wife</w:t>
      </w:r>
      <w:r w:rsidR="009E6D48">
        <w:t>.  Interestingly,</w:t>
      </w:r>
      <w:r w:rsidR="004E0024">
        <w:t xml:space="preserve"> </w:t>
      </w:r>
      <w:r w:rsidR="00600D8F">
        <w:t xml:space="preserve">the position in </w:t>
      </w:r>
      <w:r w:rsidR="00600D8F">
        <w:rPr>
          <w:i/>
          <w:iCs/>
        </w:rPr>
        <w:t xml:space="preserve">Abbott </w:t>
      </w:r>
      <w:r w:rsidR="00600D8F">
        <w:t>was not followed as</w:t>
      </w:r>
      <w:r w:rsidR="004E0024">
        <w:t xml:space="preserve"> the prosecution </w:t>
      </w:r>
      <w:r w:rsidR="00600D8F">
        <w:t>did</w:t>
      </w:r>
      <w:r w:rsidR="004E0024">
        <w:t xml:space="preserve"> </w:t>
      </w:r>
      <w:r w:rsidR="000C0071">
        <w:t>not argue</w:t>
      </w:r>
      <w:r w:rsidR="005411B1">
        <w:t>, nor the did the Court of Appeal examine,</w:t>
      </w:r>
      <w:r w:rsidR="000C0071">
        <w:t xml:space="preserve"> that the defence was unavailable</w:t>
      </w:r>
      <w:r w:rsidR="00FE5652">
        <w:t xml:space="preserve"> to a charge of murder</w:t>
      </w:r>
      <w:r w:rsidR="000C0071">
        <w:t>.</w:t>
      </w:r>
      <w:r w:rsidR="00FE5652">
        <w:rPr>
          <w:rStyle w:val="FootnoteReference"/>
        </w:rPr>
        <w:footnoteReference w:id="66"/>
      </w:r>
      <w:r w:rsidR="005411B1">
        <w:t xml:space="preserve"> </w:t>
      </w:r>
    </w:p>
    <w:p w14:paraId="4CA8F292" w14:textId="77777777" w:rsidR="00466E31" w:rsidRDefault="00466E31" w:rsidP="00D8300F">
      <w:pPr>
        <w:spacing w:before="100" w:beforeAutospacing="1" w:after="100" w:afterAutospacing="1" w:line="360" w:lineRule="auto"/>
        <w:contextualSpacing/>
        <w:jc w:val="both"/>
      </w:pPr>
    </w:p>
    <w:p w14:paraId="3AFD6B3C" w14:textId="5C809BB3" w:rsidR="00D8300F" w:rsidRPr="000F1425" w:rsidRDefault="00FC22D0" w:rsidP="00466E31">
      <w:pPr>
        <w:spacing w:before="100" w:beforeAutospacing="1" w:after="100" w:afterAutospacing="1" w:line="360" w:lineRule="auto"/>
        <w:contextualSpacing/>
      </w:pPr>
      <w:r w:rsidRPr="000F1425">
        <w:t>Equally strong persuasive authority</w:t>
      </w:r>
      <w:r w:rsidR="00BF2BBE">
        <w:t xml:space="preserve">, that the House of Lords </w:t>
      </w:r>
      <w:r w:rsidR="00466E31">
        <w:t xml:space="preserve">could have followed </w:t>
      </w:r>
      <w:r w:rsidR="00BF2BBE">
        <w:t xml:space="preserve">in </w:t>
      </w:r>
      <w:r w:rsidR="00BF2BBE">
        <w:rPr>
          <w:i/>
          <w:iCs/>
        </w:rPr>
        <w:t>Howe</w:t>
      </w:r>
      <w:r w:rsidR="00466E31" w:rsidRPr="00466E31">
        <w:t>,</w:t>
      </w:r>
      <w:r w:rsidR="00BF2BBE">
        <w:rPr>
          <w:i/>
          <w:iCs/>
        </w:rPr>
        <w:t xml:space="preserve"> </w:t>
      </w:r>
      <w:r w:rsidR="00E25B1C">
        <w:t>was provided</w:t>
      </w:r>
      <w:r w:rsidRPr="000F1425">
        <w:t xml:space="preserve"> from the </w:t>
      </w:r>
      <w:r w:rsidRPr="000F1425">
        <w:rPr>
          <w:i/>
          <w:iCs/>
        </w:rPr>
        <w:t>obiter</w:t>
      </w:r>
      <w:r w:rsidRPr="000F1425">
        <w:rPr>
          <w:i/>
        </w:rPr>
        <w:t xml:space="preserve"> </w:t>
      </w:r>
      <w:r w:rsidRPr="000F1425">
        <w:t xml:space="preserve">comments </w:t>
      </w:r>
      <w:r w:rsidR="007E4D6E">
        <w:t xml:space="preserve">in </w:t>
      </w:r>
      <w:r w:rsidRPr="000F1425">
        <w:rPr>
          <w:i/>
          <w:iCs/>
        </w:rPr>
        <w:t>Lynch</w:t>
      </w:r>
      <w:r w:rsidR="007F7A58">
        <w:rPr>
          <w:i/>
          <w:iCs/>
        </w:rPr>
        <w:t xml:space="preserve">.  </w:t>
      </w:r>
      <w:r w:rsidR="00466E31">
        <w:t xml:space="preserve">In </w:t>
      </w:r>
      <w:r w:rsidR="00466E31">
        <w:rPr>
          <w:i/>
          <w:iCs/>
        </w:rPr>
        <w:t>Lynch</w:t>
      </w:r>
      <w:r w:rsidR="00466E31">
        <w:t xml:space="preserve"> the House of</w:t>
      </w:r>
      <w:r w:rsidR="007F7A58">
        <w:t xml:space="preserve"> Lords not only held that</w:t>
      </w:r>
      <w:r w:rsidR="00E25B1C">
        <w:t xml:space="preserve"> d</w:t>
      </w:r>
      <w:r w:rsidR="00E351C1">
        <w:t xml:space="preserve">uress was allowed </w:t>
      </w:r>
      <w:r w:rsidR="00AF1BC5">
        <w:t>to a secondary part</w:t>
      </w:r>
      <w:r w:rsidR="007F7A58">
        <w:t>y</w:t>
      </w:r>
      <w:r w:rsidR="00AF1BC5">
        <w:t xml:space="preserve"> to murder</w:t>
      </w:r>
      <w:r w:rsidR="007F7A58">
        <w:t>, but</w:t>
      </w:r>
      <w:r w:rsidRPr="000F1425">
        <w:t xml:space="preserve"> Lords Wilberforce and Edmund-Davies (who formed part of the majority) </w:t>
      </w:r>
      <w:r w:rsidR="007F7A58">
        <w:t xml:space="preserve">also </w:t>
      </w:r>
      <w:r w:rsidRPr="000F1425">
        <w:t>stated</w:t>
      </w:r>
      <w:r w:rsidR="00AF1BC5">
        <w:t xml:space="preserve"> </w:t>
      </w:r>
      <w:r w:rsidR="00AF1BC5" w:rsidRPr="00AF1BC5">
        <w:rPr>
          <w:i/>
          <w:iCs/>
        </w:rPr>
        <w:t>obiter</w:t>
      </w:r>
      <w:r w:rsidRPr="000F1425">
        <w:t xml:space="preserve"> that duress could be a defence to</w:t>
      </w:r>
      <w:r w:rsidR="002C672A">
        <w:t xml:space="preserve"> principals who committed murder under duress;</w:t>
      </w:r>
      <w:r w:rsidRPr="000F1425">
        <w:rPr>
          <w:rStyle w:val="FootnoteReference"/>
        </w:rPr>
        <w:footnoteReference w:id="67"/>
      </w:r>
      <w:r w:rsidRPr="000F1425">
        <w:t xml:space="preserve"> comments that they both repeated in their dissenting judgments in </w:t>
      </w:r>
      <w:r w:rsidRPr="000F1425">
        <w:rPr>
          <w:i/>
          <w:iCs/>
        </w:rPr>
        <w:t>Abbott</w:t>
      </w:r>
      <w:r w:rsidRPr="000F1425">
        <w:rPr>
          <w:i/>
        </w:rPr>
        <w:t>.</w:t>
      </w:r>
      <w:r w:rsidRPr="000F1425">
        <w:rPr>
          <w:rStyle w:val="FootnoteReference"/>
        </w:rPr>
        <w:footnoteReference w:id="68"/>
      </w:r>
      <w:r w:rsidRPr="000F1425">
        <w:t xml:space="preserve">  </w:t>
      </w:r>
    </w:p>
    <w:p w14:paraId="6F3D7F7E" w14:textId="77777777" w:rsidR="00D8300F" w:rsidRPr="000F1425" w:rsidRDefault="00D8300F" w:rsidP="00D8300F">
      <w:pPr>
        <w:spacing w:before="100" w:beforeAutospacing="1" w:after="100" w:afterAutospacing="1" w:line="360" w:lineRule="auto"/>
        <w:contextualSpacing/>
        <w:jc w:val="both"/>
      </w:pPr>
    </w:p>
    <w:p w14:paraId="658DBD9E" w14:textId="02699CF8" w:rsidR="00FC22D0" w:rsidRPr="000F1425" w:rsidRDefault="00FC22D0" w:rsidP="00574EAB">
      <w:pPr>
        <w:spacing w:line="360" w:lineRule="auto"/>
        <w:jc w:val="both"/>
      </w:pPr>
      <w:r w:rsidRPr="000F1425">
        <w:t>In</w:t>
      </w:r>
      <w:r w:rsidR="00BE6395">
        <w:t xml:space="preserve"> addition to the precedent that was considered in </w:t>
      </w:r>
      <w:r w:rsidR="00BE6395">
        <w:rPr>
          <w:i/>
          <w:iCs/>
        </w:rPr>
        <w:t>Howe,</w:t>
      </w:r>
      <w:r w:rsidRPr="000F1425">
        <w:t xml:space="preserve"> the House of Lords </w:t>
      </w:r>
      <w:r w:rsidR="00BE6395">
        <w:t xml:space="preserve">also </w:t>
      </w:r>
      <w:r w:rsidR="00165A59">
        <w:t xml:space="preserve">referred to </w:t>
      </w:r>
      <w:r w:rsidRPr="000F1425">
        <w:t>writings of both Hale</w:t>
      </w:r>
      <w:r w:rsidRPr="000F1425">
        <w:rPr>
          <w:rStyle w:val="FootnoteReference"/>
        </w:rPr>
        <w:footnoteReference w:id="69"/>
      </w:r>
      <w:r w:rsidRPr="000F1425">
        <w:t xml:space="preserve"> and East</w:t>
      </w:r>
      <w:r w:rsidR="00844D15" w:rsidRPr="000F1425">
        <w:t>.</w:t>
      </w:r>
      <w:r w:rsidRPr="000F1425">
        <w:rPr>
          <w:rStyle w:val="FootnoteReference"/>
        </w:rPr>
        <w:footnoteReference w:id="70"/>
      </w:r>
      <w:r w:rsidR="00165A59">
        <w:t xml:space="preserve"> </w:t>
      </w:r>
      <w:r w:rsidR="00165A59" w:rsidRPr="000001D6">
        <w:t xml:space="preserve">Hale opined that the defence should not be available to murder even when a writ </w:t>
      </w:r>
      <w:r w:rsidR="00165A59" w:rsidRPr="000001D6">
        <w:rPr>
          <w:i/>
          <w:iCs/>
        </w:rPr>
        <w:t xml:space="preserve">de </w:t>
      </w:r>
      <w:proofErr w:type="spellStart"/>
      <w:r w:rsidR="00165A59" w:rsidRPr="000001D6">
        <w:rPr>
          <w:i/>
          <w:iCs/>
        </w:rPr>
        <w:t>securitae</w:t>
      </w:r>
      <w:proofErr w:type="spellEnd"/>
      <w:r w:rsidR="00165A59" w:rsidRPr="000001D6">
        <w:rPr>
          <w:i/>
          <w:iCs/>
        </w:rPr>
        <w:t xml:space="preserve"> </w:t>
      </w:r>
      <w:proofErr w:type="spellStart"/>
      <w:r w:rsidR="00165A59" w:rsidRPr="000001D6">
        <w:rPr>
          <w:i/>
          <w:iCs/>
        </w:rPr>
        <w:t>pacis</w:t>
      </w:r>
      <w:proofErr w:type="spellEnd"/>
      <w:r w:rsidR="00165A59" w:rsidRPr="000001D6">
        <w:t xml:space="preserve"> was not available as the defendant “ought rather die himself than kill an innocent”.</w:t>
      </w:r>
      <w:r w:rsidR="00165A59" w:rsidRPr="000001D6">
        <w:rPr>
          <w:vertAlign w:val="superscript"/>
        </w:rPr>
        <w:footnoteReference w:id="71"/>
      </w:r>
      <w:r w:rsidR="002857AB">
        <w:t xml:space="preserve"> </w:t>
      </w:r>
      <w:r w:rsidR="003170DE">
        <w:t xml:space="preserve">Despite this statement not being </w:t>
      </w:r>
      <w:r w:rsidR="00880403">
        <w:t>based on authority,</w:t>
      </w:r>
      <w:r w:rsidR="0039631B">
        <w:t xml:space="preserve"> as none existed,</w:t>
      </w:r>
      <w:r w:rsidR="00880403">
        <w:t xml:space="preserve"> it</w:t>
      </w:r>
      <w:r w:rsidR="007E49F4">
        <w:t xml:space="preserve"> was used in </w:t>
      </w:r>
      <w:r w:rsidR="007E49F4">
        <w:rPr>
          <w:i/>
          <w:iCs/>
        </w:rPr>
        <w:t xml:space="preserve">Howe </w:t>
      </w:r>
      <w:r w:rsidR="007E49F4">
        <w:t>to</w:t>
      </w:r>
      <w:r w:rsidR="002857AB">
        <w:t xml:space="preserve"> </w:t>
      </w:r>
      <w:r w:rsidR="00A81BA4">
        <w:t>strongly influence the way the defence of duress operates today</w:t>
      </w:r>
      <w:r w:rsidR="00B46F34" w:rsidRPr="00B46F34">
        <w:t>.</w:t>
      </w:r>
      <w:r w:rsidR="00C13364" w:rsidRPr="00DB17D0">
        <w:t xml:space="preserve"> </w:t>
      </w:r>
      <w:r w:rsidR="00165A59" w:rsidRPr="00DB17D0">
        <w:t>East</w:t>
      </w:r>
      <w:r w:rsidR="00C13364" w:rsidRPr="00DB17D0">
        <w:t xml:space="preserve">, another influential </w:t>
      </w:r>
      <w:proofErr w:type="gramStart"/>
      <w:r w:rsidR="00C13364" w:rsidRPr="00DB17D0">
        <w:t>writer</w:t>
      </w:r>
      <w:proofErr w:type="gramEnd"/>
      <w:r w:rsidR="00C13364" w:rsidRPr="00DB17D0">
        <w:t xml:space="preserve"> and judge</w:t>
      </w:r>
      <w:r w:rsidR="00874ABD" w:rsidRPr="00DB17D0">
        <w:t xml:space="preserve"> during the </w:t>
      </w:r>
      <w:r w:rsidR="006B5BD3" w:rsidRPr="00DB17D0">
        <w:t>time of duress’s historical development</w:t>
      </w:r>
      <w:r w:rsidR="00C13364" w:rsidRPr="00DB17D0">
        <w:t>,</w:t>
      </w:r>
      <w:r w:rsidR="00165A59" w:rsidRPr="00DB17D0">
        <w:t xml:space="preserve"> also consider</w:t>
      </w:r>
      <w:r w:rsidR="00C13364" w:rsidRPr="00DB17D0">
        <w:t>ed</w:t>
      </w:r>
      <w:r w:rsidR="00165A59" w:rsidRPr="00DB17D0">
        <w:t xml:space="preserve"> that there </w:t>
      </w:r>
      <w:r w:rsidR="004C5560">
        <w:t>sh</w:t>
      </w:r>
      <w:r w:rsidR="00165A59" w:rsidRPr="00DB17D0">
        <w:t>ould be no defence of duress to murder</w:t>
      </w:r>
      <w:r w:rsidR="007E49F4">
        <w:t>.</w:t>
      </w:r>
      <w:r w:rsidR="00165A59" w:rsidRPr="00DB17D0">
        <w:rPr>
          <w:vertAlign w:val="superscript"/>
        </w:rPr>
        <w:footnoteReference w:id="72"/>
      </w:r>
      <w:r w:rsidR="00165A59" w:rsidRPr="00DB17D0">
        <w:t xml:space="preserve"> East</w:t>
      </w:r>
      <w:r w:rsidR="00574EAB">
        <w:t xml:space="preserve">, however, </w:t>
      </w:r>
      <w:r w:rsidR="00165A59" w:rsidRPr="00DB17D0">
        <w:t>continues to say that duress may merit consideration when punishing the defendant.</w:t>
      </w:r>
      <w:r w:rsidR="00165A59" w:rsidRPr="00DB17D0">
        <w:rPr>
          <w:vertAlign w:val="superscript"/>
        </w:rPr>
        <w:footnoteReference w:id="73"/>
      </w:r>
      <w:r w:rsidR="00165A59" w:rsidRPr="00DB17D0">
        <w:t xml:space="preserve"> Th</w:t>
      </w:r>
      <w:r w:rsidR="00EC5217">
        <w:t>is</w:t>
      </w:r>
      <w:r w:rsidR="00165A59" w:rsidRPr="00DB17D0">
        <w:t xml:space="preserve"> suggest</w:t>
      </w:r>
      <w:r w:rsidR="00EC5217">
        <w:t>s</w:t>
      </w:r>
      <w:r w:rsidR="00165A59" w:rsidRPr="00DB17D0">
        <w:t xml:space="preserve"> that East did not envisage a complete rejection of duress when the defendant had killed.</w:t>
      </w:r>
      <w:r w:rsidR="00447BD0">
        <w:t xml:space="preserve"> </w:t>
      </w:r>
      <w:r w:rsidR="00574EAB">
        <w:t xml:space="preserve">Moreover, </w:t>
      </w:r>
      <w:r w:rsidR="00447BD0">
        <w:t>like Hale, East did not</w:t>
      </w:r>
      <w:r w:rsidRPr="000F1425">
        <w:t xml:space="preserve"> reference</w:t>
      </w:r>
      <w:r w:rsidR="00447BD0">
        <w:t xml:space="preserve"> </w:t>
      </w:r>
      <w:r w:rsidRPr="000F1425">
        <w:t>any precedent</w:t>
      </w:r>
      <w:r w:rsidR="00447BD0">
        <w:t xml:space="preserve"> </w:t>
      </w:r>
      <w:r w:rsidR="007E49F4">
        <w:t>as authority for duress being no defence to murder.</w:t>
      </w:r>
      <w:r w:rsidR="0036508D">
        <w:t xml:space="preserve">  </w:t>
      </w:r>
      <w:r w:rsidR="0036508D" w:rsidRPr="008F309C">
        <w:rPr>
          <w:highlight w:val="yellow"/>
        </w:rPr>
        <w:t>Therefore, arguably</w:t>
      </w:r>
      <w:r w:rsidR="008F309C">
        <w:rPr>
          <w:highlight w:val="yellow"/>
        </w:rPr>
        <w:t>,</w:t>
      </w:r>
      <w:r w:rsidR="0036508D" w:rsidRPr="008F309C">
        <w:rPr>
          <w:highlight w:val="yellow"/>
        </w:rPr>
        <w:t xml:space="preserve"> </w:t>
      </w:r>
      <w:r w:rsidR="00A32F7E" w:rsidRPr="008F309C">
        <w:rPr>
          <w:highlight w:val="yellow"/>
        </w:rPr>
        <w:t xml:space="preserve">the writings of East and Hale </w:t>
      </w:r>
      <w:r w:rsidR="00EE3CDA" w:rsidRPr="008F309C">
        <w:rPr>
          <w:highlight w:val="yellow"/>
        </w:rPr>
        <w:t>should not have been relied upon</w:t>
      </w:r>
      <w:r w:rsidR="00A02682" w:rsidRPr="008F309C">
        <w:rPr>
          <w:highlight w:val="yellow"/>
        </w:rPr>
        <w:t xml:space="preserve"> so heavily</w:t>
      </w:r>
      <w:r w:rsidR="00EE3CDA" w:rsidRPr="008F309C">
        <w:rPr>
          <w:highlight w:val="yellow"/>
        </w:rPr>
        <w:t xml:space="preserve"> to make such a significant decision of denying duress to murder.</w:t>
      </w:r>
    </w:p>
    <w:p w14:paraId="2E24F492" w14:textId="77777777" w:rsidR="00D8300F" w:rsidRPr="000F1425" w:rsidRDefault="00D8300F" w:rsidP="00D8300F">
      <w:pPr>
        <w:tabs>
          <w:tab w:val="left" w:pos="0"/>
        </w:tabs>
        <w:spacing w:before="100" w:beforeAutospacing="1" w:after="100" w:afterAutospacing="1" w:line="360" w:lineRule="auto"/>
        <w:contextualSpacing/>
        <w:jc w:val="both"/>
        <w:rPr>
          <w:b/>
          <w:bCs/>
        </w:rPr>
      </w:pPr>
    </w:p>
    <w:p w14:paraId="09B03436" w14:textId="2550F71E" w:rsidR="00047E93" w:rsidRPr="000F1425" w:rsidRDefault="00047E93" w:rsidP="00D8300F">
      <w:pPr>
        <w:tabs>
          <w:tab w:val="left" w:pos="0"/>
        </w:tabs>
        <w:spacing w:before="100" w:beforeAutospacing="1" w:after="100" w:afterAutospacing="1" w:line="360" w:lineRule="auto"/>
        <w:contextualSpacing/>
        <w:jc w:val="both"/>
        <w:rPr>
          <w:b/>
          <w:bCs/>
        </w:rPr>
      </w:pPr>
      <w:r w:rsidRPr="000F1425">
        <w:rPr>
          <w:b/>
          <w:bCs/>
        </w:rPr>
        <w:t>Conclusion</w:t>
      </w:r>
    </w:p>
    <w:p w14:paraId="47CFBEFA" w14:textId="1D47C6B6" w:rsidR="00460E52" w:rsidRPr="000F1425" w:rsidRDefault="00047E93" w:rsidP="00D8300F">
      <w:pPr>
        <w:spacing w:before="100" w:beforeAutospacing="1" w:after="100" w:afterAutospacing="1" w:line="360" w:lineRule="auto"/>
        <w:contextualSpacing/>
        <w:jc w:val="both"/>
        <w:rPr>
          <w:rFonts w:eastAsia="Calibri"/>
          <w:color w:val="000000" w:themeColor="text1"/>
        </w:rPr>
      </w:pPr>
      <w:r w:rsidRPr="000F1425">
        <w:t xml:space="preserve">In conclusion, it is seen that duress has been developed throughout history by judges to fill the gaps left by other pre-existing defences, including superior orders, and other devices for avoiding secular punishment, such as benefit of clergy. </w:t>
      </w:r>
      <w:r w:rsidR="00804F3E">
        <w:t>Since duress has never been legislated upon by Parliament it has been left to c</w:t>
      </w:r>
      <w:r w:rsidR="00456616">
        <w:t>ommon</w:t>
      </w:r>
      <w:r w:rsidR="00804F3E">
        <w:t xml:space="preserve"> law to determine in what situations the defence should apply. </w:t>
      </w:r>
      <w:r w:rsidRPr="000F1425">
        <w:t xml:space="preserve">Duress was originally used for the most heinous of all crimes, treason, and during this time provided a defence to those who had killed </w:t>
      </w:r>
      <w:proofErr w:type="gramStart"/>
      <w:r w:rsidRPr="000F1425">
        <w:t>in the course of</w:t>
      </w:r>
      <w:proofErr w:type="gramEnd"/>
      <w:r w:rsidRPr="000F1425">
        <w:t xml:space="preserve"> conducting the treason. Therefore,</w:t>
      </w:r>
      <w:r w:rsidR="00456616">
        <w:t xml:space="preserve"> the </w:t>
      </w:r>
      <w:r w:rsidRPr="000F1425">
        <w:t>availability</w:t>
      </w:r>
      <w:r w:rsidR="00456616">
        <w:t xml:space="preserve"> of the duress defence</w:t>
      </w:r>
      <w:r w:rsidRPr="000F1425">
        <w:t xml:space="preserve"> to treason </w:t>
      </w:r>
      <w:r w:rsidR="00742204" w:rsidRPr="000F1425">
        <w:t xml:space="preserve">(including </w:t>
      </w:r>
      <w:r w:rsidR="00456616">
        <w:t>killing</w:t>
      </w:r>
      <w:r w:rsidR="00742204" w:rsidRPr="000F1425">
        <w:t xml:space="preserve">) </w:t>
      </w:r>
      <w:r w:rsidRPr="000F1425">
        <w:t xml:space="preserve">suggests that denying the defence to murder </w:t>
      </w:r>
      <w:r w:rsidR="00742204" w:rsidRPr="000F1425">
        <w:t xml:space="preserve">alone </w:t>
      </w:r>
      <w:r w:rsidRPr="000F1425">
        <w:t xml:space="preserve">would be illogical. </w:t>
      </w:r>
    </w:p>
    <w:p w14:paraId="291A82C1" w14:textId="77777777" w:rsidR="00D8300F" w:rsidRPr="000F1425" w:rsidRDefault="00D8300F" w:rsidP="00D8300F">
      <w:pPr>
        <w:spacing w:before="100" w:beforeAutospacing="1" w:after="100" w:afterAutospacing="1" w:line="360" w:lineRule="auto"/>
        <w:contextualSpacing/>
        <w:jc w:val="both"/>
        <w:rPr>
          <w:rFonts w:eastAsia="Calibri"/>
          <w:color w:val="000000" w:themeColor="text1"/>
        </w:rPr>
      </w:pPr>
    </w:p>
    <w:p w14:paraId="79616F89" w14:textId="04783C6A" w:rsidR="00047E93" w:rsidRPr="000F1425" w:rsidRDefault="0018023F" w:rsidP="00D8300F">
      <w:pPr>
        <w:spacing w:before="100" w:beforeAutospacing="1" w:after="100" w:afterAutospacing="1" w:line="360" w:lineRule="auto"/>
        <w:contextualSpacing/>
        <w:jc w:val="both"/>
        <w:rPr>
          <w:rFonts w:eastAsia="Calibri"/>
          <w:color w:val="000000" w:themeColor="text1"/>
        </w:rPr>
      </w:pPr>
      <w:r w:rsidRPr="000F1425">
        <w:rPr>
          <w:rFonts w:eastAsia="Calibri"/>
          <w:color w:val="000000" w:themeColor="text1"/>
        </w:rPr>
        <w:lastRenderedPageBreak/>
        <w:t>As it stands, t</w:t>
      </w:r>
      <w:r w:rsidR="00047E93" w:rsidRPr="000F1425">
        <w:rPr>
          <w:rFonts w:eastAsia="Calibri"/>
          <w:color w:val="000000" w:themeColor="text1"/>
        </w:rPr>
        <w:t xml:space="preserve">he current defence of duress is denied to murder, as stated in </w:t>
      </w:r>
      <w:r w:rsidR="00047E93" w:rsidRPr="000F1425">
        <w:rPr>
          <w:rFonts w:eastAsia="Calibri"/>
          <w:i/>
          <w:iCs/>
          <w:color w:val="000000" w:themeColor="text1"/>
        </w:rPr>
        <w:t>Howe</w:t>
      </w:r>
      <w:r w:rsidR="00047E93" w:rsidRPr="000F1425">
        <w:rPr>
          <w:rFonts w:eastAsia="Calibri"/>
          <w:i/>
          <w:color w:val="000000" w:themeColor="text1"/>
        </w:rPr>
        <w:t>.</w:t>
      </w:r>
      <w:r w:rsidR="00047E93" w:rsidRPr="00FE5652">
        <w:rPr>
          <w:rFonts w:eastAsia="Calibri"/>
          <w:iCs/>
          <w:color w:val="000000" w:themeColor="text1"/>
          <w:vertAlign w:val="superscript"/>
        </w:rPr>
        <w:footnoteReference w:id="74"/>
      </w:r>
      <w:r w:rsidR="00047E93" w:rsidRPr="000F1425">
        <w:rPr>
          <w:rFonts w:eastAsia="Calibri"/>
          <w:color w:val="000000" w:themeColor="text1"/>
        </w:rPr>
        <w:t xml:space="preserve"> </w:t>
      </w:r>
      <w:r w:rsidR="000609E2">
        <w:rPr>
          <w:rFonts w:eastAsia="Calibri"/>
          <w:color w:val="000000" w:themeColor="text1"/>
        </w:rPr>
        <w:t>T</w:t>
      </w:r>
      <w:r w:rsidR="000609E2" w:rsidRPr="000F1425">
        <w:rPr>
          <w:rFonts w:eastAsia="Calibri"/>
          <w:color w:val="000000" w:themeColor="text1"/>
        </w:rPr>
        <w:t xml:space="preserve">he judgment in </w:t>
      </w:r>
      <w:r w:rsidR="000609E2" w:rsidRPr="000F1425">
        <w:rPr>
          <w:rFonts w:eastAsia="Calibri"/>
          <w:i/>
          <w:color w:val="000000" w:themeColor="text1"/>
        </w:rPr>
        <w:t xml:space="preserve">Howe </w:t>
      </w:r>
      <w:r w:rsidR="000609E2" w:rsidRPr="000F1425">
        <w:rPr>
          <w:rFonts w:eastAsia="Calibri"/>
          <w:color w:val="000000" w:themeColor="text1"/>
        </w:rPr>
        <w:t>cited the writings of Hale</w:t>
      </w:r>
      <w:r w:rsidR="000609E2" w:rsidRPr="000F1425">
        <w:rPr>
          <w:rFonts w:eastAsia="Calibri"/>
          <w:color w:val="000000" w:themeColor="text1"/>
          <w:vertAlign w:val="superscript"/>
        </w:rPr>
        <w:footnoteReference w:id="75"/>
      </w:r>
      <w:r w:rsidR="000609E2" w:rsidRPr="000F1425">
        <w:rPr>
          <w:rFonts w:eastAsia="Calibri"/>
          <w:color w:val="000000" w:themeColor="text1"/>
        </w:rPr>
        <w:t xml:space="preserve"> and </w:t>
      </w:r>
      <w:r w:rsidR="000609E2" w:rsidRPr="000F1425">
        <w:rPr>
          <w:rFonts w:eastAsia="Calibri"/>
        </w:rPr>
        <w:t>East.</w:t>
      </w:r>
      <w:r w:rsidR="000609E2" w:rsidRPr="000F1425">
        <w:rPr>
          <w:rFonts w:eastAsia="Calibri"/>
          <w:color w:val="000000" w:themeColor="text1"/>
          <w:vertAlign w:val="superscript"/>
        </w:rPr>
        <w:footnoteReference w:id="76"/>
      </w:r>
      <w:r w:rsidR="000609E2" w:rsidRPr="000F1425">
        <w:rPr>
          <w:rFonts w:eastAsia="Calibri"/>
          <w:color w:val="FF0000"/>
        </w:rPr>
        <w:t xml:space="preserve"> </w:t>
      </w:r>
      <w:r w:rsidR="000609E2" w:rsidRPr="000F1425">
        <w:rPr>
          <w:rFonts w:eastAsia="Calibri"/>
        </w:rPr>
        <w:t xml:space="preserve">As set out above, neither Hale nor East cited any case authority for their assertions that duress should not be a defence to murder. </w:t>
      </w:r>
      <w:r w:rsidR="000609E2">
        <w:rPr>
          <w:rFonts w:eastAsia="Calibri"/>
          <w:i/>
          <w:iCs/>
          <w:color w:val="000000" w:themeColor="text1"/>
        </w:rPr>
        <w:t>Howe</w:t>
      </w:r>
      <w:r w:rsidR="00047E93" w:rsidRPr="000F1425">
        <w:rPr>
          <w:rFonts w:eastAsia="Calibri"/>
          <w:color w:val="000000" w:themeColor="text1"/>
        </w:rPr>
        <w:t xml:space="preserve"> relied heavily on the ratio in </w:t>
      </w:r>
      <w:r w:rsidR="00047E93" w:rsidRPr="000F1425">
        <w:rPr>
          <w:rFonts w:eastAsia="Calibri"/>
          <w:i/>
          <w:iCs/>
          <w:color w:val="000000" w:themeColor="text1"/>
        </w:rPr>
        <w:t xml:space="preserve">Dudley </w:t>
      </w:r>
      <w:r w:rsidR="004A41A2">
        <w:rPr>
          <w:rFonts w:eastAsia="Calibri"/>
          <w:i/>
          <w:iCs/>
          <w:color w:val="000000" w:themeColor="text1"/>
        </w:rPr>
        <w:t>and</w:t>
      </w:r>
      <w:r w:rsidR="00047E93" w:rsidRPr="000F1425">
        <w:rPr>
          <w:rFonts w:eastAsia="Calibri"/>
          <w:i/>
          <w:iCs/>
          <w:color w:val="000000" w:themeColor="text1"/>
        </w:rPr>
        <w:t xml:space="preserve"> Stephens</w:t>
      </w:r>
      <w:r w:rsidR="00047E93" w:rsidRPr="000F1425">
        <w:rPr>
          <w:rFonts w:eastAsia="Calibri"/>
          <w:i/>
          <w:color w:val="000000" w:themeColor="text1"/>
        </w:rPr>
        <w:t xml:space="preserve">. </w:t>
      </w:r>
      <w:r w:rsidR="00790074">
        <w:rPr>
          <w:rFonts w:eastAsia="Calibri"/>
          <w:iCs/>
          <w:color w:val="000000" w:themeColor="text1"/>
        </w:rPr>
        <w:t xml:space="preserve">The Lords </w:t>
      </w:r>
      <w:r w:rsidR="00047E93" w:rsidRPr="000F1425">
        <w:rPr>
          <w:rFonts w:eastAsia="Calibri"/>
          <w:color w:val="000000" w:themeColor="text1"/>
        </w:rPr>
        <w:t>were not bound to follow th</w:t>
      </w:r>
      <w:r w:rsidR="00790074">
        <w:rPr>
          <w:rFonts w:eastAsia="Calibri"/>
          <w:color w:val="000000" w:themeColor="text1"/>
        </w:rPr>
        <w:t>is</w:t>
      </w:r>
      <w:r w:rsidR="00047E93" w:rsidRPr="000F1425">
        <w:rPr>
          <w:rFonts w:eastAsia="Calibri"/>
          <w:color w:val="000000" w:themeColor="text1"/>
        </w:rPr>
        <w:t xml:space="preserve"> decision as it was a case of necessity (a justificatory defence) rather than duress (an excusatory defence) and</w:t>
      </w:r>
      <w:r w:rsidRPr="000F1425">
        <w:rPr>
          <w:rFonts w:eastAsia="Calibri"/>
          <w:color w:val="000000" w:themeColor="text1"/>
        </w:rPr>
        <w:t>, further,</w:t>
      </w:r>
      <w:r w:rsidR="00047E93" w:rsidRPr="000F1425">
        <w:rPr>
          <w:rFonts w:eastAsia="Calibri"/>
          <w:color w:val="000000" w:themeColor="text1"/>
        </w:rPr>
        <w:t xml:space="preserve"> it was made by a lower court</w:t>
      </w:r>
      <w:r w:rsidRPr="000F1425">
        <w:rPr>
          <w:rFonts w:eastAsia="Calibri"/>
          <w:color w:val="000000" w:themeColor="text1"/>
        </w:rPr>
        <w:t xml:space="preserve">. </w:t>
      </w:r>
      <w:r w:rsidR="00790074">
        <w:rPr>
          <w:rFonts w:eastAsia="Calibri"/>
          <w:color w:val="000000" w:themeColor="text1"/>
        </w:rPr>
        <w:t xml:space="preserve">Therefore, </w:t>
      </w:r>
      <w:r w:rsidR="00047E93" w:rsidRPr="000F1425">
        <w:rPr>
          <w:rFonts w:eastAsia="Calibri"/>
          <w:color w:val="000000" w:themeColor="text1"/>
        </w:rPr>
        <w:t xml:space="preserve">in </w:t>
      </w:r>
      <w:r w:rsidR="00047E93" w:rsidRPr="000F1425">
        <w:rPr>
          <w:rFonts w:eastAsia="Calibri"/>
          <w:i/>
          <w:iCs/>
          <w:color w:val="000000" w:themeColor="text1"/>
        </w:rPr>
        <w:t>Howe</w:t>
      </w:r>
      <w:r w:rsidRPr="000F1425">
        <w:rPr>
          <w:rFonts w:eastAsia="Calibri"/>
          <w:iCs/>
          <w:color w:val="000000" w:themeColor="text1"/>
        </w:rPr>
        <w:t xml:space="preserve">, </w:t>
      </w:r>
      <w:r w:rsidR="00047E93" w:rsidRPr="000F1425">
        <w:rPr>
          <w:rFonts w:eastAsia="Calibri"/>
          <w:color w:val="000000" w:themeColor="text1"/>
        </w:rPr>
        <w:t xml:space="preserve">the judges had a choice of </w:t>
      </w:r>
      <w:proofErr w:type="gramStart"/>
      <w:r w:rsidR="00047E93" w:rsidRPr="000F1425">
        <w:rPr>
          <w:rFonts w:eastAsia="Calibri"/>
          <w:color w:val="000000" w:themeColor="text1"/>
        </w:rPr>
        <w:t>whether or not</w:t>
      </w:r>
      <w:proofErr w:type="gramEnd"/>
      <w:r w:rsidR="00047E93" w:rsidRPr="000F1425">
        <w:rPr>
          <w:rFonts w:eastAsia="Calibri"/>
          <w:color w:val="000000" w:themeColor="text1"/>
        </w:rPr>
        <w:t xml:space="preserve"> to allow the defence of duress to murder. The House of Lords</w:t>
      </w:r>
      <w:r w:rsidR="00047E93" w:rsidRPr="000F1425">
        <w:rPr>
          <w:rFonts w:eastAsia="Calibri"/>
          <w:i/>
          <w:color w:val="000000" w:themeColor="text1"/>
        </w:rPr>
        <w:t xml:space="preserve">, </w:t>
      </w:r>
      <w:r w:rsidR="00047E93" w:rsidRPr="000F1425">
        <w:rPr>
          <w:rFonts w:eastAsia="Calibri"/>
          <w:color w:val="000000" w:themeColor="text1"/>
        </w:rPr>
        <w:t>lacking any binding precedent, decided that duress should not be a defence to murder despite the availability of persuasive precedent</w:t>
      </w:r>
      <w:r w:rsidR="00456616">
        <w:rPr>
          <w:rFonts w:eastAsia="Calibri"/>
          <w:color w:val="000000" w:themeColor="text1"/>
        </w:rPr>
        <w:t xml:space="preserve"> from </w:t>
      </w:r>
      <w:r w:rsidR="00B64FE0" w:rsidRPr="00B64FE0">
        <w:rPr>
          <w:rFonts w:eastAsia="Calibri"/>
          <w:i/>
          <w:iCs/>
          <w:color w:val="000000" w:themeColor="text1"/>
        </w:rPr>
        <w:t>L</w:t>
      </w:r>
      <w:r w:rsidR="00456616">
        <w:rPr>
          <w:rFonts w:eastAsia="Calibri"/>
          <w:i/>
          <w:iCs/>
          <w:color w:val="000000" w:themeColor="text1"/>
        </w:rPr>
        <w:t>ynch</w:t>
      </w:r>
      <w:r w:rsidR="00047E93" w:rsidRPr="000F1425">
        <w:rPr>
          <w:rFonts w:eastAsia="Calibri"/>
          <w:color w:val="000000" w:themeColor="text1"/>
        </w:rPr>
        <w:t xml:space="preserve"> to convince them otherwise.</w:t>
      </w:r>
      <w:r w:rsidR="009A5430">
        <w:rPr>
          <w:rFonts w:eastAsia="Calibri"/>
          <w:color w:val="000000" w:themeColor="text1"/>
        </w:rPr>
        <w:t xml:space="preserve"> </w:t>
      </w:r>
      <w:r w:rsidRPr="000F1425">
        <w:rPr>
          <w:rFonts w:eastAsia="Calibri"/>
        </w:rPr>
        <w:t xml:space="preserve">In the context of </w:t>
      </w:r>
      <w:r w:rsidR="00047E93" w:rsidRPr="000F1425">
        <w:rPr>
          <w:rFonts w:eastAsia="Calibri"/>
        </w:rPr>
        <w:t xml:space="preserve">its </w:t>
      </w:r>
      <w:r w:rsidR="00047E93" w:rsidRPr="000F1425">
        <w:rPr>
          <w:rFonts w:eastAsia="Calibri"/>
          <w:color w:val="000000" w:themeColor="text1"/>
        </w:rPr>
        <w:t>historical roots</w:t>
      </w:r>
      <w:r w:rsidRPr="000F1425">
        <w:rPr>
          <w:rFonts w:eastAsia="Calibri"/>
          <w:color w:val="000000" w:themeColor="text1"/>
        </w:rPr>
        <w:t>, having been</w:t>
      </w:r>
      <w:r w:rsidR="00047E93" w:rsidRPr="000F1425">
        <w:rPr>
          <w:rFonts w:eastAsia="Calibri"/>
          <w:color w:val="000000" w:themeColor="text1"/>
        </w:rPr>
        <w:t xml:space="preserve"> allowed to one of the most heinous crimes of the realm, </w:t>
      </w:r>
      <w:r w:rsidR="009A5430">
        <w:rPr>
          <w:rFonts w:eastAsia="Calibri"/>
          <w:color w:val="000000" w:themeColor="text1"/>
        </w:rPr>
        <w:t xml:space="preserve">choosing to </w:t>
      </w:r>
      <w:r w:rsidR="00047E93" w:rsidRPr="000F1425">
        <w:rPr>
          <w:rFonts w:eastAsia="Calibri"/>
          <w:color w:val="000000" w:themeColor="text1"/>
        </w:rPr>
        <w:t xml:space="preserve">deny the defence to murder is </w:t>
      </w:r>
      <w:r w:rsidRPr="000F1425">
        <w:rPr>
          <w:rFonts w:eastAsia="Calibri"/>
          <w:color w:val="000000" w:themeColor="text1"/>
        </w:rPr>
        <w:t xml:space="preserve">at best </w:t>
      </w:r>
      <w:r w:rsidR="00047E93" w:rsidRPr="000F1425">
        <w:rPr>
          <w:rFonts w:eastAsia="Calibri"/>
          <w:color w:val="000000" w:themeColor="text1"/>
        </w:rPr>
        <w:t xml:space="preserve">unfounded.  </w:t>
      </w:r>
    </w:p>
    <w:p w14:paraId="635F5BCF" w14:textId="77777777" w:rsidR="00FE3C50" w:rsidRPr="00613B88" w:rsidRDefault="00FE3C50" w:rsidP="00D8300F">
      <w:pPr>
        <w:spacing w:line="360" w:lineRule="auto"/>
        <w:jc w:val="both"/>
        <w:rPr>
          <w:color w:val="FF0000"/>
        </w:rPr>
      </w:pPr>
    </w:p>
    <w:p w14:paraId="7C874384" w14:textId="77777777" w:rsidR="00F12846" w:rsidRPr="000F1425" w:rsidRDefault="008D7577" w:rsidP="00D8300F">
      <w:pPr>
        <w:pStyle w:val="Acknowledgements"/>
        <w:spacing w:before="100" w:beforeAutospacing="1" w:after="100" w:afterAutospacing="1"/>
        <w:contextualSpacing/>
        <w:jc w:val="both"/>
        <w:rPr>
          <w:sz w:val="24"/>
        </w:rPr>
      </w:pPr>
      <w:r w:rsidRPr="000F1425">
        <w:rPr>
          <w:sz w:val="24"/>
        </w:rPr>
        <w:t>Acknowledgements:</w:t>
      </w:r>
    </w:p>
    <w:p w14:paraId="6202E5E3" w14:textId="599CCEE4" w:rsidR="0050533C" w:rsidRPr="000F1425" w:rsidRDefault="008D7577" w:rsidP="00D8300F">
      <w:pPr>
        <w:pStyle w:val="Acknowledgements"/>
        <w:spacing w:before="100" w:beforeAutospacing="1" w:after="100" w:afterAutospacing="1"/>
        <w:jc w:val="both"/>
        <w:rPr>
          <w:sz w:val="24"/>
        </w:rPr>
      </w:pPr>
      <w:r w:rsidRPr="000F1425">
        <w:rPr>
          <w:sz w:val="24"/>
        </w:rPr>
        <w:t xml:space="preserve">Many thanks to </w:t>
      </w:r>
      <w:r w:rsidR="000764F7" w:rsidRPr="000F1425">
        <w:rPr>
          <w:sz w:val="24"/>
        </w:rPr>
        <w:t>Mr Peter Aldred</w:t>
      </w:r>
      <w:r w:rsidRPr="000F1425">
        <w:rPr>
          <w:sz w:val="24"/>
        </w:rPr>
        <w:t xml:space="preserve"> at the University of Chichester</w:t>
      </w:r>
      <w:r w:rsidR="00EB733C" w:rsidRPr="000F1425">
        <w:rPr>
          <w:sz w:val="24"/>
        </w:rPr>
        <w:t xml:space="preserve"> for his </w:t>
      </w:r>
      <w:r w:rsidR="0022118F" w:rsidRPr="000F1425">
        <w:rPr>
          <w:sz w:val="24"/>
        </w:rPr>
        <w:t>assistance in finalising this article. Also, thanks to</w:t>
      </w:r>
      <w:r w:rsidRPr="000F1425">
        <w:rPr>
          <w:sz w:val="24"/>
        </w:rPr>
        <w:t xml:space="preserve"> Dr Alex Sarch and Dr Emily Finch at the University of Surrey, for the support and guidance they </w:t>
      </w:r>
      <w:r w:rsidR="0006262C">
        <w:rPr>
          <w:sz w:val="24"/>
        </w:rPr>
        <w:t>gave me</w:t>
      </w:r>
      <w:r w:rsidRPr="000F1425">
        <w:rPr>
          <w:sz w:val="24"/>
        </w:rPr>
        <w:t xml:space="preserve"> to complete th</w:t>
      </w:r>
      <w:r w:rsidR="00EB733C" w:rsidRPr="000F1425">
        <w:rPr>
          <w:sz w:val="24"/>
        </w:rPr>
        <w:t>e research leading to this</w:t>
      </w:r>
      <w:r w:rsidRPr="000F1425">
        <w:rPr>
          <w:sz w:val="24"/>
        </w:rPr>
        <w:t xml:space="preserve"> article</w:t>
      </w:r>
      <w:r w:rsidR="002A7683">
        <w:rPr>
          <w:sz w:val="24"/>
        </w:rPr>
        <w:t>.</w:t>
      </w:r>
    </w:p>
    <w:sectPr w:rsidR="0050533C" w:rsidRPr="000F1425" w:rsidSect="00074B81">
      <w:headerReference w:type="default" r:id="rId11"/>
      <w:footerReference w:type="default" r:id="rId1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557E" w14:textId="77777777" w:rsidR="00003A1C" w:rsidRDefault="00003A1C" w:rsidP="00AF2C92">
      <w:r>
        <w:separator/>
      </w:r>
    </w:p>
  </w:endnote>
  <w:endnote w:type="continuationSeparator" w:id="0">
    <w:p w14:paraId="091C5CC4" w14:textId="77777777" w:rsidR="00003A1C" w:rsidRDefault="00003A1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1563"/>
      <w:docPartObj>
        <w:docPartGallery w:val="Page Numbers (Bottom of Page)"/>
        <w:docPartUnique/>
      </w:docPartObj>
    </w:sdtPr>
    <w:sdtEndPr>
      <w:rPr>
        <w:noProof/>
      </w:rPr>
    </w:sdtEndPr>
    <w:sdtContent>
      <w:p w14:paraId="00FD1501" w14:textId="77777777" w:rsidR="00097B54" w:rsidRDefault="00097B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B65DD" w14:textId="77777777" w:rsidR="00097B54" w:rsidRDefault="00097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8489" w14:textId="77777777" w:rsidR="00003A1C" w:rsidRDefault="00003A1C" w:rsidP="00AF2C92">
      <w:r>
        <w:separator/>
      </w:r>
    </w:p>
  </w:footnote>
  <w:footnote w:type="continuationSeparator" w:id="0">
    <w:p w14:paraId="1D5FCBE7" w14:textId="77777777" w:rsidR="00003A1C" w:rsidRDefault="00003A1C" w:rsidP="00AF2C92">
      <w:r>
        <w:continuationSeparator/>
      </w:r>
    </w:p>
  </w:footnote>
  <w:footnote w:id="1">
    <w:p w14:paraId="30251D2D" w14:textId="632E445B" w:rsidR="00B26BA5" w:rsidRPr="004F39F7" w:rsidRDefault="00B26BA5" w:rsidP="00FE5652">
      <w:pPr>
        <w:spacing w:line="240" w:lineRule="auto"/>
        <w:rPr>
          <w:sz w:val="20"/>
          <w:szCs w:val="20"/>
        </w:rPr>
      </w:pPr>
      <w:r w:rsidRPr="00337891">
        <w:rPr>
          <w:rStyle w:val="FootnoteReference"/>
          <w:rFonts w:eastAsia="Calibri"/>
          <w:sz w:val="22"/>
          <w:szCs w:val="22"/>
        </w:rPr>
        <w:footnoteRef/>
      </w:r>
      <w:r w:rsidR="00337891">
        <w:rPr>
          <w:sz w:val="22"/>
          <w:szCs w:val="22"/>
        </w:rPr>
        <w:t xml:space="preserve"> </w:t>
      </w:r>
      <w:r w:rsidRPr="004F39F7">
        <w:rPr>
          <w:sz w:val="20"/>
          <w:szCs w:val="20"/>
        </w:rPr>
        <w:t>W</w:t>
      </w:r>
      <w:r w:rsidR="00656D8D" w:rsidRPr="004F39F7">
        <w:rPr>
          <w:sz w:val="20"/>
          <w:szCs w:val="20"/>
        </w:rPr>
        <w:t>illiam</w:t>
      </w:r>
      <w:r w:rsidRPr="004F39F7">
        <w:rPr>
          <w:sz w:val="20"/>
          <w:szCs w:val="20"/>
        </w:rPr>
        <w:t xml:space="preserve"> Blackstone, </w:t>
      </w:r>
      <w:r w:rsidRPr="00745C52">
        <w:rPr>
          <w:sz w:val="20"/>
          <w:szCs w:val="20"/>
        </w:rPr>
        <w:t>Commentaries on the Laws of England: A Facsimile of the First Edition of 1765 -1769</w:t>
      </w:r>
      <w:r w:rsidR="00742902" w:rsidRPr="004F39F7">
        <w:rPr>
          <w:sz w:val="20"/>
          <w:szCs w:val="20"/>
        </w:rPr>
        <w:t xml:space="preserve">, </w:t>
      </w:r>
      <w:r w:rsidR="00F90F5F" w:rsidRPr="004F39F7">
        <w:rPr>
          <w:sz w:val="20"/>
          <w:szCs w:val="20"/>
        </w:rPr>
        <w:t>vol</w:t>
      </w:r>
      <w:r w:rsidR="001C59C8">
        <w:rPr>
          <w:sz w:val="20"/>
          <w:szCs w:val="20"/>
        </w:rPr>
        <w:t xml:space="preserve"> </w:t>
      </w:r>
      <w:r w:rsidR="00F90F5F" w:rsidRPr="004F39F7">
        <w:rPr>
          <w:sz w:val="20"/>
          <w:szCs w:val="20"/>
        </w:rPr>
        <w:t>4</w:t>
      </w:r>
      <w:r w:rsidR="00A439C9" w:rsidRPr="004F39F7">
        <w:rPr>
          <w:sz w:val="20"/>
          <w:szCs w:val="20"/>
        </w:rPr>
        <w:t xml:space="preserve"> </w:t>
      </w:r>
      <w:r w:rsidR="001C59C8">
        <w:rPr>
          <w:sz w:val="20"/>
          <w:szCs w:val="20"/>
        </w:rPr>
        <w:t>(</w:t>
      </w:r>
      <w:r w:rsidR="00AE377C">
        <w:rPr>
          <w:sz w:val="20"/>
          <w:szCs w:val="20"/>
        </w:rPr>
        <w:t>Oxford</w:t>
      </w:r>
      <w:r w:rsidR="004F7982">
        <w:rPr>
          <w:sz w:val="20"/>
          <w:szCs w:val="20"/>
        </w:rPr>
        <w:t xml:space="preserve"> University Press: </w:t>
      </w:r>
      <w:r w:rsidR="009A322C" w:rsidRPr="004F39F7">
        <w:rPr>
          <w:sz w:val="20"/>
          <w:szCs w:val="20"/>
        </w:rPr>
        <w:t>Chi</w:t>
      </w:r>
      <w:r w:rsidR="00003968" w:rsidRPr="004F39F7">
        <w:rPr>
          <w:sz w:val="20"/>
          <w:szCs w:val="20"/>
        </w:rPr>
        <w:t>cago</w:t>
      </w:r>
      <w:r w:rsidR="00591AA6" w:rsidRPr="004F39F7">
        <w:rPr>
          <w:sz w:val="20"/>
          <w:szCs w:val="20"/>
        </w:rPr>
        <w:t>, 1979</w:t>
      </w:r>
      <w:r w:rsidR="001C59C8">
        <w:rPr>
          <w:sz w:val="20"/>
          <w:szCs w:val="20"/>
        </w:rPr>
        <w:t>)</w:t>
      </w:r>
      <w:r w:rsidR="00591AA6" w:rsidRPr="004F39F7">
        <w:rPr>
          <w:sz w:val="20"/>
          <w:szCs w:val="20"/>
        </w:rPr>
        <w:t xml:space="preserve"> </w:t>
      </w:r>
      <w:r w:rsidR="00A439C9" w:rsidRPr="004F39F7">
        <w:rPr>
          <w:sz w:val="20"/>
          <w:szCs w:val="20"/>
        </w:rPr>
        <w:t>27</w:t>
      </w:r>
      <w:r w:rsidRPr="004F39F7">
        <w:rPr>
          <w:sz w:val="20"/>
          <w:szCs w:val="20"/>
        </w:rPr>
        <w:t>. See also, J</w:t>
      </w:r>
      <w:r w:rsidR="00CB4F20" w:rsidRPr="004F39F7">
        <w:rPr>
          <w:sz w:val="20"/>
          <w:szCs w:val="20"/>
        </w:rPr>
        <w:t xml:space="preserve">ames </w:t>
      </w:r>
      <w:proofErr w:type="spellStart"/>
      <w:r w:rsidR="00CB4F20" w:rsidRPr="004F39F7">
        <w:rPr>
          <w:sz w:val="20"/>
          <w:szCs w:val="20"/>
        </w:rPr>
        <w:t>Fitzjames</w:t>
      </w:r>
      <w:proofErr w:type="spellEnd"/>
      <w:r w:rsidRPr="004F39F7">
        <w:rPr>
          <w:sz w:val="20"/>
          <w:szCs w:val="20"/>
        </w:rPr>
        <w:t xml:space="preserve"> Stephen, </w:t>
      </w:r>
      <w:r w:rsidRPr="004F7982">
        <w:rPr>
          <w:sz w:val="20"/>
          <w:szCs w:val="20"/>
        </w:rPr>
        <w:t>History of the Criminal Law of England</w:t>
      </w:r>
      <w:r w:rsidR="00B94474" w:rsidRPr="004F7982">
        <w:rPr>
          <w:sz w:val="20"/>
          <w:szCs w:val="20"/>
        </w:rPr>
        <w:t>,</w:t>
      </w:r>
      <w:r w:rsidR="00B94474" w:rsidRPr="004F39F7">
        <w:rPr>
          <w:sz w:val="20"/>
          <w:szCs w:val="20"/>
        </w:rPr>
        <w:t xml:space="preserve"> vol</w:t>
      </w:r>
      <w:r w:rsidR="004F7982">
        <w:rPr>
          <w:sz w:val="20"/>
          <w:szCs w:val="20"/>
        </w:rPr>
        <w:t xml:space="preserve"> </w:t>
      </w:r>
      <w:r w:rsidR="00B94474" w:rsidRPr="004F39F7">
        <w:rPr>
          <w:sz w:val="20"/>
          <w:szCs w:val="20"/>
        </w:rPr>
        <w:t>2</w:t>
      </w:r>
      <w:r w:rsidR="008D3DD5" w:rsidRPr="004F39F7">
        <w:rPr>
          <w:sz w:val="20"/>
          <w:szCs w:val="20"/>
        </w:rPr>
        <w:t xml:space="preserve"> </w:t>
      </w:r>
      <w:r w:rsidR="004F7982">
        <w:rPr>
          <w:sz w:val="20"/>
          <w:szCs w:val="20"/>
        </w:rPr>
        <w:t>(</w:t>
      </w:r>
      <w:r w:rsidR="0083501A">
        <w:rPr>
          <w:sz w:val="20"/>
          <w:szCs w:val="20"/>
        </w:rPr>
        <w:t xml:space="preserve">Cambridge University Press: </w:t>
      </w:r>
      <w:r w:rsidR="008D3DD5" w:rsidRPr="004F39F7">
        <w:rPr>
          <w:sz w:val="20"/>
          <w:szCs w:val="20"/>
        </w:rPr>
        <w:t>London</w:t>
      </w:r>
      <w:r w:rsidR="00B94474" w:rsidRPr="004F39F7">
        <w:rPr>
          <w:sz w:val="20"/>
          <w:szCs w:val="20"/>
        </w:rPr>
        <w:t>,</w:t>
      </w:r>
      <w:r w:rsidRPr="004F39F7">
        <w:rPr>
          <w:sz w:val="20"/>
          <w:szCs w:val="20"/>
        </w:rPr>
        <w:t xml:space="preserve"> 1883</w:t>
      </w:r>
      <w:r w:rsidR="0083501A">
        <w:rPr>
          <w:sz w:val="20"/>
          <w:szCs w:val="20"/>
        </w:rPr>
        <w:t>)</w:t>
      </w:r>
      <w:r w:rsidRPr="004F39F7">
        <w:rPr>
          <w:sz w:val="20"/>
          <w:szCs w:val="20"/>
        </w:rPr>
        <w:t xml:space="preserve"> 97 who states that to be guilty of an offence the defendant must act voluntarily and be free from compulsion.</w:t>
      </w:r>
    </w:p>
  </w:footnote>
  <w:footnote w:id="2">
    <w:p w14:paraId="2C8C0B6F" w14:textId="19806239" w:rsidR="00203F3B" w:rsidRPr="004F39F7" w:rsidRDefault="00203F3B" w:rsidP="00FE5652">
      <w:pPr>
        <w:spacing w:line="240" w:lineRule="auto"/>
        <w:rPr>
          <w:sz w:val="20"/>
          <w:szCs w:val="20"/>
        </w:rPr>
      </w:pPr>
      <w:r w:rsidRPr="004F39F7">
        <w:rPr>
          <w:sz w:val="20"/>
          <w:szCs w:val="20"/>
          <w:vertAlign w:val="superscript"/>
        </w:rPr>
        <w:footnoteRef/>
      </w:r>
      <w:r w:rsidRPr="004F39F7">
        <w:rPr>
          <w:sz w:val="20"/>
          <w:szCs w:val="20"/>
        </w:rPr>
        <w:t xml:space="preserve"> </w:t>
      </w:r>
      <w:r w:rsidRPr="004F39F7">
        <w:rPr>
          <w:sz w:val="20"/>
          <w:szCs w:val="20"/>
        </w:rPr>
        <w:fldChar w:fldCharType="begin"/>
      </w:r>
      <w:r w:rsidRPr="004F39F7">
        <w:rPr>
          <w:sz w:val="20"/>
          <w:szCs w:val="20"/>
        </w:rPr>
        <w:instrText xml:space="preserve"> ADDIN EN.CITE &lt;EndNote&gt;&lt;Cite&gt;&lt;Author&gt;Holdsworth&lt;/Author&gt;&lt;Year&gt;1966&lt;/Year&gt;&lt;record&gt;&lt;titles&gt;&lt;title&gt;A History of English Law&lt;/title&gt;&lt;/titles&gt;&lt;contributors&gt;&lt;authors&gt;&lt;author&gt;Holdsworth, William&lt;/author&gt;&lt;/authors&gt;&lt;/contributors&gt;&lt;added-date format='utc'&gt;1266533215&lt;/added-date&gt;&lt;pub-location&gt;London&lt;/pub-location&gt;&lt;ref-type name='Book'&gt;6&lt;/ref-type&gt;&lt;dates&gt;&lt;year&gt;1966&lt;/year&gt;&lt;/dates&gt;&lt;rec-number&gt;31&lt;/rec-number&gt;&lt;publisher&gt;Sweet and Maxwell&lt;/publisher&gt;&lt;last-updated-date format='utc'&gt;1266535259&lt;/last-updated-date&gt;&lt;volume&gt;3 part II&lt;/volume&gt;&lt;/record&gt;&lt;/Cite&gt;&lt;/EndNote&gt;</w:instrText>
      </w:r>
      <w:r w:rsidRPr="004F39F7">
        <w:rPr>
          <w:sz w:val="20"/>
          <w:szCs w:val="20"/>
        </w:rPr>
        <w:fldChar w:fldCharType="separate"/>
      </w:r>
      <w:r w:rsidRPr="004F39F7">
        <w:rPr>
          <w:noProof/>
          <w:sz w:val="20"/>
          <w:szCs w:val="20"/>
        </w:rPr>
        <w:t>W</w:t>
      </w:r>
      <w:r w:rsidR="0074143B" w:rsidRPr="004F39F7">
        <w:rPr>
          <w:noProof/>
          <w:sz w:val="20"/>
          <w:szCs w:val="20"/>
        </w:rPr>
        <w:t>illiam Searle</w:t>
      </w:r>
      <w:r w:rsidRPr="004F39F7">
        <w:rPr>
          <w:noProof/>
          <w:sz w:val="20"/>
          <w:szCs w:val="20"/>
        </w:rPr>
        <w:t xml:space="preserve"> Holdsworth, </w:t>
      </w:r>
      <w:r w:rsidRPr="0027522C">
        <w:rPr>
          <w:noProof/>
          <w:sz w:val="20"/>
          <w:szCs w:val="20"/>
        </w:rPr>
        <w:t>A History of English Law</w:t>
      </w:r>
      <w:r w:rsidR="00B50818" w:rsidRPr="004F39F7">
        <w:rPr>
          <w:noProof/>
          <w:sz w:val="20"/>
          <w:szCs w:val="20"/>
        </w:rPr>
        <w:t xml:space="preserve">, </w:t>
      </w:r>
      <w:r w:rsidR="0027522C">
        <w:rPr>
          <w:noProof/>
          <w:sz w:val="20"/>
          <w:szCs w:val="20"/>
        </w:rPr>
        <w:t>(Sweet and Maxwell</w:t>
      </w:r>
      <w:r w:rsidR="00AF3205">
        <w:rPr>
          <w:noProof/>
          <w:sz w:val="20"/>
          <w:szCs w:val="20"/>
        </w:rPr>
        <w:t>:</w:t>
      </w:r>
      <w:r w:rsidR="0027522C">
        <w:rPr>
          <w:noProof/>
          <w:sz w:val="20"/>
          <w:szCs w:val="20"/>
        </w:rPr>
        <w:t xml:space="preserve"> </w:t>
      </w:r>
      <w:r w:rsidR="00B50818" w:rsidRPr="004F39F7">
        <w:rPr>
          <w:noProof/>
          <w:sz w:val="20"/>
          <w:szCs w:val="20"/>
        </w:rPr>
        <w:t>London,</w:t>
      </w:r>
      <w:r w:rsidRPr="004F39F7">
        <w:rPr>
          <w:noProof/>
          <w:sz w:val="20"/>
          <w:szCs w:val="20"/>
        </w:rPr>
        <w:t xml:space="preserve"> 1966</w:t>
      </w:r>
      <w:r w:rsidRPr="004F39F7">
        <w:rPr>
          <w:sz w:val="20"/>
          <w:szCs w:val="20"/>
        </w:rPr>
        <w:fldChar w:fldCharType="end"/>
      </w:r>
      <w:r w:rsidR="00AF3205">
        <w:rPr>
          <w:sz w:val="20"/>
          <w:szCs w:val="20"/>
        </w:rPr>
        <w:t>)</w:t>
      </w:r>
      <w:r w:rsidRPr="004F39F7">
        <w:rPr>
          <w:sz w:val="20"/>
          <w:szCs w:val="20"/>
        </w:rPr>
        <w:t xml:space="preserve"> 277.</w:t>
      </w:r>
    </w:p>
  </w:footnote>
  <w:footnote w:id="3">
    <w:p w14:paraId="1CBAB796" w14:textId="20CF9E98" w:rsidR="00386251" w:rsidRPr="004F39F7" w:rsidRDefault="003F7C56" w:rsidP="00FE5652">
      <w:pPr>
        <w:pStyle w:val="FootnoteText"/>
        <w:ind w:left="0" w:firstLine="0"/>
      </w:pPr>
      <w:r w:rsidRPr="004F39F7">
        <w:rPr>
          <w:rStyle w:val="FootnoteReference"/>
        </w:rPr>
        <w:footnoteRef/>
      </w:r>
      <w:r w:rsidRPr="004F39F7">
        <w:t xml:space="preserve"> </w:t>
      </w:r>
      <w:r w:rsidR="0093552F" w:rsidRPr="004F39F7">
        <w:t xml:space="preserve">For example: P </w:t>
      </w:r>
      <w:proofErr w:type="spellStart"/>
      <w:r w:rsidR="0093552F" w:rsidRPr="004F39F7">
        <w:t>Alldridge</w:t>
      </w:r>
      <w:proofErr w:type="spellEnd"/>
      <w:r w:rsidR="0093552F" w:rsidRPr="004F39F7">
        <w:rPr>
          <w:rFonts w:cstheme="minorHAnsi"/>
        </w:rPr>
        <w:t xml:space="preserve">, ‘Duress, Murder and the House of Lords’ (1988) 52 J Crim L 186; </w:t>
      </w:r>
      <w:r w:rsidR="00337891" w:rsidRPr="004F39F7">
        <w:rPr>
          <w:rFonts w:cstheme="minorHAnsi"/>
        </w:rPr>
        <w:t>I Dennis, ‘Developments in Duress’ (1987) 51 J Crim L</w:t>
      </w:r>
      <w:r w:rsidR="00386251" w:rsidRPr="004F39F7">
        <w:rPr>
          <w:rFonts w:cstheme="minorHAnsi"/>
        </w:rPr>
        <w:t xml:space="preserve">; </w:t>
      </w:r>
      <w:r w:rsidR="00386251" w:rsidRPr="004F39F7">
        <w:t>J Dressler, ‘Exegesis of the Law of Duress: Justifying the Excuse and Searching for its Proper Limits’ (1989) 62 S Cal L Rev 1331;</w:t>
      </w:r>
      <w:r w:rsidR="00386251" w:rsidRPr="004F39F7">
        <w:rPr>
          <w:rFonts w:cstheme="minorHAnsi"/>
        </w:rPr>
        <w:t xml:space="preserve"> </w:t>
      </w:r>
      <w:r w:rsidR="00BB2530" w:rsidRPr="004F39F7">
        <w:t xml:space="preserve">C </w:t>
      </w:r>
      <w:proofErr w:type="spellStart"/>
      <w:r w:rsidR="00BB2530" w:rsidRPr="004F39F7">
        <w:t>Gearty</w:t>
      </w:r>
      <w:proofErr w:type="spellEnd"/>
      <w:r w:rsidR="00BB2530" w:rsidRPr="004F39F7">
        <w:t xml:space="preserve">, ‘Howe to be a Hero’ (1987) CLJ 203; </w:t>
      </w:r>
      <w:r w:rsidR="00386251" w:rsidRPr="004F39F7">
        <w:t xml:space="preserve">HP </w:t>
      </w:r>
      <w:proofErr w:type="spellStart"/>
      <w:r w:rsidR="00386251" w:rsidRPr="004F39F7">
        <w:t>Milgate</w:t>
      </w:r>
      <w:proofErr w:type="spellEnd"/>
      <w:r w:rsidR="00386251" w:rsidRPr="004F39F7">
        <w:t>, ‘Murder and the Killer Who Acts under Duress’ (1986) 46 CLJ 183; M Naylor, ‘Resistance is Futile: Duress as a Defence to International Killing’ [2006] CSLR 24;</w:t>
      </w:r>
      <w:r w:rsidR="003D6858" w:rsidRPr="004F39F7">
        <w:rPr>
          <w:rFonts w:cstheme="minorHAnsi"/>
        </w:rPr>
        <w:t xml:space="preserve"> Reed, ‘Duress and Provocation as Excuses to Murder: Salutary Lessons from Recent Anglo-American Jurisprudence’ (1996) 6 J Transnational L and Policy 51; </w:t>
      </w:r>
      <w:r w:rsidR="000E3723" w:rsidRPr="004F39F7">
        <w:t>L Walters, ‘Murder Under Duress and Judicial Decision Making in the House of Lords (1988) 8 LS 61.</w:t>
      </w:r>
    </w:p>
  </w:footnote>
  <w:footnote w:id="4">
    <w:p w14:paraId="139F7A31" w14:textId="77777777" w:rsidR="0067063A" w:rsidRPr="0067063A" w:rsidRDefault="0067063A" w:rsidP="00FE5652">
      <w:pPr>
        <w:pStyle w:val="FootnoteText"/>
        <w:ind w:left="0" w:firstLine="0"/>
      </w:pPr>
      <w:r w:rsidRPr="004F39F7">
        <w:rPr>
          <w:rStyle w:val="FootnoteReference"/>
        </w:rPr>
        <w:footnoteRef/>
      </w:r>
      <w:r w:rsidRPr="004F39F7">
        <w:t xml:space="preserve"> R v Dudley and Stephens</w:t>
      </w:r>
      <w:r w:rsidRPr="004F39F7">
        <w:rPr>
          <w:noProof/>
        </w:rPr>
        <w:t xml:space="preserve"> (1884) 14 QBD 273</w:t>
      </w:r>
      <w:r w:rsidRPr="004F39F7">
        <w:t>.</w:t>
      </w:r>
    </w:p>
  </w:footnote>
  <w:footnote w:id="5">
    <w:p w14:paraId="69E2593F" w14:textId="35A74EB9" w:rsidR="00096214" w:rsidRPr="004F39F7" w:rsidRDefault="00096214" w:rsidP="00FE5652">
      <w:pPr>
        <w:pStyle w:val="FootnoteText"/>
        <w:ind w:left="0" w:firstLine="0"/>
      </w:pPr>
      <w:r w:rsidRPr="004F39F7">
        <w:rPr>
          <w:rStyle w:val="FootnoteReference"/>
        </w:rPr>
        <w:footnoteRef/>
      </w:r>
      <w:r w:rsidRPr="004F39F7">
        <w:t xml:space="preserve"> </w:t>
      </w:r>
      <w:r w:rsidR="00FE4DC3">
        <w:t>Above n. 4</w:t>
      </w:r>
      <w:r w:rsidRPr="004F39F7">
        <w:t>.</w:t>
      </w:r>
    </w:p>
  </w:footnote>
  <w:footnote w:id="6">
    <w:p w14:paraId="2478B3D9" w14:textId="3264E52A" w:rsidR="00CE6EC1" w:rsidRPr="004F39F7" w:rsidRDefault="00CE6EC1" w:rsidP="00FE5652">
      <w:pPr>
        <w:pStyle w:val="FootnoteText"/>
        <w:ind w:left="0" w:firstLine="0"/>
        <w:rPr>
          <w:lang w:val="en-US"/>
        </w:rPr>
      </w:pPr>
      <w:r w:rsidRPr="004F39F7">
        <w:rPr>
          <w:rStyle w:val="FootnoteReference"/>
        </w:rPr>
        <w:footnoteRef/>
      </w:r>
      <w:r w:rsidRPr="004F39F7">
        <w:t xml:space="preserve"> </w:t>
      </w:r>
      <w:r w:rsidRPr="004F39F7">
        <w:rPr>
          <w:i/>
          <w:iCs/>
          <w:noProof/>
          <w:lang w:val="pt-BR"/>
        </w:rPr>
        <w:t xml:space="preserve">R v Howe </w:t>
      </w:r>
      <w:r w:rsidRPr="004F39F7">
        <w:rPr>
          <w:noProof/>
          <w:lang w:val="pt-BR"/>
        </w:rPr>
        <w:t>[1987] AC 417</w:t>
      </w:r>
    </w:p>
  </w:footnote>
  <w:footnote w:id="7">
    <w:p w14:paraId="681F6D9C" w14:textId="77777777" w:rsidR="0068395A" w:rsidRPr="004F39F7" w:rsidRDefault="0068395A" w:rsidP="00FE5652">
      <w:pPr>
        <w:spacing w:line="240" w:lineRule="auto"/>
        <w:rPr>
          <w:sz w:val="20"/>
          <w:szCs w:val="20"/>
        </w:rPr>
      </w:pPr>
      <w:r w:rsidRPr="004F39F7">
        <w:rPr>
          <w:sz w:val="20"/>
          <w:szCs w:val="20"/>
          <w:vertAlign w:val="superscript"/>
        </w:rPr>
        <w:footnoteRef/>
      </w:r>
      <w:r w:rsidRPr="004F39F7">
        <w:rPr>
          <w:sz w:val="20"/>
          <w:szCs w:val="20"/>
        </w:rPr>
        <w:t xml:space="preserve"> </w:t>
      </w:r>
      <w:r w:rsidRPr="004F39F7">
        <w:rPr>
          <w:sz w:val="20"/>
          <w:szCs w:val="20"/>
        </w:rPr>
        <w:fldChar w:fldCharType="begin"/>
      </w:r>
      <w:r w:rsidRPr="004F39F7">
        <w:rPr>
          <w:sz w:val="20"/>
          <w:szCs w:val="20"/>
        </w:rPr>
        <w:instrText xml:space="preserve"> ADDIN EN.CITE &lt;EndNote&gt;&lt;Cite&gt;&lt;Year&gt;2005&lt;/Year&gt;&lt;record&gt;&lt;titles&gt;&lt;title&gt;R v Hasan&lt;/title&gt;&lt;/titles&gt;&lt;titles&gt;&lt;secondary-title&gt;[2005] UKHL 22&lt;/secondary-title&gt;&lt;/titles&gt;&lt;added-date format='utc'&gt;1238535694&lt;/added-date&gt;&lt;ref-type name='Case'&gt;7&lt;/ref-type&gt;&lt;dates&gt;&lt;year&gt;2005&lt;/year&gt;&lt;/dates&gt;&lt;rec-number&gt;9&lt;/rec-number&gt;&lt;publisher&gt;HL&lt;/publisher&gt;&lt;last-updated-date format='utc'&gt;1238535694&lt;/last-updated-date&gt;&lt;/record&gt;&lt;/Cite&gt;&lt;/EndNote&gt;</w:instrText>
      </w:r>
      <w:r w:rsidRPr="004F39F7">
        <w:rPr>
          <w:sz w:val="20"/>
          <w:szCs w:val="20"/>
        </w:rPr>
        <w:fldChar w:fldCharType="separate"/>
      </w:r>
      <w:r w:rsidRPr="004F39F7">
        <w:rPr>
          <w:i/>
          <w:iCs/>
          <w:noProof/>
          <w:sz w:val="20"/>
          <w:szCs w:val="20"/>
        </w:rPr>
        <w:t>R v Hasan</w:t>
      </w:r>
      <w:r w:rsidRPr="004F39F7">
        <w:rPr>
          <w:i/>
          <w:noProof/>
          <w:sz w:val="20"/>
          <w:szCs w:val="20"/>
        </w:rPr>
        <w:t xml:space="preserve"> </w:t>
      </w:r>
      <w:r w:rsidRPr="004F39F7">
        <w:rPr>
          <w:noProof/>
          <w:sz w:val="20"/>
          <w:szCs w:val="20"/>
        </w:rPr>
        <w:t xml:space="preserve">[2005] UKHL 22 </w:t>
      </w:r>
      <w:r w:rsidRPr="004F39F7">
        <w:rPr>
          <w:sz w:val="20"/>
          <w:szCs w:val="20"/>
        </w:rPr>
        <w:fldChar w:fldCharType="end"/>
      </w:r>
      <w:r w:rsidRPr="004F39F7">
        <w:rPr>
          <w:sz w:val="20"/>
          <w:szCs w:val="20"/>
        </w:rPr>
        <w:t>[17]. Lord Bingham, however, fails to specify which case authority he is referring to.</w:t>
      </w:r>
    </w:p>
  </w:footnote>
  <w:footnote w:id="8">
    <w:p w14:paraId="18BCE246" w14:textId="77777777" w:rsidR="0068395A" w:rsidRPr="004F39F7" w:rsidRDefault="0068395A" w:rsidP="00FE5652">
      <w:pPr>
        <w:spacing w:line="240" w:lineRule="auto"/>
        <w:rPr>
          <w:sz w:val="20"/>
          <w:szCs w:val="20"/>
        </w:rPr>
      </w:pPr>
      <w:r w:rsidRPr="004F39F7">
        <w:rPr>
          <w:sz w:val="20"/>
          <w:szCs w:val="20"/>
          <w:vertAlign w:val="superscript"/>
        </w:rPr>
        <w:footnoteRef/>
      </w:r>
      <w:r w:rsidRPr="004F39F7">
        <w:rPr>
          <w:sz w:val="20"/>
          <w:szCs w:val="20"/>
        </w:rPr>
        <w:t xml:space="preserve"> </w:t>
      </w:r>
      <w:r w:rsidRPr="004F39F7">
        <w:rPr>
          <w:sz w:val="20"/>
          <w:szCs w:val="20"/>
        </w:rPr>
        <w:fldChar w:fldCharType="begin"/>
      </w:r>
      <w:r w:rsidRPr="004F39F7">
        <w:rPr>
          <w:sz w:val="20"/>
          <w:szCs w:val="20"/>
        </w:rPr>
        <w:instrText xml:space="preserve"> ADDIN EN.CITE &lt;EndNote&gt;&lt;Cite&gt;&lt;Author&gt;Sayre&lt;/Author&gt;&lt;Year&gt;1931 - 1932&lt;/Year&gt;&lt;record&gt;&lt;titles&gt;&lt;title&gt;Mens Rea&lt;/title&gt;&lt;/titles&gt;&lt;titles&gt;&lt;secondary-title&gt;Havard Law Review&lt;/secondary-title&gt;&lt;/titles&gt;&lt;pages&gt;974 - 1026&lt;/pages&gt;&lt;contributors&gt;&lt;authors&gt;&lt;author&gt;Sayre, Francis&lt;/author&gt;&lt;/authors&gt;&lt;/contributors&gt;&lt;section&gt;974&lt;/section&gt;&lt;added-date format='utc'&gt;1275302154&lt;/added-date&gt;&lt;ref-type name='Journal Article'&gt;17&lt;/ref-type&gt;&lt;dates&gt;&lt;year&gt;1931 - 1932&lt;/year&gt;&lt;/dates&gt;&lt;rec-number&gt;33&lt;/rec-number&gt;&lt;last-updated-date format='utc'&gt;1275302447&lt;/last-updated-date&gt;&lt;volume&gt;45&lt;/volume&gt;&lt;/record&gt;&lt;/Cite&gt;&lt;/EndNote&gt;</w:instrText>
      </w:r>
      <w:r w:rsidRPr="004F39F7">
        <w:rPr>
          <w:sz w:val="20"/>
          <w:szCs w:val="20"/>
        </w:rPr>
        <w:fldChar w:fldCharType="separate"/>
      </w:r>
      <w:r w:rsidRPr="004F39F7">
        <w:rPr>
          <w:noProof/>
          <w:sz w:val="20"/>
          <w:szCs w:val="20"/>
        </w:rPr>
        <w:t>F</w:t>
      </w:r>
      <w:r w:rsidR="00FD3256" w:rsidRPr="004F39F7">
        <w:rPr>
          <w:noProof/>
          <w:sz w:val="20"/>
          <w:szCs w:val="20"/>
        </w:rPr>
        <w:t>rancis Bowes</w:t>
      </w:r>
      <w:r w:rsidRPr="004F39F7">
        <w:rPr>
          <w:noProof/>
          <w:sz w:val="20"/>
          <w:szCs w:val="20"/>
        </w:rPr>
        <w:t xml:space="preserve"> Sayre, </w:t>
      </w:r>
      <w:r w:rsidR="004336B7" w:rsidRPr="004F39F7">
        <w:rPr>
          <w:noProof/>
          <w:sz w:val="20"/>
          <w:szCs w:val="20"/>
        </w:rPr>
        <w:t>'</w:t>
      </w:r>
      <w:r w:rsidRPr="004F39F7">
        <w:rPr>
          <w:noProof/>
          <w:sz w:val="20"/>
          <w:szCs w:val="20"/>
        </w:rPr>
        <w:t xml:space="preserve">Mens Rea' (1931 - 1932) 45 </w:t>
      </w:r>
      <w:r w:rsidRPr="007B53B8">
        <w:rPr>
          <w:i/>
          <w:iCs/>
          <w:noProof/>
          <w:sz w:val="20"/>
          <w:szCs w:val="20"/>
        </w:rPr>
        <w:t>Havard Law Review</w:t>
      </w:r>
      <w:r w:rsidRPr="004F39F7">
        <w:rPr>
          <w:i/>
          <w:iCs/>
          <w:noProof/>
          <w:sz w:val="20"/>
          <w:szCs w:val="20"/>
        </w:rPr>
        <w:t xml:space="preserve"> </w:t>
      </w:r>
      <w:r w:rsidRPr="004F39F7">
        <w:rPr>
          <w:noProof/>
          <w:sz w:val="20"/>
          <w:szCs w:val="20"/>
        </w:rPr>
        <w:t>974</w:t>
      </w:r>
      <w:r w:rsidRPr="004F39F7">
        <w:rPr>
          <w:sz w:val="20"/>
          <w:szCs w:val="20"/>
        </w:rPr>
        <w:fldChar w:fldCharType="end"/>
      </w:r>
      <w:r w:rsidRPr="004F39F7">
        <w:rPr>
          <w:sz w:val="20"/>
          <w:szCs w:val="20"/>
        </w:rPr>
        <w:t xml:space="preserve">, 1004. </w:t>
      </w:r>
    </w:p>
  </w:footnote>
  <w:footnote w:id="9">
    <w:p w14:paraId="214160C9" w14:textId="7B5EFAF7" w:rsidR="0068395A" w:rsidRPr="004F39F7" w:rsidRDefault="0068395A" w:rsidP="00FE5652">
      <w:pPr>
        <w:spacing w:line="240" w:lineRule="auto"/>
        <w:rPr>
          <w:rFonts w:cs="Arial"/>
          <w:sz w:val="20"/>
          <w:szCs w:val="20"/>
        </w:rPr>
      </w:pPr>
      <w:r w:rsidRPr="004F39F7">
        <w:rPr>
          <w:sz w:val="20"/>
          <w:szCs w:val="20"/>
          <w:vertAlign w:val="superscript"/>
        </w:rPr>
        <w:footnoteRef/>
      </w:r>
      <w:r w:rsidRPr="004F39F7">
        <w:rPr>
          <w:sz w:val="20"/>
          <w:szCs w:val="20"/>
        </w:rPr>
        <w:t xml:space="preserve"> Duress and Compulsion </w:t>
      </w:r>
      <w:proofErr w:type="gramStart"/>
      <w:r w:rsidRPr="004F39F7">
        <w:rPr>
          <w:sz w:val="20"/>
          <w:szCs w:val="20"/>
        </w:rPr>
        <w:t>are can be</w:t>
      </w:r>
      <w:proofErr w:type="gramEnd"/>
      <w:r w:rsidRPr="004F39F7">
        <w:rPr>
          <w:sz w:val="20"/>
          <w:szCs w:val="20"/>
        </w:rPr>
        <w:t xml:space="preserve"> considered synonymous according to </w:t>
      </w:r>
      <w:r w:rsidR="004C702F" w:rsidRPr="004F39F7">
        <w:rPr>
          <w:sz w:val="20"/>
          <w:szCs w:val="20"/>
        </w:rPr>
        <w:t xml:space="preserve">J.L.J. </w:t>
      </w:r>
      <w:r w:rsidRPr="004F39F7">
        <w:rPr>
          <w:sz w:val="20"/>
          <w:szCs w:val="20"/>
        </w:rPr>
        <w:t xml:space="preserve">Edwards, ‘Compulsion, Coercion and Criminal Responsibility’ (1951) 14 </w:t>
      </w:r>
      <w:r w:rsidR="00C47823">
        <w:rPr>
          <w:sz w:val="20"/>
          <w:szCs w:val="20"/>
        </w:rPr>
        <w:t>MLR</w:t>
      </w:r>
      <w:r w:rsidRPr="004F39F7">
        <w:rPr>
          <w:sz w:val="20"/>
          <w:szCs w:val="20"/>
        </w:rPr>
        <w:t xml:space="preserve"> 297, 297.  </w:t>
      </w:r>
    </w:p>
  </w:footnote>
  <w:footnote w:id="10">
    <w:p w14:paraId="642AD230" w14:textId="77777777" w:rsidR="0068395A" w:rsidRPr="004F39F7" w:rsidRDefault="0068395A" w:rsidP="00FE5652">
      <w:pPr>
        <w:pStyle w:val="FootnoteText"/>
        <w:ind w:left="0" w:firstLine="0"/>
      </w:pPr>
      <w:r w:rsidRPr="004F39F7">
        <w:rPr>
          <w:rStyle w:val="FootnoteReference"/>
        </w:rPr>
        <w:footnoteRef/>
      </w:r>
      <w:r w:rsidRPr="004F39F7">
        <w:t xml:space="preserve"> After much research, the earliest example of duress found was in the thirteenth Century in</w:t>
      </w:r>
      <w:r w:rsidR="004C702F" w:rsidRPr="004F39F7">
        <w:t xml:space="preserve"> </w:t>
      </w:r>
      <w:r w:rsidRPr="004F39F7">
        <w:t>1266.</w:t>
      </w:r>
    </w:p>
  </w:footnote>
  <w:footnote w:id="11">
    <w:p w14:paraId="59CE6D1A" w14:textId="77777777" w:rsidR="00CF7A79" w:rsidRPr="004F39F7" w:rsidRDefault="00CF7A79" w:rsidP="00FE5652">
      <w:pPr>
        <w:pStyle w:val="FootnoteText"/>
        <w:ind w:left="0" w:firstLine="0"/>
      </w:pPr>
      <w:r w:rsidRPr="004F39F7">
        <w:rPr>
          <w:rStyle w:val="FootnoteReference"/>
        </w:rPr>
        <w:footnoteRef/>
      </w:r>
      <w:r w:rsidRPr="004F39F7">
        <w:t xml:space="preserve"> Henry III Statute of the Realm 1266-67, 14-16.</w:t>
      </w:r>
    </w:p>
  </w:footnote>
  <w:footnote w:id="12">
    <w:p w14:paraId="5F3C6D56" w14:textId="77777777" w:rsidR="00CF7A79" w:rsidRPr="004F39F7" w:rsidRDefault="00CF7A79" w:rsidP="00FE5652">
      <w:pPr>
        <w:pStyle w:val="FootnoteText"/>
        <w:ind w:left="0" w:firstLine="0"/>
        <w:rPr>
          <w:szCs w:val="22"/>
        </w:rPr>
      </w:pPr>
      <w:r w:rsidRPr="004F39F7">
        <w:rPr>
          <w:rStyle w:val="FootnoteReference"/>
        </w:rPr>
        <w:footnoteRef/>
      </w:r>
      <w:r w:rsidRPr="004F39F7">
        <w:t xml:space="preserve"> Both deemed to be treason at the time.</w:t>
      </w:r>
    </w:p>
  </w:footnote>
  <w:footnote w:id="13">
    <w:p w14:paraId="2C3B75DA" w14:textId="77777777" w:rsidR="00CF7A79" w:rsidRPr="004F39F7" w:rsidRDefault="00CF7A79" w:rsidP="00FE5652">
      <w:pPr>
        <w:spacing w:line="240" w:lineRule="auto"/>
        <w:rPr>
          <w:sz w:val="20"/>
          <w:szCs w:val="20"/>
        </w:rPr>
      </w:pPr>
      <w:r w:rsidRPr="004F39F7">
        <w:rPr>
          <w:sz w:val="20"/>
          <w:szCs w:val="20"/>
          <w:vertAlign w:val="superscript"/>
        </w:rPr>
        <w:footnoteRef/>
      </w:r>
      <w:r w:rsidRPr="004F39F7">
        <w:rPr>
          <w:sz w:val="20"/>
          <w:szCs w:val="20"/>
        </w:rPr>
        <w:t xml:space="preserve"> </w:t>
      </w:r>
      <w:r w:rsidRPr="004F39F7">
        <w:rPr>
          <w:sz w:val="20"/>
          <w:szCs w:val="20"/>
        </w:rPr>
        <w:fldChar w:fldCharType="begin"/>
      </w:r>
      <w:r w:rsidRPr="004F39F7">
        <w:rPr>
          <w:sz w:val="20"/>
          <w:szCs w:val="20"/>
        </w:rPr>
        <w:instrText xml:space="preserve"> ADDIN EN.CITE &lt;EndNote&gt;&lt;Cite&gt;&lt;Year&gt;1266-67&lt;/Year&gt;&lt;IDText&gt;Henry III Statute of the Realm 1266-7&lt;/IDText&gt;&lt;DisplayText&gt;Henry III Statute of the Realm 1266-7&lt;/DisplayText&gt;&lt;record&gt;&lt;titles&gt;&lt;title&gt;Henry III Statute of the Realm 1266-7&lt;/title&gt;&lt;/titles&gt;&lt;added-date format="utc"&gt;1266531693&lt;/added-date&gt;&lt;pub-location&gt;England&lt;/pub-location&gt;&lt;ref-type name="Statute"&gt;31&lt;/ref-type&gt;&lt;dates&gt;&lt;year&gt;1266-67&lt;/year&gt;&lt;/dates&gt;&lt;rec-number&gt;30&lt;/rec-number&gt;&lt;last-updated-date format="utc"&gt;1266531843&lt;/last-updated-date&gt;&lt;/record&gt;&lt;/Cite&gt;&lt;/EndNote&gt;</w:instrText>
      </w:r>
      <w:r w:rsidRPr="004F39F7">
        <w:rPr>
          <w:sz w:val="20"/>
          <w:szCs w:val="20"/>
        </w:rPr>
        <w:fldChar w:fldCharType="separate"/>
      </w:r>
      <w:r w:rsidRPr="004F39F7">
        <w:rPr>
          <w:noProof/>
          <w:sz w:val="20"/>
          <w:szCs w:val="20"/>
        </w:rPr>
        <w:t>Henry III Statute of the Realm 1266-7</w:t>
      </w:r>
      <w:r w:rsidRPr="004F39F7">
        <w:rPr>
          <w:sz w:val="20"/>
          <w:szCs w:val="20"/>
        </w:rPr>
        <w:fldChar w:fldCharType="end"/>
      </w:r>
      <w:r w:rsidRPr="004F39F7">
        <w:rPr>
          <w:sz w:val="20"/>
          <w:szCs w:val="20"/>
        </w:rPr>
        <w:t>, 16.</w:t>
      </w:r>
    </w:p>
  </w:footnote>
  <w:footnote w:id="14">
    <w:p w14:paraId="0024FE79" w14:textId="77777777" w:rsidR="005603A8" w:rsidRPr="004F39F7" w:rsidRDefault="005603A8" w:rsidP="00FE5652">
      <w:pPr>
        <w:spacing w:line="240" w:lineRule="auto"/>
        <w:rPr>
          <w:sz w:val="20"/>
          <w:szCs w:val="20"/>
        </w:rPr>
      </w:pPr>
      <w:r w:rsidRPr="004F39F7">
        <w:rPr>
          <w:sz w:val="20"/>
          <w:szCs w:val="20"/>
          <w:vertAlign w:val="superscript"/>
        </w:rPr>
        <w:footnoteRef/>
      </w:r>
      <w:r w:rsidRPr="004F39F7">
        <w:rPr>
          <w:sz w:val="20"/>
          <w:szCs w:val="20"/>
        </w:rPr>
        <w:t xml:space="preserve"> For example, benefit of clergy, </w:t>
      </w:r>
      <w:proofErr w:type="gramStart"/>
      <w:r w:rsidRPr="004F39F7">
        <w:rPr>
          <w:sz w:val="20"/>
          <w:szCs w:val="20"/>
        </w:rPr>
        <w:t>sanctuary</w:t>
      </w:r>
      <w:proofErr w:type="gramEnd"/>
      <w:r w:rsidRPr="004F39F7">
        <w:rPr>
          <w:sz w:val="20"/>
          <w:szCs w:val="20"/>
        </w:rPr>
        <w:t xml:space="preserve"> and abjuration.</w:t>
      </w:r>
    </w:p>
  </w:footnote>
  <w:footnote w:id="15">
    <w:p w14:paraId="26430601" w14:textId="592980BB" w:rsidR="005603A8" w:rsidRPr="004F39F7" w:rsidRDefault="005603A8" w:rsidP="00FE5652">
      <w:pPr>
        <w:spacing w:line="240" w:lineRule="auto"/>
        <w:rPr>
          <w:sz w:val="20"/>
          <w:szCs w:val="20"/>
        </w:rPr>
      </w:pPr>
      <w:r w:rsidRPr="004F39F7">
        <w:rPr>
          <w:sz w:val="20"/>
          <w:szCs w:val="20"/>
          <w:vertAlign w:val="superscript"/>
        </w:rPr>
        <w:footnoteRef/>
      </w:r>
      <w:r w:rsidRPr="004F39F7">
        <w:rPr>
          <w:sz w:val="20"/>
          <w:szCs w:val="20"/>
        </w:rPr>
        <w:t xml:space="preserve"> For example, </w:t>
      </w:r>
      <w:r w:rsidRPr="004F39F7">
        <w:rPr>
          <w:sz w:val="20"/>
          <w:szCs w:val="20"/>
        </w:rPr>
        <w:fldChar w:fldCharType="begin"/>
      </w:r>
      <w:r w:rsidRPr="004F39F7">
        <w:rPr>
          <w:sz w:val="20"/>
          <w:szCs w:val="20"/>
        </w:rPr>
        <w:instrText xml:space="preserve"> ADDIN EN.CITE &lt;EndNote&gt;&lt;Cite&gt;&lt;Year&gt;1331&lt;/Year&gt;&lt;IDText&gt;John de Culewen (1331)&lt;/IDText&gt;&lt;DisplayText&gt;&lt;style face="italic"&gt;John de Culewen (1331) &lt;/style&gt;Edward III Statute of the Realm 1333&lt;/DisplayText&gt;&lt;record&gt;&lt;titles&gt;&lt;title&gt;John de Culewen (1331)&lt;/title&gt;&lt;/titles&gt;&lt;titles&gt;&lt;secondary-title&gt;Edward III Statute of the Realm 1333&lt;/secondary-title&gt;&lt;/titles&gt;&lt;added-date format="utc"&gt;1284401361&lt;/added-date&gt;&lt;ref-type name="Case"&gt;7&lt;/ref-type&gt;&lt;dates&gt;&lt;year&gt;1331&lt;/year&gt;&lt;/dates&gt;&lt;rec-number&gt;44&lt;/rec-number&gt;&lt;last-updated-date format="utc"&gt;1284401524&lt;/last-updated-date&gt;&lt;/record&gt;&lt;/Cite&gt;&lt;/EndNote&gt;</w:instrText>
      </w:r>
      <w:r w:rsidRPr="004F39F7">
        <w:rPr>
          <w:sz w:val="20"/>
          <w:szCs w:val="20"/>
        </w:rPr>
        <w:fldChar w:fldCharType="separate"/>
      </w:r>
      <w:r w:rsidRPr="004F39F7">
        <w:rPr>
          <w:i/>
          <w:iCs/>
          <w:noProof/>
          <w:sz w:val="20"/>
          <w:szCs w:val="20"/>
        </w:rPr>
        <w:t>John de Culewen</w:t>
      </w:r>
      <w:r w:rsidRPr="004F39F7">
        <w:rPr>
          <w:i/>
          <w:noProof/>
          <w:sz w:val="20"/>
          <w:szCs w:val="20"/>
        </w:rPr>
        <w:t xml:space="preserve"> </w:t>
      </w:r>
      <w:r w:rsidRPr="004F39F7">
        <w:rPr>
          <w:noProof/>
          <w:sz w:val="20"/>
          <w:szCs w:val="20"/>
        </w:rPr>
        <w:t>(1331)</w:t>
      </w:r>
      <w:r w:rsidRPr="004F39F7">
        <w:rPr>
          <w:sz w:val="20"/>
          <w:szCs w:val="20"/>
        </w:rPr>
        <w:fldChar w:fldCharType="end"/>
      </w:r>
      <w:r w:rsidRPr="004F39F7">
        <w:rPr>
          <w:sz w:val="20"/>
          <w:szCs w:val="20"/>
        </w:rPr>
        <w:t xml:space="preserve"> cited in </w:t>
      </w:r>
      <w:r w:rsidR="005D6FA8" w:rsidRPr="004F39F7">
        <w:rPr>
          <w:sz w:val="20"/>
          <w:szCs w:val="20"/>
        </w:rPr>
        <w:t xml:space="preserve">Sir </w:t>
      </w:r>
      <w:r w:rsidRPr="004F39F7">
        <w:rPr>
          <w:sz w:val="20"/>
          <w:szCs w:val="20"/>
        </w:rPr>
        <w:t>M</w:t>
      </w:r>
      <w:r w:rsidR="005D6FA8" w:rsidRPr="004F39F7">
        <w:rPr>
          <w:sz w:val="20"/>
          <w:szCs w:val="20"/>
        </w:rPr>
        <w:t xml:space="preserve">atthew </w:t>
      </w:r>
      <w:r w:rsidRPr="004F39F7">
        <w:rPr>
          <w:sz w:val="20"/>
          <w:szCs w:val="20"/>
        </w:rPr>
        <w:t xml:space="preserve">Hale, </w:t>
      </w:r>
      <w:r w:rsidRPr="00082CA0">
        <w:rPr>
          <w:sz w:val="20"/>
          <w:szCs w:val="20"/>
        </w:rPr>
        <w:t xml:space="preserve">Historia </w:t>
      </w:r>
      <w:proofErr w:type="spellStart"/>
      <w:r w:rsidRPr="00082CA0">
        <w:rPr>
          <w:sz w:val="20"/>
          <w:szCs w:val="20"/>
        </w:rPr>
        <w:t>Placitorum</w:t>
      </w:r>
      <w:proofErr w:type="spellEnd"/>
      <w:r w:rsidRPr="00082CA0">
        <w:rPr>
          <w:sz w:val="20"/>
          <w:szCs w:val="20"/>
        </w:rPr>
        <w:t xml:space="preserve"> Coronae 1736</w:t>
      </w:r>
      <w:r w:rsidR="00B82F3F" w:rsidRPr="004F39F7">
        <w:rPr>
          <w:sz w:val="20"/>
          <w:szCs w:val="20"/>
        </w:rPr>
        <w:t xml:space="preserve">, </w:t>
      </w:r>
      <w:r w:rsidR="00082CA0">
        <w:rPr>
          <w:sz w:val="20"/>
          <w:szCs w:val="20"/>
        </w:rPr>
        <w:t>(</w:t>
      </w:r>
      <w:r w:rsidR="002663C8" w:rsidRPr="004F39F7">
        <w:rPr>
          <w:sz w:val="20"/>
          <w:szCs w:val="20"/>
        </w:rPr>
        <w:t xml:space="preserve">London, </w:t>
      </w:r>
      <w:r w:rsidRPr="004F39F7">
        <w:rPr>
          <w:sz w:val="20"/>
          <w:szCs w:val="20"/>
        </w:rPr>
        <w:t>1971</w:t>
      </w:r>
      <w:r w:rsidR="002B22C4">
        <w:rPr>
          <w:sz w:val="20"/>
          <w:szCs w:val="20"/>
        </w:rPr>
        <w:t>)</w:t>
      </w:r>
      <w:r w:rsidRPr="004F39F7">
        <w:rPr>
          <w:sz w:val="20"/>
          <w:szCs w:val="20"/>
        </w:rPr>
        <w:t xml:space="preserve"> 167-168.  </w:t>
      </w:r>
    </w:p>
  </w:footnote>
  <w:footnote w:id="16">
    <w:p w14:paraId="744A27FB" w14:textId="77777777" w:rsidR="005603A8" w:rsidRPr="004F39F7" w:rsidRDefault="005603A8" w:rsidP="00FE5652">
      <w:pPr>
        <w:pStyle w:val="FootnoteText"/>
        <w:ind w:left="0" w:firstLine="0"/>
      </w:pPr>
      <w:r w:rsidRPr="004F39F7">
        <w:rPr>
          <w:rStyle w:val="FootnoteReference"/>
        </w:rPr>
        <w:footnoteRef/>
      </w:r>
      <w:r w:rsidRPr="004F39F7">
        <w:t xml:space="preserve"> Treason was one of the first crimes to gain a statutory definition in the Treason Act 1351.</w:t>
      </w:r>
    </w:p>
  </w:footnote>
  <w:footnote w:id="17">
    <w:p w14:paraId="5BECCBAE" w14:textId="77777777" w:rsidR="005603A8" w:rsidRPr="004F39F7" w:rsidRDefault="005603A8" w:rsidP="00FE5652">
      <w:pPr>
        <w:spacing w:line="240" w:lineRule="auto"/>
        <w:rPr>
          <w:sz w:val="20"/>
          <w:szCs w:val="20"/>
        </w:rPr>
      </w:pPr>
      <w:r w:rsidRPr="004F39F7">
        <w:rPr>
          <w:sz w:val="20"/>
          <w:szCs w:val="20"/>
          <w:vertAlign w:val="superscript"/>
        </w:rPr>
        <w:footnoteRef/>
      </w:r>
      <w:r w:rsidRPr="004F39F7">
        <w:rPr>
          <w:sz w:val="20"/>
          <w:szCs w:val="20"/>
          <w:vertAlign w:val="superscript"/>
        </w:rPr>
        <w:t xml:space="preserve"> </w:t>
      </w:r>
      <w:r w:rsidRPr="004F39F7">
        <w:rPr>
          <w:sz w:val="20"/>
          <w:szCs w:val="20"/>
        </w:rPr>
        <w:t>C</w:t>
      </w:r>
      <w:r w:rsidR="003D090D" w:rsidRPr="004F39F7">
        <w:rPr>
          <w:sz w:val="20"/>
          <w:szCs w:val="20"/>
        </w:rPr>
        <w:t>.</w:t>
      </w:r>
      <w:r w:rsidRPr="004F39F7">
        <w:rPr>
          <w:sz w:val="20"/>
          <w:szCs w:val="20"/>
        </w:rPr>
        <w:t>B</w:t>
      </w:r>
      <w:r w:rsidR="003D090D" w:rsidRPr="004F39F7">
        <w:rPr>
          <w:sz w:val="20"/>
          <w:szCs w:val="20"/>
        </w:rPr>
        <w:t>.</w:t>
      </w:r>
      <w:r w:rsidRPr="004F39F7">
        <w:rPr>
          <w:sz w:val="20"/>
          <w:szCs w:val="20"/>
        </w:rPr>
        <w:t xml:space="preserve"> Firth, ‘Benefit of Clergy in the time of Edward IV’ (1917) 32 </w:t>
      </w:r>
      <w:r w:rsidRPr="004F39F7">
        <w:rPr>
          <w:i/>
          <w:iCs/>
          <w:sz w:val="20"/>
          <w:szCs w:val="20"/>
        </w:rPr>
        <w:t>The Historical Review</w:t>
      </w:r>
      <w:r w:rsidRPr="004F39F7">
        <w:rPr>
          <w:sz w:val="20"/>
          <w:szCs w:val="20"/>
        </w:rPr>
        <w:t xml:space="preserve"> 175, 182- 183.</w:t>
      </w:r>
    </w:p>
  </w:footnote>
  <w:footnote w:id="18">
    <w:p w14:paraId="264ECA06" w14:textId="17468500" w:rsidR="005603A8" w:rsidRPr="004F39F7" w:rsidRDefault="005603A8" w:rsidP="00FE5652">
      <w:pPr>
        <w:spacing w:line="240" w:lineRule="auto"/>
        <w:rPr>
          <w:sz w:val="22"/>
          <w:szCs w:val="22"/>
        </w:rPr>
      </w:pPr>
      <w:r w:rsidRPr="004F39F7">
        <w:rPr>
          <w:sz w:val="20"/>
          <w:szCs w:val="20"/>
          <w:vertAlign w:val="superscript"/>
        </w:rPr>
        <w:footnoteRef/>
      </w:r>
      <w:r w:rsidRPr="004F39F7">
        <w:rPr>
          <w:sz w:val="20"/>
          <w:szCs w:val="20"/>
        </w:rPr>
        <w:t xml:space="preserve"> </w:t>
      </w:r>
      <w:r w:rsidR="00342654">
        <w:rPr>
          <w:sz w:val="20"/>
          <w:szCs w:val="20"/>
        </w:rPr>
        <w:t xml:space="preserve">See </w:t>
      </w:r>
      <w:r w:rsidRPr="004F39F7">
        <w:rPr>
          <w:sz w:val="20"/>
          <w:szCs w:val="20"/>
        </w:rPr>
        <w:t>Holdsworth</w:t>
      </w:r>
      <w:r w:rsidR="00412E0D" w:rsidRPr="004F39F7">
        <w:rPr>
          <w:sz w:val="20"/>
          <w:szCs w:val="20"/>
        </w:rPr>
        <w:t xml:space="preserve">, </w:t>
      </w:r>
      <w:r w:rsidR="00342654">
        <w:rPr>
          <w:sz w:val="20"/>
          <w:szCs w:val="20"/>
        </w:rPr>
        <w:t>above n. 2 at</w:t>
      </w:r>
      <w:r w:rsidRPr="004F39F7">
        <w:rPr>
          <w:i/>
          <w:sz w:val="20"/>
          <w:szCs w:val="20"/>
        </w:rPr>
        <w:t xml:space="preserve"> </w:t>
      </w:r>
      <w:r w:rsidRPr="004F39F7">
        <w:rPr>
          <w:sz w:val="20"/>
          <w:szCs w:val="20"/>
        </w:rPr>
        <w:t>287–372.</w:t>
      </w:r>
    </w:p>
  </w:footnote>
  <w:footnote w:id="19">
    <w:p w14:paraId="6B57B058" w14:textId="4F11B87F" w:rsidR="00B62216" w:rsidRPr="006E0224" w:rsidRDefault="00B62216" w:rsidP="00FE5652">
      <w:pPr>
        <w:pStyle w:val="FootnoteText"/>
        <w:ind w:left="0" w:firstLine="0"/>
        <w:rPr>
          <w:lang w:val="nl-NL"/>
        </w:rPr>
      </w:pPr>
      <w:r w:rsidRPr="006E0224">
        <w:rPr>
          <w:rStyle w:val="FootnoteReference"/>
        </w:rPr>
        <w:footnoteRef/>
      </w:r>
      <w:r w:rsidRPr="006E0224">
        <w:rPr>
          <w:lang w:val="nl-NL"/>
        </w:rPr>
        <w:t xml:space="preserve"> </w:t>
      </w:r>
      <w:r w:rsidR="00136B70" w:rsidRPr="006E0224">
        <w:rPr>
          <w:lang w:val="nl-NL"/>
        </w:rPr>
        <w:t>Above, n. 15 at</w:t>
      </w:r>
      <w:r w:rsidR="0046428A" w:rsidRPr="006E0224">
        <w:t xml:space="preserve"> </w:t>
      </w:r>
      <w:r w:rsidRPr="006E0224">
        <w:rPr>
          <w:lang w:val="nl-NL"/>
        </w:rPr>
        <w:t>167-168.</w:t>
      </w:r>
    </w:p>
  </w:footnote>
  <w:footnote w:id="20">
    <w:p w14:paraId="293883E9" w14:textId="0CE808C8" w:rsidR="004476C5" w:rsidRPr="006E0224" w:rsidRDefault="004476C5" w:rsidP="00FE5652">
      <w:pPr>
        <w:tabs>
          <w:tab w:val="left" w:pos="0"/>
        </w:tabs>
        <w:spacing w:line="240" w:lineRule="auto"/>
        <w:contextualSpacing/>
        <w:jc w:val="both"/>
        <w:rPr>
          <w:sz w:val="20"/>
          <w:szCs w:val="20"/>
        </w:rPr>
      </w:pPr>
      <w:r w:rsidRPr="006E0224">
        <w:rPr>
          <w:rStyle w:val="FootnoteReference"/>
          <w:sz w:val="20"/>
          <w:szCs w:val="20"/>
        </w:rPr>
        <w:footnoteRef/>
      </w:r>
      <w:r w:rsidRPr="006E0224">
        <w:rPr>
          <w:sz w:val="20"/>
          <w:szCs w:val="20"/>
        </w:rPr>
        <w:t xml:space="preserve"> </w:t>
      </w:r>
      <w:r w:rsidRPr="006E0224">
        <w:rPr>
          <w:sz w:val="20"/>
          <w:szCs w:val="20"/>
        </w:rPr>
        <w:fldChar w:fldCharType="begin"/>
      </w:r>
      <w:r w:rsidRPr="006E0224">
        <w:rPr>
          <w:sz w:val="20"/>
          <w:szCs w:val="20"/>
        </w:rPr>
        <w:instrText xml:space="preserve"> ADDIN EN.CITE &lt;EndNote&gt;&lt;Cite&gt;&lt;Year&gt;1419&lt;/Year&gt;&lt;DisplayText&gt;&lt;style face="italic"&gt;Oldcastle&amp;apos;s case &lt;/style&gt;&lt;/DisplayText&gt;&lt;record&gt;&lt;titles&gt;&lt;title&gt;Oldcastle&amp;apos;s case&lt;/title&gt;&lt;secondary-title&gt;(1419) 1 Hale 50&lt;/secondary-title&gt;&lt;/titles&gt;&lt;added-date format="utc"&gt;1249986807&lt;/added-date&gt;&lt;ref-type name="Case"&gt;7&lt;/ref-type&gt;&lt;dates&gt;&lt;year&gt;1419&lt;/year&gt;&lt;/dates&gt;&lt;rec-number&gt;27&lt;/rec-number&gt;&lt;last-updated-date format="utc"&gt;1251983510&lt;/last-updated-date&gt;&lt;/record&gt;&lt;/Cite&gt;&lt;/EndNote&gt;</w:instrText>
      </w:r>
      <w:r w:rsidRPr="006E0224">
        <w:rPr>
          <w:sz w:val="20"/>
          <w:szCs w:val="20"/>
        </w:rPr>
        <w:fldChar w:fldCharType="separate"/>
      </w:r>
      <w:r w:rsidRPr="006E0224">
        <w:rPr>
          <w:i/>
          <w:iCs/>
          <w:noProof/>
          <w:sz w:val="20"/>
          <w:szCs w:val="20"/>
        </w:rPr>
        <w:t>Oldcastle's case</w:t>
      </w:r>
      <w:r w:rsidRPr="006E0224">
        <w:rPr>
          <w:i/>
          <w:noProof/>
          <w:sz w:val="20"/>
          <w:szCs w:val="20"/>
        </w:rPr>
        <w:t xml:space="preserve"> </w:t>
      </w:r>
      <w:r w:rsidRPr="006E0224">
        <w:rPr>
          <w:sz w:val="20"/>
          <w:szCs w:val="20"/>
        </w:rPr>
        <w:fldChar w:fldCharType="end"/>
      </w:r>
      <w:r w:rsidRPr="006E0224">
        <w:rPr>
          <w:sz w:val="20"/>
          <w:szCs w:val="20"/>
        </w:rPr>
        <w:t>(1419) 1 Hale 50.</w:t>
      </w:r>
    </w:p>
  </w:footnote>
  <w:footnote w:id="21">
    <w:p w14:paraId="7829539D" w14:textId="77777777" w:rsidR="004476C5" w:rsidRPr="006E0224" w:rsidRDefault="004476C5" w:rsidP="00FE5652">
      <w:pPr>
        <w:pStyle w:val="FootnoteText"/>
        <w:ind w:left="0" w:firstLine="0"/>
      </w:pPr>
      <w:r w:rsidRPr="006E0224">
        <w:rPr>
          <w:rStyle w:val="FootnoteReference"/>
        </w:rPr>
        <w:footnoteRef/>
      </w:r>
      <w:r w:rsidRPr="006E0224">
        <w:t xml:space="preserve"> W</w:t>
      </w:r>
      <w:r w:rsidR="00D732BD" w:rsidRPr="006E0224">
        <w:t>.</w:t>
      </w:r>
      <w:r w:rsidRPr="006E0224">
        <w:t>T</w:t>
      </w:r>
      <w:r w:rsidR="00D732BD" w:rsidRPr="006E0224">
        <w:t>.</w:t>
      </w:r>
      <w:r w:rsidRPr="006E0224">
        <w:t xml:space="preserve"> Waugh, 'Sir John Oldcastle' (1905) 20 </w:t>
      </w:r>
      <w:r w:rsidRPr="006E0224">
        <w:rPr>
          <w:i/>
          <w:iCs/>
        </w:rPr>
        <w:t>The English Historical Review</w:t>
      </w:r>
      <w:r w:rsidRPr="006E0224">
        <w:t xml:space="preserve"> 434, 434-43.</w:t>
      </w:r>
    </w:p>
  </w:footnote>
  <w:footnote w:id="22">
    <w:p w14:paraId="6479A34C" w14:textId="77777777" w:rsidR="004476C5" w:rsidRPr="006E0224" w:rsidRDefault="004476C5" w:rsidP="00FE5652">
      <w:pPr>
        <w:pStyle w:val="FootnoteText"/>
        <w:ind w:left="0" w:firstLine="0"/>
      </w:pPr>
      <w:r w:rsidRPr="006E0224">
        <w:rPr>
          <w:rStyle w:val="FootnoteReference"/>
        </w:rPr>
        <w:footnoteRef/>
      </w:r>
      <w:r w:rsidRPr="006E0224">
        <w:t xml:space="preserve"> </w:t>
      </w:r>
      <w:r w:rsidRPr="006E0224">
        <w:rPr>
          <w:i/>
          <w:iCs/>
          <w:noProof/>
        </w:rPr>
        <w:t>R v Oldcastle</w:t>
      </w:r>
      <w:r w:rsidRPr="006E0224">
        <w:rPr>
          <w:i/>
          <w:noProof/>
        </w:rPr>
        <w:t xml:space="preserve"> </w:t>
      </w:r>
      <w:r w:rsidRPr="006E0224">
        <w:rPr>
          <w:noProof/>
        </w:rPr>
        <w:t>(1413)</w:t>
      </w:r>
      <w:r w:rsidRPr="006E0224">
        <w:rPr>
          <w:i/>
          <w:noProof/>
        </w:rPr>
        <w:t xml:space="preserve"> </w:t>
      </w:r>
      <w:r w:rsidRPr="006E0224">
        <w:rPr>
          <w:noProof/>
        </w:rPr>
        <w:t>1</w:t>
      </w:r>
      <w:r w:rsidRPr="006E0224">
        <w:rPr>
          <w:i/>
          <w:noProof/>
        </w:rPr>
        <w:t xml:space="preserve"> </w:t>
      </w:r>
      <w:r w:rsidRPr="006E0224">
        <w:rPr>
          <w:noProof/>
        </w:rPr>
        <w:t>St Tr 226.</w:t>
      </w:r>
    </w:p>
  </w:footnote>
  <w:footnote w:id="23">
    <w:p w14:paraId="297A7ECA" w14:textId="05914781" w:rsidR="004476C5" w:rsidRPr="006E0224" w:rsidRDefault="004476C5" w:rsidP="00FE5652">
      <w:pPr>
        <w:pStyle w:val="FootnoteText"/>
        <w:ind w:left="0" w:firstLine="0"/>
      </w:pPr>
      <w:r w:rsidRPr="006E0224">
        <w:rPr>
          <w:rStyle w:val="FootnoteReference"/>
        </w:rPr>
        <w:footnoteRef/>
      </w:r>
      <w:r w:rsidRPr="006E0224">
        <w:t xml:space="preserve"> </w:t>
      </w:r>
      <w:r w:rsidR="00922BD9">
        <w:t xml:space="preserve">See </w:t>
      </w:r>
      <w:r w:rsidRPr="006E0224">
        <w:fldChar w:fldCharType="begin"/>
      </w:r>
      <w:r w:rsidRPr="006E0224">
        <w:instrText xml:space="preserve"> ADDIN EN.CITE &lt;EndNote&gt;&lt;Cite&gt;&lt;Author&gt;Waugh&lt;/Author&gt;&lt;Year&gt;1905&lt;/Year&gt;&lt;record&gt;&lt;titles&gt;&lt;title&gt;Sir John Oldcastle&lt;/title&gt;&lt;secondary-title&gt;The English Historical Review&lt;/secondary-title&gt;&lt;/titles&gt;&lt;pages&gt;434-456&lt;/pages&gt;&lt;number&gt;79&lt;/number&gt;&lt;contributors&gt;&lt;authors&gt;&lt;author&gt;Waugh, W.T&lt;/author&gt;&lt;/authors&gt;&lt;/contributors&gt;&lt;added-date format='utc'&gt;1249912274&lt;/added-date&gt;&lt;ref-type name='Journal Article'&gt;17&lt;/ref-type&gt;&lt;dates&gt;&lt;year&gt;1905&lt;/year&gt;&lt;/dates&gt;&lt;rec-number&gt;25&lt;/rec-number&gt;&lt;last-updated-date format='utc'&gt;1249912274&lt;/last-updated-date&gt;&lt;volume&gt;20&lt;/volume&gt;&lt;/record&gt;&lt;/Cite&gt;&lt;/EndNote&gt;</w:instrText>
      </w:r>
      <w:r w:rsidRPr="006E0224">
        <w:fldChar w:fldCharType="separate"/>
      </w:r>
      <w:r w:rsidRPr="006E0224">
        <w:rPr>
          <w:noProof/>
        </w:rPr>
        <w:t>Waugh</w:t>
      </w:r>
      <w:r w:rsidR="00D732BD" w:rsidRPr="006E0224">
        <w:rPr>
          <w:noProof/>
        </w:rPr>
        <w:t xml:space="preserve">, </w:t>
      </w:r>
      <w:r w:rsidR="00F9308B">
        <w:rPr>
          <w:noProof/>
        </w:rPr>
        <w:t>above n. 21 at</w:t>
      </w:r>
      <w:r w:rsidR="003C1ED7">
        <w:rPr>
          <w:noProof/>
        </w:rPr>
        <w:t xml:space="preserve"> </w:t>
      </w:r>
      <w:r w:rsidRPr="006E0224">
        <w:rPr>
          <w:noProof/>
        </w:rPr>
        <w:t>455</w:t>
      </w:r>
      <w:r w:rsidRPr="006E0224">
        <w:fldChar w:fldCharType="end"/>
      </w:r>
      <w:r w:rsidRPr="006E0224">
        <w:t>.</w:t>
      </w:r>
    </w:p>
  </w:footnote>
  <w:footnote w:id="24">
    <w:p w14:paraId="5B5EDF9A" w14:textId="1023569B" w:rsidR="004476C5" w:rsidRPr="006E0224" w:rsidRDefault="004476C5" w:rsidP="00FE5652">
      <w:pPr>
        <w:pStyle w:val="FootnoteText"/>
        <w:ind w:left="0" w:firstLine="0"/>
      </w:pPr>
      <w:r w:rsidRPr="006E0224">
        <w:rPr>
          <w:rStyle w:val="FootnoteReference"/>
        </w:rPr>
        <w:footnoteRef/>
      </w:r>
      <w:r w:rsidRPr="006E0224">
        <w:t xml:space="preserve"> M</w:t>
      </w:r>
      <w:r w:rsidR="00D30023" w:rsidRPr="006E0224">
        <w:t>aurice</w:t>
      </w:r>
      <w:r w:rsidRPr="006E0224">
        <w:t xml:space="preserve"> Keen, </w:t>
      </w:r>
      <w:r w:rsidRPr="001F1F86">
        <w:t>England in the Later Middle Ages</w:t>
      </w:r>
      <w:r w:rsidR="0072419D" w:rsidRPr="006E0224">
        <w:t xml:space="preserve">, </w:t>
      </w:r>
      <w:r w:rsidRPr="006E0224">
        <w:t>2</w:t>
      </w:r>
      <w:r w:rsidR="008959D7" w:rsidRPr="008959D7">
        <w:rPr>
          <w:vertAlign w:val="superscript"/>
        </w:rPr>
        <w:t>nd</w:t>
      </w:r>
      <w:r w:rsidR="008959D7">
        <w:t xml:space="preserve"> </w:t>
      </w:r>
      <w:proofErr w:type="spellStart"/>
      <w:r w:rsidRPr="006E0224">
        <w:t>ed</w:t>
      </w:r>
      <w:r w:rsidR="008959D7">
        <w:t>n</w:t>
      </w:r>
      <w:proofErr w:type="spellEnd"/>
      <w:r w:rsidRPr="006E0224">
        <w:t xml:space="preserve"> </w:t>
      </w:r>
      <w:r w:rsidR="00493B92">
        <w:t xml:space="preserve">(Routledge: </w:t>
      </w:r>
      <w:r w:rsidR="00506122" w:rsidRPr="006E0224">
        <w:t>London</w:t>
      </w:r>
      <w:r w:rsidR="003549A5" w:rsidRPr="006E0224">
        <w:t>,</w:t>
      </w:r>
      <w:r w:rsidR="00506122" w:rsidRPr="006E0224">
        <w:t xml:space="preserve"> </w:t>
      </w:r>
      <w:r w:rsidRPr="006E0224">
        <w:t>2003</w:t>
      </w:r>
      <w:r w:rsidR="00493B92">
        <w:t>)</w:t>
      </w:r>
      <w:r w:rsidRPr="006E0224">
        <w:t xml:space="preserve"> 189.</w:t>
      </w:r>
    </w:p>
  </w:footnote>
  <w:footnote w:id="25">
    <w:p w14:paraId="61B4F714" w14:textId="287CB800" w:rsidR="004476C5" w:rsidRPr="0025290E" w:rsidRDefault="004476C5" w:rsidP="00FE5652">
      <w:pPr>
        <w:pStyle w:val="FootnoteText"/>
        <w:ind w:left="0" w:firstLine="0"/>
      </w:pPr>
      <w:r w:rsidRPr="006E0224">
        <w:rPr>
          <w:rStyle w:val="FootnoteReference"/>
        </w:rPr>
        <w:footnoteRef/>
      </w:r>
      <w:r w:rsidRPr="006E0224">
        <w:t xml:space="preserve"> J</w:t>
      </w:r>
      <w:r w:rsidR="007D7234" w:rsidRPr="006E0224">
        <w:t>ohn A.F.</w:t>
      </w:r>
      <w:r w:rsidRPr="006E0224">
        <w:t xml:space="preserve"> Thomson, </w:t>
      </w:r>
      <w:r w:rsidRPr="001F1F86">
        <w:t>Oldcastle, John, Baron, Cobham</w:t>
      </w:r>
      <w:r w:rsidR="0020438F" w:rsidRPr="006E0224">
        <w:t xml:space="preserve">, </w:t>
      </w:r>
      <w:r w:rsidRPr="006E0224">
        <w:t>Oxford</w:t>
      </w:r>
      <w:r w:rsidR="00880BD8">
        <w:t xml:space="preserve"> Dictionary of National Biography</w:t>
      </w:r>
      <w:r w:rsidR="008B4A71">
        <w:t xml:space="preserve"> (</w:t>
      </w:r>
      <w:r w:rsidR="009636A8">
        <w:t>Oxford University Press: Oxford,</w:t>
      </w:r>
      <w:r w:rsidRPr="006E0224">
        <w:t xml:space="preserve"> 200</w:t>
      </w:r>
      <w:r w:rsidR="00016822">
        <w:t>8</w:t>
      </w:r>
      <w:r w:rsidR="009636A8">
        <w:t>)</w:t>
      </w:r>
      <w:r w:rsidRPr="006E0224">
        <w:t>.</w:t>
      </w:r>
    </w:p>
  </w:footnote>
  <w:footnote w:id="26">
    <w:p w14:paraId="767795D3" w14:textId="77777777" w:rsidR="004476C5" w:rsidRPr="00425B7E" w:rsidRDefault="004476C5" w:rsidP="00FE5652">
      <w:pPr>
        <w:pStyle w:val="FootnoteText"/>
        <w:ind w:left="0" w:firstLine="0"/>
      </w:pPr>
      <w:r w:rsidRPr="00425B7E">
        <w:rPr>
          <w:rStyle w:val="FootnoteReference"/>
        </w:rPr>
        <w:footnoteRef/>
      </w:r>
      <w:r w:rsidRPr="00425B7E">
        <w:t xml:space="preserve"> H</w:t>
      </w:r>
      <w:r w:rsidR="006B37C3" w:rsidRPr="00425B7E">
        <w:t>.</w:t>
      </w:r>
      <w:r w:rsidRPr="00425B7E">
        <w:t>G</w:t>
      </w:r>
      <w:r w:rsidR="006B37C3" w:rsidRPr="00425B7E">
        <w:t>.</w:t>
      </w:r>
      <w:r w:rsidRPr="00425B7E">
        <w:t xml:space="preserve"> Richardson, 'John Oldcastle in Hiding August - October 1417' (1940) 55 </w:t>
      </w:r>
      <w:r w:rsidRPr="00425B7E">
        <w:rPr>
          <w:i/>
          <w:iCs/>
        </w:rPr>
        <w:t>The English Historical Review</w:t>
      </w:r>
      <w:r w:rsidRPr="00425B7E">
        <w:t xml:space="preserve"> 432, 432.</w:t>
      </w:r>
    </w:p>
  </w:footnote>
  <w:footnote w:id="27">
    <w:p w14:paraId="64BBBE81" w14:textId="2FAE0D7C" w:rsidR="004476C5" w:rsidRPr="00425B7E" w:rsidRDefault="004476C5" w:rsidP="00FE5652">
      <w:pPr>
        <w:pStyle w:val="FootnoteText"/>
        <w:ind w:left="0" w:firstLine="0"/>
      </w:pPr>
      <w:r w:rsidRPr="00425B7E">
        <w:rPr>
          <w:rStyle w:val="FootnoteReference"/>
        </w:rPr>
        <w:footnoteRef/>
      </w:r>
      <w:r w:rsidRPr="00425B7E">
        <w:t xml:space="preserve"> </w:t>
      </w:r>
      <w:r w:rsidR="00821BA1">
        <w:t>I</w:t>
      </w:r>
      <w:r w:rsidRPr="00425B7E">
        <w:t>bid</w:t>
      </w:r>
      <w:r w:rsidR="00821BA1">
        <w:t xml:space="preserve">, at </w:t>
      </w:r>
      <w:r w:rsidRPr="00425B7E">
        <w:t>432, states 1317 at this point in his account, but this appears to be an error.</w:t>
      </w:r>
    </w:p>
  </w:footnote>
  <w:footnote w:id="28">
    <w:p w14:paraId="34574CAA" w14:textId="599E85DE" w:rsidR="00E95EEB" w:rsidRPr="00425B7E" w:rsidRDefault="00E95EEB" w:rsidP="00FE5652">
      <w:pPr>
        <w:pStyle w:val="FootnoteText"/>
        <w:ind w:left="0" w:firstLine="0"/>
      </w:pPr>
      <w:r w:rsidRPr="00425B7E">
        <w:rPr>
          <w:rStyle w:val="FootnoteReference"/>
        </w:rPr>
        <w:footnoteRef/>
      </w:r>
      <w:r w:rsidRPr="00425B7E">
        <w:t xml:space="preserve"> </w:t>
      </w:r>
      <w:r w:rsidR="00821BA1">
        <w:t xml:space="preserve">See </w:t>
      </w:r>
      <w:r w:rsidRPr="00425B7E">
        <w:fldChar w:fldCharType="begin"/>
      </w:r>
      <w:r w:rsidRPr="00425B7E">
        <w:instrText xml:space="preserve"> ADDIN EN.CITE &lt;EndNote&gt;&lt;Cite&gt;&lt;Author&gt;Hale&lt;/Author&gt;&lt;Year&gt;1971&lt;/Year&gt;&lt;IDText&gt;Historia Placitorum Coronae, 1736&lt;/IDText&gt;&lt;DisplayText&gt;Hale&lt;/DisplayText&gt;&lt;record&gt;&lt;keywords&gt;&lt;keyword&gt;Criminal law England History.&lt;/keyword&gt;&lt;keyword&gt;England Criminal law to ca 1675&lt;/keyword&gt;&lt;/keywords&gt;&lt;isbn&gt;¹28.00 the set&lt;/isbn&gt;&lt;titles&gt;&lt;title&gt;Historia Placitorum Coronae, 1736&lt;/title&gt;&lt;/titles&gt;&lt;titles&gt;&lt;secondary-title&gt;Classical English Law Texts&lt;/secondary-title&gt;&lt;/titles&gt;&lt;pages&gt;[8],414,[298]p.&lt;/pages&gt;&lt;call-num&gt;KD7850&amp;#xD;345/.42/009 18&lt;/call-num&gt;&lt;contributors&gt;&lt;authors&gt;&lt;author&gt;Hale, Matthew Sir&lt;/author&gt;&lt;/authors&gt;&lt;/contributors&gt;&lt;added-date format="utc"&gt;1249987987&lt;/added-date&gt;&lt;pub-location&gt;London (50 Old Brompton Rd, S.W.7)&lt;/pub-location&gt;&lt;ref-type name="Book"&gt;6&lt;/ref-type&gt;&lt;dates&gt;&lt;year&gt;1971&lt;/year&gt;&lt;/dates&gt;&lt;rec-number&gt;29&lt;/rec-number&gt;&lt;publisher&gt;Professional Books Ltd&lt;/publisher&gt;&lt;last-updated-date format="utc"&gt;1275604530&lt;/last-updated-date&gt;&lt;accession-num&gt;b7605586&lt;/accession-num&gt;&lt;/record&gt;&lt;/Cite&gt;&lt;/EndNote&gt;</w:instrText>
      </w:r>
      <w:r w:rsidRPr="00425B7E">
        <w:fldChar w:fldCharType="separate"/>
      </w:r>
      <w:r w:rsidRPr="00425B7E">
        <w:rPr>
          <w:noProof/>
        </w:rPr>
        <w:t>Hale</w:t>
      </w:r>
      <w:r w:rsidRPr="00425B7E">
        <w:fldChar w:fldCharType="end"/>
      </w:r>
      <w:r w:rsidR="00821BA1">
        <w:t xml:space="preserve"> above</w:t>
      </w:r>
      <w:r w:rsidRPr="00425B7E">
        <w:t xml:space="preserve">, </w:t>
      </w:r>
      <w:r w:rsidR="00821BA1">
        <w:t>n. 15 at</w:t>
      </w:r>
      <w:r w:rsidRPr="00425B7E">
        <w:t xml:space="preserve"> 50.</w:t>
      </w:r>
    </w:p>
  </w:footnote>
  <w:footnote w:id="29">
    <w:p w14:paraId="1424D91F" w14:textId="3775CFBF" w:rsidR="00E95EEB" w:rsidRPr="00425B7E" w:rsidRDefault="00E95EEB" w:rsidP="00FE5652">
      <w:pPr>
        <w:pStyle w:val="FootnoteText"/>
        <w:ind w:left="0" w:firstLine="0"/>
      </w:pPr>
      <w:r w:rsidRPr="00425B7E">
        <w:rPr>
          <w:rStyle w:val="FootnoteReference"/>
        </w:rPr>
        <w:footnoteRef/>
      </w:r>
      <w:r w:rsidRPr="00425B7E">
        <w:t xml:space="preserve"> D</w:t>
      </w:r>
      <w:r w:rsidR="00D812BF" w:rsidRPr="00425B7E">
        <w:t>avid</w:t>
      </w:r>
      <w:r w:rsidRPr="00425B7E">
        <w:t xml:space="preserve"> O</w:t>
      </w:r>
      <w:r w:rsidR="00134970">
        <w:t>r</w:t>
      </w:r>
      <w:r w:rsidRPr="00425B7E">
        <w:t>merod</w:t>
      </w:r>
      <w:r w:rsidR="0001764C">
        <w:t xml:space="preserve"> and Karl Laird</w:t>
      </w:r>
      <w:r w:rsidRPr="00425B7E">
        <w:t xml:space="preserve">, </w:t>
      </w:r>
      <w:r w:rsidRPr="00A72C6F">
        <w:t>Smith</w:t>
      </w:r>
      <w:r w:rsidR="0001764C" w:rsidRPr="00A72C6F">
        <w:t>,</w:t>
      </w:r>
      <w:r w:rsidRPr="00A72C6F">
        <w:t xml:space="preserve"> Hogan</w:t>
      </w:r>
      <w:r w:rsidR="0001764C" w:rsidRPr="00A72C6F">
        <w:t xml:space="preserve"> and Ormerod</w:t>
      </w:r>
      <w:r w:rsidRPr="00A72C6F">
        <w:t>’s Criminal Law</w:t>
      </w:r>
      <w:r w:rsidR="00D812BF" w:rsidRPr="00425B7E">
        <w:t xml:space="preserve">, </w:t>
      </w:r>
      <w:r w:rsidRPr="00425B7E">
        <w:t>1</w:t>
      </w:r>
      <w:r w:rsidR="00A72C6F">
        <w:t>6</w:t>
      </w:r>
      <w:r w:rsidRPr="00425B7E">
        <w:rPr>
          <w:vertAlign w:val="superscript"/>
        </w:rPr>
        <w:t>th</w:t>
      </w:r>
      <w:r w:rsidRPr="00425B7E">
        <w:t xml:space="preserve"> </w:t>
      </w:r>
      <w:proofErr w:type="spellStart"/>
      <w:r w:rsidRPr="00425B7E">
        <w:t>ed</w:t>
      </w:r>
      <w:r w:rsidR="00821BA1">
        <w:t>n</w:t>
      </w:r>
      <w:proofErr w:type="spellEnd"/>
      <w:r w:rsidR="00821BA1">
        <w:t xml:space="preserve"> (</w:t>
      </w:r>
      <w:r w:rsidRPr="00425B7E">
        <w:t>Oxford</w:t>
      </w:r>
      <w:r w:rsidR="00821BA1">
        <w:t xml:space="preserve"> University Press: Oxford</w:t>
      </w:r>
      <w:r w:rsidR="00D812BF" w:rsidRPr="00425B7E">
        <w:t>,</w:t>
      </w:r>
      <w:r w:rsidRPr="00425B7E">
        <w:t xml:space="preserve"> 20</w:t>
      </w:r>
      <w:r w:rsidR="00A72C6F">
        <w:t>2</w:t>
      </w:r>
      <w:r w:rsidRPr="00425B7E">
        <w:t>1</w:t>
      </w:r>
      <w:r w:rsidR="00A72C6F">
        <w:t>)</w:t>
      </w:r>
      <w:r w:rsidRPr="00425B7E">
        <w:t xml:space="preserve"> 3</w:t>
      </w:r>
      <w:r w:rsidR="008C6671">
        <w:t>99.</w:t>
      </w:r>
    </w:p>
  </w:footnote>
  <w:footnote w:id="30">
    <w:p w14:paraId="64AA390D" w14:textId="4DF92B9E" w:rsidR="00E95EEB" w:rsidRPr="00E95EEB" w:rsidRDefault="00E95EEB" w:rsidP="00FE5652">
      <w:pPr>
        <w:pStyle w:val="FootnoteText"/>
        <w:ind w:left="0" w:firstLine="0"/>
      </w:pPr>
      <w:r w:rsidRPr="00425B7E">
        <w:rPr>
          <w:rStyle w:val="FootnoteReference"/>
        </w:rPr>
        <w:footnoteRef/>
      </w:r>
      <w:r w:rsidRPr="00425B7E">
        <w:t xml:space="preserve"> A</w:t>
      </w:r>
      <w:r w:rsidR="00BE12D3" w:rsidRPr="00425B7E">
        <w:t>.</w:t>
      </w:r>
      <w:r w:rsidRPr="00425B7E">
        <w:t>V</w:t>
      </w:r>
      <w:r w:rsidR="00BE12D3" w:rsidRPr="00425B7E">
        <w:t>.</w:t>
      </w:r>
      <w:r w:rsidRPr="00425B7E">
        <w:t xml:space="preserve"> Dicey, </w:t>
      </w:r>
      <w:r w:rsidRPr="00A72C6F">
        <w:t>The Law of the Constitution</w:t>
      </w:r>
      <w:r w:rsidR="00C92176" w:rsidRPr="00425B7E">
        <w:t xml:space="preserve">, </w:t>
      </w:r>
      <w:r w:rsidRPr="00425B7E">
        <w:t>10</w:t>
      </w:r>
      <w:r w:rsidRPr="00425B7E">
        <w:rPr>
          <w:vertAlign w:val="superscript"/>
        </w:rPr>
        <w:t>th</w:t>
      </w:r>
      <w:r w:rsidRPr="00425B7E">
        <w:t xml:space="preserve"> </w:t>
      </w:r>
      <w:proofErr w:type="spellStart"/>
      <w:r w:rsidRPr="00425B7E">
        <w:t>ed</w:t>
      </w:r>
      <w:r w:rsidR="00A72C6F">
        <w:t>n</w:t>
      </w:r>
      <w:proofErr w:type="spellEnd"/>
      <w:r w:rsidR="00C92176" w:rsidRPr="00425B7E">
        <w:t xml:space="preserve"> </w:t>
      </w:r>
      <w:r w:rsidR="00A72C6F">
        <w:t>(</w:t>
      </w:r>
      <w:r w:rsidR="002B76BA">
        <w:t xml:space="preserve">MacMillan and Co: </w:t>
      </w:r>
      <w:r w:rsidR="00C92176" w:rsidRPr="00425B7E">
        <w:t xml:space="preserve">London, </w:t>
      </w:r>
      <w:r w:rsidRPr="00425B7E">
        <w:t>1959</w:t>
      </w:r>
      <w:r w:rsidR="002B76BA">
        <w:t>)</w:t>
      </w:r>
      <w:r w:rsidR="00C92176" w:rsidRPr="00425B7E">
        <w:t xml:space="preserve"> </w:t>
      </w:r>
      <w:r w:rsidRPr="00425B7E">
        <w:t>302-306.</w:t>
      </w:r>
    </w:p>
  </w:footnote>
  <w:footnote w:id="31">
    <w:p w14:paraId="0EF27573" w14:textId="020C0AD4" w:rsidR="002232E4" w:rsidRPr="002232E4" w:rsidRDefault="002232E4" w:rsidP="00FE5652">
      <w:pPr>
        <w:pStyle w:val="FootnoteText"/>
        <w:ind w:left="0" w:firstLine="0"/>
        <w:rPr>
          <w:lang w:val="en-US"/>
        </w:rPr>
      </w:pPr>
      <w:r w:rsidRPr="002232E4">
        <w:rPr>
          <w:rStyle w:val="FootnoteReference"/>
        </w:rPr>
        <w:footnoteRef/>
      </w:r>
      <w:r w:rsidRPr="002232E4">
        <w:t xml:space="preserve"> </w:t>
      </w:r>
      <w:r w:rsidRPr="002232E4">
        <w:rPr>
          <w:i/>
          <w:iCs/>
        </w:rPr>
        <w:t xml:space="preserve">Axtell’s case </w:t>
      </w:r>
      <w:r w:rsidRPr="002232E4">
        <w:t>(1660) 5 St Tr 1146.</w:t>
      </w:r>
    </w:p>
  </w:footnote>
  <w:footnote w:id="32">
    <w:p w14:paraId="5FC274C2" w14:textId="43A1E153" w:rsidR="00507FDE" w:rsidRPr="00E06420" w:rsidRDefault="00507FDE" w:rsidP="00FE5652">
      <w:pPr>
        <w:pStyle w:val="FootnoteText"/>
        <w:ind w:left="0" w:firstLine="0"/>
      </w:pPr>
      <w:r w:rsidRPr="002232E4">
        <w:rPr>
          <w:rStyle w:val="FootnoteReference"/>
        </w:rPr>
        <w:footnoteRef/>
      </w:r>
      <w:r w:rsidRPr="002232E4">
        <w:t xml:space="preserve"> </w:t>
      </w:r>
      <w:r w:rsidR="00D3623A">
        <w:t>I</w:t>
      </w:r>
      <w:r w:rsidRPr="002232E4">
        <w:t>bid</w:t>
      </w:r>
      <w:r w:rsidR="006B399D">
        <w:t>.</w:t>
      </w:r>
      <w:r w:rsidRPr="002232E4">
        <w:t xml:space="preserve"> </w:t>
      </w:r>
      <w:r w:rsidR="00D3623A">
        <w:t xml:space="preserve">at </w:t>
      </w:r>
      <w:r w:rsidRPr="002232E4">
        <w:t>1161.</w:t>
      </w:r>
    </w:p>
  </w:footnote>
  <w:footnote w:id="33">
    <w:p w14:paraId="420616E9" w14:textId="29568377" w:rsidR="00507FDE" w:rsidRPr="00347B8F" w:rsidRDefault="00507FDE" w:rsidP="00FE5652">
      <w:pPr>
        <w:pStyle w:val="FootnoteText"/>
        <w:ind w:left="0" w:firstLine="0"/>
      </w:pPr>
      <w:r w:rsidRPr="00347B8F">
        <w:rPr>
          <w:rStyle w:val="FootnoteReference"/>
        </w:rPr>
        <w:footnoteRef/>
      </w:r>
      <w:r w:rsidRPr="00347B8F">
        <w:t xml:space="preserve"> </w:t>
      </w:r>
      <w:r w:rsidR="00D3623A">
        <w:t>I</w:t>
      </w:r>
      <w:r w:rsidRPr="00347B8F">
        <w:t>bid.</w:t>
      </w:r>
    </w:p>
  </w:footnote>
  <w:footnote w:id="34">
    <w:p w14:paraId="7EA9B9B7" w14:textId="10BF55A6" w:rsidR="00507FDE" w:rsidRPr="00347B8F" w:rsidRDefault="00507FDE" w:rsidP="00FE5652">
      <w:pPr>
        <w:pStyle w:val="FootnoteText"/>
        <w:ind w:left="0" w:firstLine="0"/>
        <w:rPr>
          <w:lang w:val="pt-BR"/>
        </w:rPr>
      </w:pPr>
      <w:r w:rsidRPr="00347B8F">
        <w:rPr>
          <w:rStyle w:val="FootnoteReference"/>
        </w:rPr>
        <w:footnoteRef/>
      </w:r>
      <w:r w:rsidRPr="00347B8F">
        <w:rPr>
          <w:lang w:val="pt-BR"/>
        </w:rPr>
        <w:t xml:space="preserve"> </w:t>
      </w:r>
      <w:r w:rsidR="00D3623A">
        <w:rPr>
          <w:lang w:val="pt-BR"/>
        </w:rPr>
        <w:t>I</w:t>
      </w:r>
      <w:r w:rsidRPr="00347B8F">
        <w:rPr>
          <w:lang w:val="pt-BR"/>
        </w:rPr>
        <w:t>bid.</w:t>
      </w:r>
    </w:p>
  </w:footnote>
  <w:footnote w:id="35">
    <w:p w14:paraId="77FBFF70" w14:textId="3ADE7FD0" w:rsidR="008A0469" w:rsidRPr="00E06420" w:rsidRDefault="008A0469" w:rsidP="00FE5652">
      <w:pPr>
        <w:pStyle w:val="FootnoteText"/>
        <w:ind w:left="0" w:firstLine="0"/>
        <w:rPr>
          <w:lang w:val="pt-BR"/>
        </w:rPr>
      </w:pPr>
      <w:r w:rsidRPr="00347B8F">
        <w:rPr>
          <w:rStyle w:val="FootnoteReference"/>
        </w:rPr>
        <w:footnoteRef/>
      </w:r>
      <w:r w:rsidRPr="00347B8F">
        <w:rPr>
          <w:lang w:val="pt-BR"/>
        </w:rPr>
        <w:t xml:space="preserve"> </w:t>
      </w:r>
      <w:r w:rsidR="00D3623A">
        <w:rPr>
          <w:lang w:val="pt-BR"/>
        </w:rPr>
        <w:t xml:space="preserve">See </w:t>
      </w:r>
      <w:r w:rsidRPr="00347B8F">
        <w:fldChar w:fldCharType="begin"/>
      </w:r>
      <w:r w:rsidRPr="00347B8F">
        <w:rPr>
          <w:lang w:val="pt-BR"/>
        </w:rPr>
        <w:instrText xml:space="preserve"> ADDIN EN.CITE &lt;EndNote&gt;&lt;Cite&gt;&lt;Author&gt;Hale&lt;/Author&gt;&lt;Year&gt;1971&lt;/Year&gt;&lt;IDText&gt;Historia Placitorum Coronae, 1736&lt;/IDText&gt;&lt;DisplayText&gt;Hale&lt;/DisplayText&gt;&lt;record&gt;&lt;keywords&gt;&lt;keyword&gt;Criminal law England History.&lt;/keyword&gt;&lt;keyword&gt;England Criminal law to ca 1675&lt;/keyword&gt;&lt;/keywords&gt;&lt;isbn&gt;¹28.00 the set&lt;/isbn&gt;&lt;titles&gt;&lt;title&gt;Historia Placitorum Coronae, 1736&lt;/title&gt;&lt;/titles&gt;&lt;titles&gt;&lt;secondary-title&gt;Classical English Law Texts&lt;/secondary-title&gt;&lt;/titles&gt;&lt;pages&gt;[8],414,[298]p.&lt;/pages&gt;&lt;call-num&gt;KD7850&amp;#xD;345/.42/009 18&lt;/call-num&gt;&lt;contributors&gt;&lt;authors&gt;&lt;author&gt;Hale, Matthew Sir&lt;/author&gt;&lt;/authors&gt;&lt;/contributors&gt;&lt;added-date format="utc"&gt;1249987987&lt;/added-date&gt;&lt;pub-location&gt;London (50 Old Brompton Rd, S.W.7)&lt;/pub-location&gt;&lt;ref-type name="Book"&gt;6&lt;/ref-type&gt;&lt;dates&gt;&lt;year&gt;1971&lt;/year&gt;&lt;/dates&gt;&lt;rec-number&gt;29&lt;/rec-number&gt;&lt;publisher&gt;Professional Books Ltd&lt;/publisher&gt;&lt;last-updated-date format="utc"&gt;1275604530&lt;/last-updated-date&gt;&lt;accession-num&gt;b7605586&lt;/accession-num&gt;&lt;/record&gt;&lt;/Cite&gt;&lt;/EndNote&gt;</w:instrText>
      </w:r>
      <w:r w:rsidRPr="00347B8F">
        <w:fldChar w:fldCharType="separate"/>
      </w:r>
      <w:r w:rsidRPr="00347B8F">
        <w:rPr>
          <w:noProof/>
          <w:lang w:val="pt-BR"/>
        </w:rPr>
        <w:t>Hale</w:t>
      </w:r>
      <w:r w:rsidRPr="00347B8F">
        <w:fldChar w:fldCharType="end"/>
      </w:r>
      <w:r w:rsidR="006B399D">
        <w:t>,</w:t>
      </w:r>
      <w:r w:rsidR="00D3623A">
        <w:t xml:space="preserve"> a</w:t>
      </w:r>
      <w:r w:rsidR="006B399D">
        <w:t>bove, n. 15 at</w:t>
      </w:r>
      <w:r w:rsidRPr="00347B8F">
        <w:t xml:space="preserve"> </w:t>
      </w:r>
      <w:r w:rsidR="0081245E" w:rsidRPr="00347B8F">
        <w:t>50-</w:t>
      </w:r>
      <w:r w:rsidRPr="00347B8F">
        <w:rPr>
          <w:lang w:val="pt-BR"/>
        </w:rPr>
        <w:t>51.</w:t>
      </w:r>
    </w:p>
  </w:footnote>
  <w:footnote w:id="36">
    <w:p w14:paraId="09C5202C" w14:textId="37F81747" w:rsidR="00E06420" w:rsidRPr="00347B8F" w:rsidRDefault="00E06420" w:rsidP="00FE5652">
      <w:pPr>
        <w:pStyle w:val="FootnoteText"/>
        <w:ind w:left="0" w:firstLine="0"/>
      </w:pPr>
      <w:r w:rsidRPr="00347B8F">
        <w:rPr>
          <w:rStyle w:val="FootnoteReference"/>
        </w:rPr>
        <w:footnoteRef/>
      </w:r>
      <w:r w:rsidRPr="00347B8F">
        <w:t xml:space="preserve"> </w:t>
      </w:r>
      <w:r w:rsidR="006B399D">
        <w:t>I</w:t>
      </w:r>
      <w:r w:rsidRPr="00347B8F">
        <w:t>bid</w:t>
      </w:r>
      <w:r w:rsidR="006B399D">
        <w:t>. at</w:t>
      </w:r>
      <w:r w:rsidRPr="00347B8F">
        <w:t xml:space="preserve"> 51.</w:t>
      </w:r>
    </w:p>
  </w:footnote>
  <w:footnote w:id="37">
    <w:p w14:paraId="3F64FBC7" w14:textId="77777777" w:rsidR="00E06420" w:rsidRPr="00347B8F" w:rsidRDefault="00E06420" w:rsidP="00FE5652">
      <w:pPr>
        <w:pStyle w:val="FootnoteText"/>
        <w:ind w:left="0" w:firstLine="0"/>
      </w:pPr>
      <w:r w:rsidRPr="00347B8F">
        <w:rPr>
          <w:rStyle w:val="FootnoteReference"/>
        </w:rPr>
        <w:footnoteRef/>
      </w:r>
      <w:r w:rsidRPr="00347B8F">
        <w:t xml:space="preserve"> </w:t>
      </w:r>
      <w:proofErr w:type="spellStart"/>
      <w:r w:rsidRPr="00347B8F">
        <w:rPr>
          <w:i/>
          <w:iCs/>
        </w:rPr>
        <w:t>M’Growther’s</w:t>
      </w:r>
      <w:proofErr w:type="spellEnd"/>
      <w:r w:rsidRPr="00347B8F">
        <w:rPr>
          <w:i/>
          <w:iCs/>
        </w:rPr>
        <w:t xml:space="preserve"> case</w:t>
      </w:r>
      <w:r w:rsidRPr="00347B8F">
        <w:t xml:space="preserve"> [1746] </w:t>
      </w:r>
      <w:proofErr w:type="spellStart"/>
      <w:r w:rsidRPr="00347B8F">
        <w:t>Fost</w:t>
      </w:r>
      <w:proofErr w:type="spellEnd"/>
      <w:r w:rsidRPr="00347B8F">
        <w:t xml:space="preserve"> 13 14 16 ER 8.</w:t>
      </w:r>
    </w:p>
  </w:footnote>
  <w:footnote w:id="38">
    <w:p w14:paraId="201BC5A1" w14:textId="77777777" w:rsidR="00E06420" w:rsidRPr="004D4C38" w:rsidRDefault="00E06420" w:rsidP="00FE5652">
      <w:pPr>
        <w:spacing w:line="240" w:lineRule="auto"/>
        <w:rPr>
          <w:sz w:val="20"/>
          <w:szCs w:val="20"/>
        </w:rPr>
      </w:pPr>
      <w:r w:rsidRPr="00347B8F">
        <w:rPr>
          <w:sz w:val="20"/>
          <w:szCs w:val="20"/>
          <w:vertAlign w:val="superscript"/>
        </w:rPr>
        <w:footnoteRef/>
      </w:r>
      <w:r w:rsidRPr="00347B8F">
        <w:rPr>
          <w:sz w:val="20"/>
          <w:szCs w:val="20"/>
          <w:vertAlign w:val="superscript"/>
        </w:rPr>
        <w:t xml:space="preserve"> </w:t>
      </w:r>
      <w:r w:rsidRPr="00347B8F">
        <w:rPr>
          <w:sz w:val="20"/>
          <w:szCs w:val="20"/>
        </w:rPr>
        <w:fldChar w:fldCharType="begin"/>
      </w:r>
      <w:r w:rsidRPr="00347B8F">
        <w:rPr>
          <w:sz w:val="20"/>
          <w:szCs w:val="20"/>
        </w:rPr>
        <w:instrText xml:space="preserve"> ADDIN EN.CITE &lt;EndNote&gt;&lt;Cite&gt;&lt;Year&gt;(1779)&lt;/Year&gt;&lt;IDText&gt;R v Stratton&lt;/IDText&gt;&lt;DisplayText&gt;&lt;style face="italic"&gt;R v Stratton &lt;/style&gt;(1779) 21 StTr 1045&lt;/DisplayText&gt;&lt;record&gt;&lt;titles&gt;&lt;title&gt;R v Stratton&lt;/title&gt;&lt;/titles&gt;&lt;titles&gt;&lt;secondary-title&gt;(1779) 21 St.Tr. 1045&lt;/secondary-title&gt;&lt;/titles&gt;&lt;added-date format="utc"&gt;1284478713&lt;/added-date&gt;&lt;ref-type name="Case"&gt;7&lt;/ref-type&gt;&lt;dates&gt;&lt;year&gt;(1779)&lt;/year&gt;&lt;/dates&gt;&lt;rec-number&gt;51&lt;/rec-number&gt;&lt;last-updated-date format="utc"&gt;1284478741&lt;/last-updated-date&gt;&lt;/record&gt;&lt;/Cite&gt;&lt;/EndNote&gt;</w:instrText>
      </w:r>
      <w:r w:rsidRPr="00347B8F">
        <w:rPr>
          <w:sz w:val="20"/>
          <w:szCs w:val="20"/>
        </w:rPr>
        <w:fldChar w:fldCharType="separate"/>
      </w:r>
      <w:r w:rsidRPr="00347B8F">
        <w:rPr>
          <w:i/>
          <w:iCs/>
          <w:noProof/>
          <w:sz w:val="20"/>
          <w:szCs w:val="20"/>
        </w:rPr>
        <w:t>R v Stratton</w:t>
      </w:r>
      <w:r w:rsidRPr="00347B8F">
        <w:rPr>
          <w:i/>
          <w:noProof/>
          <w:sz w:val="20"/>
          <w:szCs w:val="20"/>
        </w:rPr>
        <w:t xml:space="preserve"> </w:t>
      </w:r>
      <w:r w:rsidRPr="00347B8F">
        <w:rPr>
          <w:noProof/>
          <w:sz w:val="20"/>
          <w:szCs w:val="20"/>
        </w:rPr>
        <w:t>(1779) 21 St Tr 1045</w:t>
      </w:r>
      <w:r w:rsidRPr="00347B8F">
        <w:rPr>
          <w:sz w:val="20"/>
          <w:szCs w:val="20"/>
        </w:rPr>
        <w:fldChar w:fldCharType="end"/>
      </w:r>
      <w:r w:rsidRPr="00347B8F">
        <w:rPr>
          <w:sz w:val="20"/>
          <w:szCs w:val="20"/>
        </w:rPr>
        <w:t>.</w:t>
      </w:r>
    </w:p>
  </w:footnote>
  <w:footnote w:id="39">
    <w:p w14:paraId="64FDA23C" w14:textId="77777777" w:rsidR="00E51581" w:rsidRPr="00B9549D" w:rsidRDefault="00E51581" w:rsidP="00FE5652">
      <w:pPr>
        <w:spacing w:line="240" w:lineRule="auto"/>
        <w:rPr>
          <w:sz w:val="20"/>
          <w:szCs w:val="20"/>
        </w:rPr>
      </w:pPr>
      <w:r w:rsidRPr="00B9549D">
        <w:rPr>
          <w:sz w:val="20"/>
          <w:szCs w:val="20"/>
          <w:vertAlign w:val="superscript"/>
        </w:rPr>
        <w:footnoteRef/>
      </w:r>
      <w:r w:rsidRPr="00B9549D">
        <w:rPr>
          <w:sz w:val="20"/>
          <w:szCs w:val="20"/>
        </w:rPr>
        <w:t xml:space="preserve"> </w:t>
      </w:r>
      <w:bookmarkStart w:id="0" w:name="_Hlk511513453"/>
      <w:r w:rsidRPr="00B9549D">
        <w:rPr>
          <w:sz w:val="20"/>
          <w:szCs w:val="20"/>
        </w:rPr>
        <w:fldChar w:fldCharType="begin"/>
      </w:r>
      <w:r w:rsidRPr="00B9549D">
        <w:rPr>
          <w:sz w:val="20"/>
          <w:szCs w:val="20"/>
        </w:rPr>
        <w:instrText xml:space="preserve"> ADDIN EN.CITE &lt;EndNote&gt;&lt;Cite&gt;&lt;Year&gt;(1812)&lt;/Year&gt;&lt;IDText&gt;R v Cundell and Smith&lt;/IDText&gt;&lt;DisplayText&gt;&lt;style face="italic"&gt;R v Cundell and Smith &lt;/style&gt;(1812) 4 Newgate Calendar 62&lt;/DisplayText&gt;&lt;record&gt;&lt;titles&gt;&lt;title&gt;R v Cundell and Smith&lt;/title&gt;&lt;/titles&gt;&lt;titles&gt;&lt;secondary-title&gt;(1812) 4 Newgate Calendar 62&lt;/secondary-title&gt;&lt;/titles&gt;&lt;added-date format="utc"&gt;1284473343&lt;/added-date&gt;&lt;ref-type name="Case"&gt;7&lt;/ref-type&gt;&lt;dates&gt;&lt;year&gt;(1812)&lt;/year&gt;&lt;/dates&gt;&lt;rec-number&gt;49&lt;/rec-number&gt;&lt;last-updated-date format="utc"&gt;1284473372&lt;/last-updated-date&gt;&lt;/record&gt;&lt;/Cite&gt;&lt;/EndNote&gt;</w:instrText>
      </w:r>
      <w:r w:rsidRPr="00B9549D">
        <w:rPr>
          <w:sz w:val="20"/>
          <w:szCs w:val="20"/>
        </w:rPr>
        <w:fldChar w:fldCharType="separate"/>
      </w:r>
      <w:r w:rsidRPr="00D20140">
        <w:rPr>
          <w:i/>
          <w:iCs/>
          <w:noProof/>
          <w:sz w:val="20"/>
          <w:szCs w:val="20"/>
        </w:rPr>
        <w:t>R v Cundell and Smith</w:t>
      </w:r>
      <w:r w:rsidRPr="00B9549D">
        <w:rPr>
          <w:noProof/>
          <w:sz w:val="20"/>
          <w:szCs w:val="20"/>
        </w:rPr>
        <w:t xml:space="preserve"> (1812) 4 Newgate Calendar 62</w:t>
      </w:r>
      <w:r w:rsidRPr="00B9549D">
        <w:rPr>
          <w:sz w:val="20"/>
          <w:szCs w:val="20"/>
        </w:rPr>
        <w:fldChar w:fldCharType="end"/>
      </w:r>
      <w:bookmarkEnd w:id="0"/>
      <w:r w:rsidRPr="00B9549D">
        <w:rPr>
          <w:sz w:val="20"/>
          <w:szCs w:val="20"/>
        </w:rPr>
        <w:t>.</w:t>
      </w:r>
    </w:p>
  </w:footnote>
  <w:footnote w:id="40">
    <w:p w14:paraId="7145C869" w14:textId="3E59384C" w:rsidR="00E51581" w:rsidRPr="004D4C38" w:rsidRDefault="00E51581" w:rsidP="00FE5652">
      <w:pPr>
        <w:spacing w:line="240" w:lineRule="auto"/>
        <w:rPr>
          <w:sz w:val="20"/>
          <w:szCs w:val="20"/>
        </w:rPr>
      </w:pPr>
      <w:r w:rsidRPr="004B2A70">
        <w:rPr>
          <w:sz w:val="20"/>
          <w:szCs w:val="20"/>
          <w:vertAlign w:val="superscript"/>
        </w:rPr>
        <w:footnoteRef/>
      </w:r>
      <w:r w:rsidRPr="004B2A70">
        <w:rPr>
          <w:sz w:val="20"/>
          <w:szCs w:val="20"/>
          <w:vertAlign w:val="superscript"/>
        </w:rPr>
        <w:t xml:space="preserve"> </w:t>
      </w:r>
      <w:r w:rsidRPr="004D4C38">
        <w:rPr>
          <w:sz w:val="20"/>
          <w:szCs w:val="20"/>
        </w:rPr>
        <w:fldChar w:fldCharType="begin"/>
      </w:r>
      <w:r w:rsidRPr="004D4C38">
        <w:rPr>
          <w:sz w:val="20"/>
          <w:szCs w:val="20"/>
        </w:rPr>
        <w:instrText xml:space="preserve"> ADDIN EN.CITE &lt;EndNote&gt;&lt;Cite&gt;&lt;Year&gt;(1812)&lt;/Year&gt;&lt;IDText&gt;R v Cundell and Smith&lt;/IDText&gt;&lt;DisplayText&gt;&lt;style face="italic"&gt;R v Cundell and Smith &lt;/style&gt;(1812) 4 Newgate Calendar 62&lt;/DisplayText&gt;&lt;record&gt;&lt;titles&gt;&lt;title&gt;R v Cundell and Smith&lt;/title&gt;&lt;/titles&gt;&lt;titles&gt;&lt;secondary-title&gt;(1812) 4 Newgate Calendar 62&lt;/secondary-title&gt;&lt;/titles&gt;&lt;added-date format="utc"&gt;1284473343&lt;/added-date&gt;&lt;ref-type name="Case"&gt;7&lt;/ref-type&gt;&lt;dates&gt;&lt;year&gt;(1812)&lt;/year&gt;&lt;/dates&gt;&lt;rec-number&gt;49&lt;/rec-number&gt;&lt;last-updated-date format="utc"&gt;1284473372&lt;/last-updated-date&gt;&lt;/record&gt;&lt;/Cite&gt;&lt;/EndNote&gt;</w:instrText>
      </w:r>
      <w:r w:rsidRPr="004D4C38">
        <w:rPr>
          <w:sz w:val="20"/>
          <w:szCs w:val="20"/>
        </w:rPr>
        <w:fldChar w:fldCharType="separate"/>
      </w:r>
      <w:r w:rsidR="00E70309">
        <w:rPr>
          <w:noProof/>
          <w:sz w:val="20"/>
          <w:szCs w:val="20"/>
        </w:rPr>
        <w:t>I</w:t>
      </w:r>
      <w:r>
        <w:rPr>
          <w:noProof/>
          <w:sz w:val="20"/>
          <w:szCs w:val="20"/>
        </w:rPr>
        <w:t>bid</w:t>
      </w:r>
      <w:r w:rsidRPr="004D4C38">
        <w:rPr>
          <w:sz w:val="20"/>
          <w:szCs w:val="20"/>
        </w:rPr>
        <w:fldChar w:fldCharType="end"/>
      </w:r>
      <w:r w:rsidR="00E70309">
        <w:rPr>
          <w:sz w:val="20"/>
          <w:szCs w:val="20"/>
        </w:rPr>
        <w:t>. at</w:t>
      </w:r>
      <w:r>
        <w:rPr>
          <w:sz w:val="20"/>
          <w:szCs w:val="20"/>
        </w:rPr>
        <w:t xml:space="preserve"> </w:t>
      </w:r>
      <w:r w:rsidRPr="004D4C38">
        <w:rPr>
          <w:sz w:val="20"/>
          <w:szCs w:val="20"/>
        </w:rPr>
        <w:t>62</w:t>
      </w:r>
      <w:r>
        <w:rPr>
          <w:sz w:val="20"/>
          <w:szCs w:val="20"/>
        </w:rPr>
        <w:t>.</w:t>
      </w:r>
    </w:p>
  </w:footnote>
  <w:footnote w:id="41">
    <w:p w14:paraId="7390471A" w14:textId="77777777" w:rsidR="00155999" w:rsidRPr="004D4C38" w:rsidRDefault="00155999" w:rsidP="00FE5652">
      <w:pPr>
        <w:spacing w:line="240" w:lineRule="auto"/>
        <w:rPr>
          <w:sz w:val="20"/>
          <w:szCs w:val="20"/>
        </w:rPr>
      </w:pPr>
      <w:r w:rsidRPr="004B2A70">
        <w:rPr>
          <w:sz w:val="20"/>
          <w:szCs w:val="20"/>
          <w:vertAlign w:val="superscript"/>
        </w:rPr>
        <w:footnoteRef/>
      </w:r>
      <w:r>
        <w:rPr>
          <w:sz w:val="20"/>
          <w:szCs w:val="20"/>
        </w:rPr>
        <w:t xml:space="preserve"> </w:t>
      </w:r>
      <w:bookmarkStart w:id="1" w:name="_Hlk511513470"/>
      <w:r w:rsidRPr="004D4C38">
        <w:rPr>
          <w:sz w:val="20"/>
          <w:szCs w:val="20"/>
        </w:rPr>
        <w:fldChar w:fldCharType="begin"/>
      </w:r>
      <w:r w:rsidRPr="004D4C38">
        <w:rPr>
          <w:sz w:val="20"/>
          <w:szCs w:val="20"/>
        </w:rPr>
        <w:instrText xml:space="preserve"> ADDIN EN.CITE &lt;EndNote&gt;&lt;Cite&gt;&lt;Author&gt;Knapp&lt;/Author&gt;&lt;Year&gt;1828&lt;/Year&gt;&lt;IDText&gt;The Newgate Calendar&lt;/IDText&gt;&lt;DisplayText&gt;A Knapp and W Baldwin, &lt;style face="italic"&gt;The Newgate Calendar&lt;/style&gt; (J. Robins and Co., London 1828)&lt;/DisplayText&gt;&lt;record&gt;&lt;titles&gt;&lt;title&gt;The Newgate Calendar&lt;/title&gt;&lt;/titles&gt;&lt;contributors&gt;&lt;authors&gt;&lt;author&gt;Knapp, A&lt;/author&gt;&lt;author&gt;Baldwin, W&lt;/author&gt;&lt;/authors&gt;&lt;/contributors&gt;&lt;added-date format="utc"&gt;1284474203&lt;/added-date&gt;&lt;pub-location&gt;London&lt;/pub-location&gt;&lt;ref-type name="Book"&gt;6&lt;/ref-type&gt;&lt;dates&gt;&lt;year&gt;1828&lt;/year&gt;&lt;/dates&gt;&lt;rec-number&gt;50&lt;/rec-number&gt;&lt;publisher&gt;J. Robins and Co.&lt;/publisher&gt;&lt;last-updated-date format="utc"&gt;1284474291&lt;/last-updated-date&gt;&lt;volume&gt;IV&lt;/volume&gt;&lt;/record&gt;&lt;/Cite&gt;&lt;/EndNote&gt;</w:instrText>
      </w:r>
      <w:r w:rsidRPr="004D4C38">
        <w:rPr>
          <w:sz w:val="20"/>
          <w:szCs w:val="20"/>
        </w:rPr>
        <w:fldChar w:fldCharType="separate"/>
      </w:r>
      <w:r w:rsidRPr="004D4C38">
        <w:rPr>
          <w:noProof/>
          <w:sz w:val="20"/>
          <w:szCs w:val="20"/>
        </w:rPr>
        <w:t>A</w:t>
      </w:r>
      <w:r>
        <w:rPr>
          <w:noProof/>
          <w:sz w:val="20"/>
          <w:szCs w:val="20"/>
        </w:rPr>
        <w:t>ndrew</w:t>
      </w:r>
      <w:r w:rsidRPr="004D4C38">
        <w:rPr>
          <w:noProof/>
          <w:sz w:val="20"/>
          <w:szCs w:val="20"/>
        </w:rPr>
        <w:t xml:space="preserve"> Knapp and W</w:t>
      </w:r>
      <w:r>
        <w:rPr>
          <w:noProof/>
          <w:sz w:val="20"/>
          <w:szCs w:val="20"/>
        </w:rPr>
        <w:t>illiam</w:t>
      </w:r>
      <w:r w:rsidRPr="004D4C38">
        <w:rPr>
          <w:noProof/>
          <w:sz w:val="20"/>
          <w:szCs w:val="20"/>
        </w:rPr>
        <w:t xml:space="preserve"> Baldwin, </w:t>
      </w:r>
      <w:r w:rsidRPr="00E70309">
        <w:rPr>
          <w:noProof/>
          <w:sz w:val="20"/>
          <w:szCs w:val="20"/>
        </w:rPr>
        <w:t>The Newgate Calendar</w:t>
      </w:r>
      <w:r>
        <w:rPr>
          <w:i/>
          <w:iCs/>
          <w:noProof/>
          <w:sz w:val="20"/>
          <w:szCs w:val="20"/>
        </w:rPr>
        <w:t xml:space="preserve">, </w:t>
      </w:r>
      <w:r>
        <w:rPr>
          <w:noProof/>
          <w:sz w:val="20"/>
          <w:szCs w:val="20"/>
        </w:rPr>
        <w:t xml:space="preserve">(J Robbins: </w:t>
      </w:r>
      <w:r w:rsidRPr="00885D61">
        <w:rPr>
          <w:noProof/>
          <w:sz w:val="20"/>
          <w:szCs w:val="20"/>
        </w:rPr>
        <w:t>London</w:t>
      </w:r>
      <w:r>
        <w:rPr>
          <w:noProof/>
          <w:sz w:val="20"/>
          <w:szCs w:val="20"/>
        </w:rPr>
        <w:t>,</w:t>
      </w:r>
      <w:r w:rsidRPr="004D4C38">
        <w:rPr>
          <w:sz w:val="20"/>
          <w:szCs w:val="20"/>
        </w:rPr>
        <w:fldChar w:fldCharType="end"/>
      </w:r>
      <w:bookmarkEnd w:id="1"/>
      <w:r>
        <w:rPr>
          <w:sz w:val="20"/>
          <w:szCs w:val="20"/>
        </w:rPr>
        <w:t xml:space="preserve"> 1824) </w:t>
      </w:r>
      <w:r w:rsidRPr="004D4C38">
        <w:rPr>
          <w:sz w:val="20"/>
          <w:szCs w:val="20"/>
        </w:rPr>
        <w:t>62</w:t>
      </w:r>
      <w:r>
        <w:rPr>
          <w:sz w:val="20"/>
          <w:szCs w:val="20"/>
        </w:rPr>
        <w:t>.</w:t>
      </w:r>
    </w:p>
  </w:footnote>
  <w:footnote w:id="42">
    <w:p w14:paraId="64ED1BC4" w14:textId="77777777" w:rsidR="00E51581" w:rsidRPr="004D4C38" w:rsidRDefault="00E51581" w:rsidP="00FE5652">
      <w:pPr>
        <w:spacing w:line="240" w:lineRule="auto"/>
        <w:rPr>
          <w:sz w:val="20"/>
          <w:szCs w:val="20"/>
        </w:rPr>
      </w:pPr>
      <w:r w:rsidRPr="004B2A70">
        <w:rPr>
          <w:sz w:val="20"/>
          <w:szCs w:val="20"/>
          <w:vertAlign w:val="superscript"/>
        </w:rPr>
        <w:footnoteRef/>
      </w:r>
      <w:r w:rsidRPr="004D4C38">
        <w:rPr>
          <w:sz w:val="20"/>
          <w:szCs w:val="20"/>
        </w:rPr>
        <w:t xml:space="preserve"> </w:t>
      </w:r>
      <w:r w:rsidRPr="00B71BFE">
        <w:rPr>
          <w:rFonts w:cs="Arial"/>
          <w:i/>
          <w:iCs/>
          <w:sz w:val="20"/>
          <w:szCs w:val="20"/>
        </w:rPr>
        <w:t xml:space="preserve">R v </w:t>
      </w:r>
      <w:proofErr w:type="spellStart"/>
      <w:r w:rsidRPr="00B71BFE">
        <w:rPr>
          <w:rFonts w:cs="Arial"/>
          <w:i/>
          <w:iCs/>
          <w:sz w:val="20"/>
          <w:szCs w:val="20"/>
        </w:rPr>
        <w:t>Crutchley</w:t>
      </w:r>
      <w:proofErr w:type="spellEnd"/>
      <w:r w:rsidRPr="004D4C38">
        <w:rPr>
          <w:sz w:val="20"/>
          <w:szCs w:val="20"/>
        </w:rPr>
        <w:t xml:space="preserve"> </w:t>
      </w:r>
      <w:r w:rsidR="00B71BFE" w:rsidRPr="00652B31">
        <w:rPr>
          <w:sz w:val="20"/>
          <w:szCs w:val="20"/>
        </w:rPr>
        <w:t>(1831) 5 Car &amp; P 133</w:t>
      </w:r>
      <w:r>
        <w:rPr>
          <w:sz w:val="20"/>
          <w:szCs w:val="20"/>
        </w:rPr>
        <w:t>.</w:t>
      </w:r>
    </w:p>
  </w:footnote>
  <w:footnote w:id="43">
    <w:p w14:paraId="774F092A" w14:textId="77777777" w:rsidR="00E51581" w:rsidRPr="004D4C38" w:rsidRDefault="00E51581" w:rsidP="00FE5652">
      <w:pPr>
        <w:spacing w:line="240" w:lineRule="auto"/>
        <w:rPr>
          <w:sz w:val="20"/>
          <w:szCs w:val="20"/>
        </w:rPr>
      </w:pPr>
      <w:r w:rsidRPr="004B2A70">
        <w:rPr>
          <w:sz w:val="20"/>
          <w:szCs w:val="20"/>
          <w:vertAlign w:val="superscript"/>
        </w:rPr>
        <w:footnoteRef/>
      </w:r>
      <w:r w:rsidRPr="004D4C38">
        <w:rPr>
          <w:sz w:val="20"/>
          <w:szCs w:val="20"/>
        </w:rPr>
        <w:t xml:space="preserve"> An offence under 7 &amp; 8 George 4.</w:t>
      </w:r>
    </w:p>
  </w:footnote>
  <w:footnote w:id="44">
    <w:p w14:paraId="2E1F7DBB" w14:textId="77777777" w:rsidR="00E51581" w:rsidRPr="004D4C38" w:rsidRDefault="00E51581" w:rsidP="00FE5652">
      <w:pPr>
        <w:spacing w:line="240" w:lineRule="auto"/>
        <w:rPr>
          <w:sz w:val="20"/>
          <w:szCs w:val="20"/>
        </w:rPr>
      </w:pPr>
      <w:r w:rsidRPr="004B2A70">
        <w:rPr>
          <w:sz w:val="20"/>
          <w:szCs w:val="20"/>
          <w:vertAlign w:val="superscript"/>
        </w:rPr>
        <w:footnoteRef/>
      </w:r>
      <w:r w:rsidRPr="004D4C38">
        <w:rPr>
          <w:sz w:val="20"/>
          <w:szCs w:val="20"/>
        </w:rPr>
        <w:t xml:space="preserve"> </w:t>
      </w:r>
      <w:bookmarkStart w:id="2" w:name="_Hlk511513488"/>
      <w:r w:rsidRPr="00B71BFE">
        <w:rPr>
          <w:rFonts w:cs="Arial"/>
          <w:i/>
          <w:iCs/>
          <w:sz w:val="20"/>
          <w:szCs w:val="20"/>
        </w:rPr>
        <w:t>R v Tyler</w:t>
      </w:r>
      <w:r w:rsidRPr="004D4C38">
        <w:rPr>
          <w:sz w:val="20"/>
          <w:szCs w:val="20"/>
        </w:rPr>
        <w:t xml:space="preserve"> (1838) 8 C &amp;</w:t>
      </w:r>
      <w:r>
        <w:rPr>
          <w:sz w:val="20"/>
          <w:szCs w:val="20"/>
        </w:rPr>
        <w:t xml:space="preserve"> </w:t>
      </w:r>
      <w:r w:rsidRPr="004D4C38">
        <w:rPr>
          <w:sz w:val="20"/>
          <w:szCs w:val="20"/>
        </w:rPr>
        <w:t>P 616</w:t>
      </w:r>
      <w:r>
        <w:rPr>
          <w:sz w:val="20"/>
          <w:szCs w:val="20"/>
        </w:rPr>
        <w:t>.</w:t>
      </w:r>
      <w:bookmarkEnd w:id="2"/>
    </w:p>
  </w:footnote>
  <w:footnote w:id="45">
    <w:p w14:paraId="092730F3" w14:textId="40E21757" w:rsidR="00E51581" w:rsidRPr="004D4C38" w:rsidRDefault="00E51581" w:rsidP="00FE5652">
      <w:pPr>
        <w:spacing w:line="240" w:lineRule="auto"/>
        <w:rPr>
          <w:sz w:val="20"/>
          <w:szCs w:val="20"/>
        </w:rPr>
      </w:pPr>
      <w:r w:rsidRPr="004B2A70">
        <w:rPr>
          <w:sz w:val="20"/>
          <w:szCs w:val="20"/>
          <w:vertAlign w:val="superscript"/>
        </w:rPr>
        <w:footnoteRef/>
      </w:r>
      <w:r w:rsidRPr="004D4C38">
        <w:rPr>
          <w:sz w:val="20"/>
          <w:szCs w:val="20"/>
        </w:rPr>
        <w:t xml:space="preserve"> </w:t>
      </w:r>
      <w:r w:rsidR="00B47AC5">
        <w:rPr>
          <w:sz w:val="20"/>
          <w:szCs w:val="20"/>
        </w:rPr>
        <w:t>I</w:t>
      </w:r>
      <w:r>
        <w:rPr>
          <w:sz w:val="20"/>
          <w:szCs w:val="20"/>
        </w:rPr>
        <w:t>bid</w:t>
      </w:r>
      <w:r w:rsidR="00FE5652">
        <w:rPr>
          <w:sz w:val="20"/>
          <w:szCs w:val="20"/>
        </w:rPr>
        <w:t>.</w:t>
      </w:r>
      <w:r w:rsidR="00B47AC5">
        <w:rPr>
          <w:sz w:val="20"/>
          <w:szCs w:val="20"/>
        </w:rPr>
        <w:t xml:space="preserve"> at</w:t>
      </w:r>
      <w:r w:rsidRPr="004D4C38">
        <w:rPr>
          <w:sz w:val="20"/>
          <w:szCs w:val="20"/>
        </w:rPr>
        <w:t xml:space="preserve"> 620</w:t>
      </w:r>
      <w:r>
        <w:rPr>
          <w:sz w:val="20"/>
          <w:szCs w:val="20"/>
        </w:rPr>
        <w:t>.</w:t>
      </w:r>
    </w:p>
  </w:footnote>
  <w:footnote w:id="46">
    <w:p w14:paraId="34A9551B" w14:textId="77777777" w:rsidR="00E51581" w:rsidRPr="00011F67" w:rsidRDefault="00E51581" w:rsidP="00FE5652">
      <w:pPr>
        <w:spacing w:line="240" w:lineRule="auto"/>
        <w:rPr>
          <w:sz w:val="20"/>
          <w:szCs w:val="20"/>
        </w:rPr>
      </w:pPr>
      <w:r w:rsidRPr="00011F67">
        <w:rPr>
          <w:sz w:val="20"/>
          <w:szCs w:val="20"/>
          <w:vertAlign w:val="superscript"/>
        </w:rPr>
        <w:footnoteRef/>
      </w:r>
      <w:r w:rsidRPr="00011F67">
        <w:rPr>
          <w:sz w:val="20"/>
          <w:szCs w:val="20"/>
          <w:vertAlign w:val="superscript"/>
        </w:rPr>
        <w:t xml:space="preserve"> </w:t>
      </w:r>
      <w:r w:rsidRPr="00011F67">
        <w:rPr>
          <w:sz w:val="20"/>
          <w:szCs w:val="20"/>
        </w:rPr>
        <w:fldChar w:fldCharType="begin"/>
      </w:r>
      <w:r w:rsidRPr="00011F67">
        <w:rPr>
          <w:sz w:val="20"/>
          <w:szCs w:val="20"/>
        </w:rPr>
        <w:instrText xml:space="preserve"> ADDIN EN.CITE &lt;EndNote&gt;&lt;Cite&gt;&lt;Year&gt;1975&lt;/Year&gt;&lt;IDText&gt;R v Lynch&lt;/IDText&gt;&lt;DisplayText&gt;&lt;style face="italic"&gt;R v Lynch &lt;/style&gt;(1975) AC 653&lt;/DisplayText&gt;&lt;record&gt;&lt;titles&gt;&lt;title&gt;R v Lynch&lt;/title&gt;&lt;secondary-title&gt;(1975) AC 653&lt;/secondary-title&gt;&lt;/titles&gt;&lt;added-date format="utc"&gt;1238514806&lt;/added-date&gt;&lt;ref-type name="Case"&gt;7&lt;/ref-type&gt;&lt;dates&gt;&lt;year&gt;1975&lt;/year&gt;&lt;/dates&gt;&lt;rec-number&gt;3&lt;/rec-number&gt;&lt;last-updated-date format="utc"&gt;1238535348&lt;/last-updated-date&gt;&lt;/record&gt;&lt;/Cite&gt;&lt;/EndNote&gt;</w:instrText>
      </w:r>
      <w:r w:rsidRPr="00011F67">
        <w:rPr>
          <w:sz w:val="20"/>
          <w:szCs w:val="20"/>
        </w:rPr>
        <w:fldChar w:fldCharType="separate"/>
      </w:r>
      <w:r w:rsidRPr="00844D15">
        <w:rPr>
          <w:i/>
          <w:iCs/>
          <w:noProof/>
          <w:sz w:val="20"/>
          <w:szCs w:val="20"/>
        </w:rPr>
        <w:t>DPP for Northern Ireland v Lynch</w:t>
      </w:r>
      <w:r w:rsidRPr="00844D15">
        <w:rPr>
          <w:i/>
          <w:noProof/>
          <w:sz w:val="20"/>
          <w:szCs w:val="20"/>
        </w:rPr>
        <w:t xml:space="preserve"> </w:t>
      </w:r>
      <w:r w:rsidRPr="00011F67">
        <w:rPr>
          <w:noProof/>
          <w:sz w:val="20"/>
          <w:szCs w:val="20"/>
        </w:rPr>
        <w:t>[1975] AC 653</w:t>
      </w:r>
      <w:r w:rsidRPr="00011F67">
        <w:rPr>
          <w:sz w:val="20"/>
          <w:szCs w:val="20"/>
        </w:rPr>
        <w:fldChar w:fldCharType="end"/>
      </w:r>
      <w:r w:rsidRPr="00011F67">
        <w:rPr>
          <w:sz w:val="20"/>
          <w:szCs w:val="20"/>
        </w:rPr>
        <w:t>, 672.</w:t>
      </w:r>
    </w:p>
  </w:footnote>
  <w:footnote w:id="47">
    <w:p w14:paraId="31C24CBD" w14:textId="27DFB454" w:rsidR="00ED7801" w:rsidRPr="004021F9" w:rsidRDefault="00ED7801" w:rsidP="00FE5652">
      <w:pPr>
        <w:spacing w:line="240" w:lineRule="auto"/>
        <w:rPr>
          <w:sz w:val="20"/>
          <w:szCs w:val="20"/>
          <w:lang w:val="pt-BR"/>
        </w:rPr>
      </w:pPr>
      <w:r w:rsidRPr="004021F9">
        <w:rPr>
          <w:sz w:val="20"/>
          <w:szCs w:val="20"/>
          <w:vertAlign w:val="superscript"/>
        </w:rPr>
        <w:footnoteRef/>
      </w:r>
      <w:r w:rsidRPr="004021F9">
        <w:rPr>
          <w:sz w:val="20"/>
          <w:szCs w:val="20"/>
          <w:vertAlign w:val="superscript"/>
          <w:lang w:val="pt-BR"/>
        </w:rPr>
        <w:t xml:space="preserve"> </w:t>
      </w:r>
      <w:r w:rsidRPr="004021F9">
        <w:rPr>
          <w:sz w:val="20"/>
          <w:szCs w:val="20"/>
        </w:rPr>
        <w:fldChar w:fldCharType="begin"/>
      </w:r>
      <w:r w:rsidRPr="004021F9">
        <w:rPr>
          <w:sz w:val="20"/>
          <w:szCs w:val="20"/>
          <w:lang w:val="pt-BR"/>
        </w:rPr>
        <w:instrText xml:space="preserve"> ADDIN EN.CITE &lt;EndNote&gt;&lt;Cite&gt;&lt;Author&gt;Hale&lt;/Author&gt;&lt;Year&gt;1971&lt;/Year&gt;&lt;DisplayText&gt;Hale&lt;/DisplayText&gt;&lt;record&gt;&lt;keywords&gt;&lt;keyword&gt;Criminal law England History.&lt;/keyword&gt;&lt;keyword&gt;England Criminal law to ca 1675&lt;/keyword&gt;&lt;/keywords&gt;&lt;isbn&gt;¹28.00 the set&lt;/isbn&gt;&lt;titles&gt;&lt;title&gt;Historia Placitorum Coronae, 1736&lt;/title&gt;&lt;/titles&gt;&lt;titles&gt;&lt;secondary-title&gt;Classical English Law Texts&lt;/secondary-title&gt;&lt;/titles&gt;&lt;pages&gt;[8],414,[298]p.&lt;/pages&gt;&lt;call-num&gt;KD7850&amp;#xD;345/.42/009 18&lt;/call-num&gt;&lt;contributors&gt;&lt;authors&gt;&lt;author&gt;Hale, Matthew Sir&lt;/author&gt;&lt;/authors&gt;&lt;/contributors&gt;&lt;added-date format="utc"&gt;1249987987&lt;/added-date&gt;&lt;pub-location&gt;London (50 Old Brompton Rd, S.W.7)&lt;/pub-location&gt;&lt;ref-type name="Book"&gt;6&lt;/ref-type&gt;&lt;dates&gt;&lt;year&gt;1971&lt;/year&gt;&lt;/dates&gt;&lt;rec-number&gt;29&lt;/rec-number&gt;&lt;publisher&gt;Professional Books Ltd&lt;/publisher&gt;&lt;last-updated-date format="utc"&gt;1275604530&lt;/last-updated-date&gt;&lt;accession-num&gt;b7605586&lt;/accession-num&gt;&lt;/record&gt;&lt;/Cite&gt;&lt;/EndNote&gt;</w:instrText>
      </w:r>
      <w:r w:rsidRPr="004021F9">
        <w:rPr>
          <w:sz w:val="20"/>
          <w:szCs w:val="20"/>
        </w:rPr>
        <w:fldChar w:fldCharType="separate"/>
      </w:r>
      <w:r w:rsidR="00B47AC5">
        <w:rPr>
          <w:noProof/>
          <w:sz w:val="20"/>
          <w:szCs w:val="20"/>
          <w:lang w:val="pt-BR"/>
        </w:rPr>
        <w:t>See H</w:t>
      </w:r>
      <w:r w:rsidRPr="004021F9">
        <w:rPr>
          <w:noProof/>
          <w:sz w:val="20"/>
          <w:szCs w:val="20"/>
          <w:lang w:val="pt-BR"/>
        </w:rPr>
        <w:t>ale</w:t>
      </w:r>
      <w:r w:rsidRPr="004021F9">
        <w:rPr>
          <w:sz w:val="20"/>
          <w:szCs w:val="20"/>
        </w:rPr>
        <w:fldChar w:fldCharType="end"/>
      </w:r>
      <w:r w:rsidR="00A021FB" w:rsidRPr="004021F9">
        <w:rPr>
          <w:sz w:val="20"/>
          <w:szCs w:val="20"/>
          <w:lang w:val="pt-BR"/>
        </w:rPr>
        <w:t>,</w:t>
      </w:r>
      <w:r w:rsidR="00B47AC5">
        <w:rPr>
          <w:sz w:val="20"/>
          <w:szCs w:val="20"/>
          <w:lang w:val="pt-BR"/>
        </w:rPr>
        <w:t xml:space="preserve"> above</w:t>
      </w:r>
      <w:r w:rsidR="00943083">
        <w:rPr>
          <w:sz w:val="20"/>
          <w:szCs w:val="20"/>
          <w:lang w:val="pt-BR"/>
        </w:rPr>
        <w:t xml:space="preserve"> n. 15 at </w:t>
      </w:r>
      <w:r w:rsidRPr="004021F9">
        <w:rPr>
          <w:sz w:val="20"/>
          <w:szCs w:val="20"/>
          <w:lang w:val="pt-BR"/>
        </w:rPr>
        <w:t>52-56.</w:t>
      </w:r>
    </w:p>
  </w:footnote>
  <w:footnote w:id="48">
    <w:p w14:paraId="0606CEB9" w14:textId="498EE2D6" w:rsidR="00ED7801" w:rsidRPr="004021F9" w:rsidRDefault="00ED7801" w:rsidP="00FE5652">
      <w:pPr>
        <w:pStyle w:val="FootnoteText"/>
        <w:ind w:left="0" w:firstLine="0"/>
        <w:rPr>
          <w:lang w:val="pt-BR"/>
        </w:rPr>
      </w:pPr>
      <w:r w:rsidRPr="004021F9">
        <w:rPr>
          <w:rStyle w:val="FootnoteReference"/>
        </w:rPr>
        <w:footnoteRef/>
      </w:r>
      <w:r w:rsidRPr="004021F9">
        <w:rPr>
          <w:lang w:val="pt-BR"/>
        </w:rPr>
        <w:t xml:space="preserve"> </w:t>
      </w:r>
      <w:r w:rsidR="00943083">
        <w:rPr>
          <w:lang w:val="pt-BR"/>
        </w:rPr>
        <w:t>I</w:t>
      </w:r>
      <w:r w:rsidR="00A021FB" w:rsidRPr="004021F9">
        <w:t>bid</w:t>
      </w:r>
      <w:r w:rsidR="00943083">
        <w:t>. at</w:t>
      </w:r>
      <w:r w:rsidR="00A021FB" w:rsidRPr="004021F9">
        <w:t xml:space="preserve"> </w:t>
      </w:r>
      <w:r w:rsidRPr="004021F9">
        <w:rPr>
          <w:lang w:val="pt-BR"/>
        </w:rPr>
        <w:t>56.</w:t>
      </w:r>
    </w:p>
  </w:footnote>
  <w:footnote w:id="49">
    <w:p w14:paraId="4E353D70" w14:textId="3F6F320B" w:rsidR="00ED7801" w:rsidRPr="004021F9" w:rsidRDefault="00ED7801" w:rsidP="00FE5652">
      <w:pPr>
        <w:spacing w:line="240" w:lineRule="auto"/>
        <w:rPr>
          <w:sz w:val="20"/>
          <w:szCs w:val="20"/>
        </w:rPr>
      </w:pPr>
      <w:r w:rsidRPr="004021F9">
        <w:rPr>
          <w:sz w:val="20"/>
          <w:szCs w:val="20"/>
          <w:vertAlign w:val="superscript"/>
        </w:rPr>
        <w:footnoteRef/>
      </w:r>
      <w:r w:rsidRPr="004021F9">
        <w:rPr>
          <w:sz w:val="20"/>
          <w:szCs w:val="20"/>
          <w:lang w:val="pt-BR"/>
        </w:rPr>
        <w:t xml:space="preserve"> </w:t>
      </w:r>
      <w:r w:rsidR="00943083">
        <w:rPr>
          <w:sz w:val="20"/>
          <w:szCs w:val="20"/>
          <w:lang w:val="pt-BR"/>
        </w:rPr>
        <w:t xml:space="preserve">See </w:t>
      </w:r>
      <w:r w:rsidRPr="004021F9">
        <w:rPr>
          <w:sz w:val="20"/>
          <w:szCs w:val="20"/>
          <w:lang w:val="pt-BR"/>
        </w:rPr>
        <w:t>Blackstone</w:t>
      </w:r>
      <w:r w:rsidR="00A021FB" w:rsidRPr="004021F9">
        <w:rPr>
          <w:sz w:val="20"/>
          <w:szCs w:val="20"/>
          <w:lang w:val="pt-BR"/>
        </w:rPr>
        <w:t xml:space="preserve">, </w:t>
      </w:r>
      <w:r w:rsidR="00943083">
        <w:rPr>
          <w:sz w:val="20"/>
          <w:szCs w:val="20"/>
          <w:lang w:val="pt-BR"/>
        </w:rPr>
        <w:t>above n. 1 at</w:t>
      </w:r>
      <w:r w:rsidR="004021F9" w:rsidRPr="004021F9">
        <w:rPr>
          <w:sz w:val="20"/>
          <w:szCs w:val="20"/>
        </w:rPr>
        <w:t xml:space="preserve"> </w:t>
      </w:r>
      <w:r w:rsidRPr="004021F9">
        <w:rPr>
          <w:sz w:val="20"/>
          <w:szCs w:val="20"/>
          <w:lang w:val="pt-BR"/>
        </w:rPr>
        <w:t xml:space="preserve">30-31.  </w:t>
      </w:r>
      <w:r w:rsidRPr="004021F9">
        <w:rPr>
          <w:sz w:val="20"/>
          <w:szCs w:val="20"/>
        </w:rPr>
        <w:t xml:space="preserve">Blackstone called duress, coercion and acting from extreme want of food or clothes forms of necessity.  </w:t>
      </w:r>
    </w:p>
  </w:footnote>
  <w:footnote w:id="50">
    <w:p w14:paraId="1AA1276B" w14:textId="77777777" w:rsidR="00E67ABE" w:rsidRPr="004021F9" w:rsidRDefault="00E67ABE" w:rsidP="00FE5652">
      <w:pPr>
        <w:spacing w:line="240" w:lineRule="auto"/>
        <w:rPr>
          <w:sz w:val="20"/>
          <w:szCs w:val="20"/>
        </w:rPr>
      </w:pPr>
      <w:r w:rsidRPr="000E565C">
        <w:rPr>
          <w:sz w:val="20"/>
          <w:szCs w:val="20"/>
          <w:vertAlign w:val="superscript"/>
        </w:rPr>
        <w:footnoteRef/>
      </w:r>
      <w:r w:rsidRPr="004021F9">
        <w:rPr>
          <w:i/>
          <w:sz w:val="20"/>
          <w:szCs w:val="20"/>
          <w:vertAlign w:val="superscript"/>
        </w:rPr>
        <w:t xml:space="preserve"> </w:t>
      </w:r>
      <w:bookmarkStart w:id="3" w:name="_Hlk511513655"/>
      <w:r w:rsidRPr="004021F9">
        <w:rPr>
          <w:i/>
          <w:iCs/>
          <w:sz w:val="20"/>
          <w:szCs w:val="20"/>
        </w:rPr>
        <w:t>Mouse’s Case</w:t>
      </w:r>
      <w:r w:rsidRPr="004021F9">
        <w:rPr>
          <w:sz w:val="20"/>
          <w:szCs w:val="20"/>
        </w:rPr>
        <w:t xml:space="preserve"> (1608) 77 ER 1341</w:t>
      </w:r>
      <w:bookmarkEnd w:id="3"/>
      <w:r w:rsidRPr="004021F9">
        <w:rPr>
          <w:sz w:val="20"/>
          <w:szCs w:val="20"/>
        </w:rPr>
        <w:t>.</w:t>
      </w:r>
    </w:p>
  </w:footnote>
  <w:footnote w:id="51">
    <w:p w14:paraId="5AA4410C" w14:textId="758D9761" w:rsidR="00A2199B" w:rsidRPr="00A2199B" w:rsidRDefault="00A2199B" w:rsidP="00FE5652">
      <w:pPr>
        <w:spacing w:line="240" w:lineRule="auto"/>
        <w:rPr>
          <w:sz w:val="20"/>
          <w:szCs w:val="20"/>
        </w:rPr>
      </w:pPr>
      <w:r w:rsidRPr="00A2199B">
        <w:rPr>
          <w:rStyle w:val="FootnoteReference"/>
          <w:sz w:val="20"/>
          <w:szCs w:val="20"/>
        </w:rPr>
        <w:footnoteRef/>
      </w:r>
      <w:r w:rsidRPr="00A2199B">
        <w:rPr>
          <w:sz w:val="20"/>
          <w:szCs w:val="20"/>
        </w:rPr>
        <w:t xml:space="preserve"> E Arnolds and N Garland, ‘The Defence of Necessity in Criminal Law: The Right to Choose the Lesser Evil’ (1974) 65 </w:t>
      </w:r>
      <w:r w:rsidRPr="00E13F3F">
        <w:rPr>
          <w:i/>
          <w:iCs/>
          <w:sz w:val="20"/>
          <w:szCs w:val="20"/>
        </w:rPr>
        <w:t>J</w:t>
      </w:r>
      <w:r w:rsidR="00884E90">
        <w:rPr>
          <w:i/>
          <w:iCs/>
          <w:sz w:val="20"/>
          <w:szCs w:val="20"/>
        </w:rPr>
        <w:t>ournal of</w:t>
      </w:r>
      <w:r w:rsidRPr="00E13F3F">
        <w:rPr>
          <w:i/>
          <w:iCs/>
          <w:sz w:val="20"/>
          <w:szCs w:val="20"/>
        </w:rPr>
        <w:t xml:space="preserve"> Crim</w:t>
      </w:r>
      <w:r w:rsidR="00884E90">
        <w:rPr>
          <w:i/>
          <w:iCs/>
          <w:sz w:val="20"/>
          <w:szCs w:val="20"/>
        </w:rPr>
        <w:t>inal</w:t>
      </w:r>
      <w:r w:rsidRPr="00E13F3F">
        <w:rPr>
          <w:i/>
          <w:iCs/>
          <w:sz w:val="20"/>
          <w:szCs w:val="20"/>
        </w:rPr>
        <w:t xml:space="preserve"> L</w:t>
      </w:r>
      <w:r w:rsidR="00884E90">
        <w:rPr>
          <w:i/>
          <w:iCs/>
          <w:sz w:val="20"/>
          <w:szCs w:val="20"/>
        </w:rPr>
        <w:t>aw</w:t>
      </w:r>
      <w:r w:rsidRPr="00E13F3F">
        <w:rPr>
          <w:i/>
          <w:iCs/>
          <w:sz w:val="20"/>
          <w:szCs w:val="20"/>
        </w:rPr>
        <w:t xml:space="preserve"> </w:t>
      </w:r>
      <w:r w:rsidR="00884E90">
        <w:rPr>
          <w:i/>
          <w:iCs/>
          <w:sz w:val="20"/>
          <w:szCs w:val="20"/>
        </w:rPr>
        <w:t>and</w:t>
      </w:r>
      <w:r w:rsidRPr="00E13F3F">
        <w:rPr>
          <w:i/>
          <w:iCs/>
          <w:sz w:val="20"/>
          <w:szCs w:val="20"/>
        </w:rPr>
        <w:t xml:space="preserve"> Criminology</w:t>
      </w:r>
      <w:r w:rsidRPr="00A2199B">
        <w:rPr>
          <w:sz w:val="20"/>
          <w:szCs w:val="20"/>
        </w:rPr>
        <w:t xml:space="preserve"> 289, 290; </w:t>
      </w:r>
      <w:r w:rsidRPr="00A2199B">
        <w:rPr>
          <w:rFonts w:cs="Arial"/>
          <w:sz w:val="20"/>
          <w:szCs w:val="20"/>
        </w:rPr>
        <w:t xml:space="preserve">M </w:t>
      </w:r>
      <w:proofErr w:type="spellStart"/>
      <w:r w:rsidRPr="00A2199B">
        <w:rPr>
          <w:rFonts w:cs="Arial"/>
          <w:sz w:val="20"/>
          <w:szCs w:val="20"/>
        </w:rPr>
        <w:t>Bohlander</w:t>
      </w:r>
      <w:proofErr w:type="spellEnd"/>
      <w:r w:rsidRPr="00A2199B">
        <w:rPr>
          <w:rFonts w:cs="Arial"/>
          <w:sz w:val="20"/>
          <w:szCs w:val="20"/>
        </w:rPr>
        <w:t xml:space="preserve"> “In Extremis – Hijacked Airplanes, “Collateral Damage” and the Limits of Criminal Law” [2006] Crim LR 579; </w:t>
      </w:r>
      <w:r w:rsidR="00B708A2">
        <w:rPr>
          <w:rFonts w:cs="Arial"/>
          <w:noProof/>
          <w:sz w:val="20"/>
          <w:szCs w:val="20"/>
        </w:rPr>
        <w:t xml:space="preserve">E Colvin, 'Exculpatory Defences in Criminal Law' (1990) 10 </w:t>
      </w:r>
      <w:r w:rsidR="00B708A2" w:rsidRPr="00CB2E5C">
        <w:rPr>
          <w:rFonts w:cs="Arial"/>
          <w:i/>
          <w:iCs/>
          <w:noProof/>
          <w:sz w:val="20"/>
          <w:szCs w:val="20"/>
        </w:rPr>
        <w:t>Oxford Journal of Legal Studies</w:t>
      </w:r>
      <w:r w:rsidR="00B708A2">
        <w:rPr>
          <w:rFonts w:cs="Arial"/>
          <w:noProof/>
          <w:sz w:val="20"/>
          <w:szCs w:val="20"/>
        </w:rPr>
        <w:t xml:space="preserve"> 381, </w:t>
      </w:r>
      <w:r w:rsidRPr="00A2199B">
        <w:rPr>
          <w:rFonts w:cs="Arial"/>
          <w:sz w:val="20"/>
          <w:szCs w:val="20"/>
        </w:rPr>
        <w:t xml:space="preserve">387; </w:t>
      </w:r>
      <w:r w:rsidRPr="00A2199B">
        <w:rPr>
          <w:sz w:val="20"/>
          <w:szCs w:val="20"/>
        </w:rPr>
        <w:t xml:space="preserve">I Dennis, ‘On Necessity as a Defence to Crime: Possibilities, Problems and the Limits of Justification and Excuse’ (2009) 3 </w:t>
      </w:r>
      <w:r w:rsidRPr="00884E90">
        <w:rPr>
          <w:i/>
          <w:iCs/>
          <w:sz w:val="20"/>
          <w:szCs w:val="20"/>
        </w:rPr>
        <w:t>Crim</w:t>
      </w:r>
      <w:r w:rsidR="00884E90">
        <w:rPr>
          <w:i/>
          <w:iCs/>
          <w:sz w:val="20"/>
          <w:szCs w:val="20"/>
        </w:rPr>
        <w:t>inal</w:t>
      </w:r>
      <w:r w:rsidRPr="00884E90">
        <w:rPr>
          <w:i/>
          <w:iCs/>
          <w:sz w:val="20"/>
          <w:szCs w:val="20"/>
        </w:rPr>
        <w:t xml:space="preserve"> Law and Philos</w:t>
      </w:r>
      <w:r w:rsidR="00884E90">
        <w:rPr>
          <w:i/>
          <w:iCs/>
          <w:sz w:val="20"/>
          <w:szCs w:val="20"/>
        </w:rPr>
        <w:t>ophy</w:t>
      </w:r>
      <w:r w:rsidRPr="00A2199B">
        <w:rPr>
          <w:sz w:val="20"/>
          <w:szCs w:val="20"/>
        </w:rPr>
        <w:t xml:space="preserve"> 29, 33; J Dressler, ‘Justifications and Excuses: A </w:t>
      </w:r>
      <w:r w:rsidR="00E13F3F">
        <w:rPr>
          <w:sz w:val="20"/>
          <w:szCs w:val="20"/>
        </w:rPr>
        <w:t>B</w:t>
      </w:r>
      <w:r w:rsidRPr="00A2199B">
        <w:rPr>
          <w:sz w:val="20"/>
          <w:szCs w:val="20"/>
        </w:rPr>
        <w:t xml:space="preserve">rief Review of Concepts and Literature’ (1986 -1987) 33 </w:t>
      </w:r>
      <w:r w:rsidRPr="00884E90">
        <w:rPr>
          <w:i/>
          <w:iCs/>
          <w:sz w:val="20"/>
          <w:szCs w:val="20"/>
        </w:rPr>
        <w:t>Wayne L</w:t>
      </w:r>
      <w:r w:rsidR="00884E90" w:rsidRPr="00884E90">
        <w:rPr>
          <w:i/>
          <w:iCs/>
          <w:sz w:val="20"/>
          <w:szCs w:val="20"/>
        </w:rPr>
        <w:t>aw</w:t>
      </w:r>
      <w:r w:rsidRPr="00884E90">
        <w:rPr>
          <w:i/>
          <w:iCs/>
          <w:sz w:val="20"/>
          <w:szCs w:val="20"/>
        </w:rPr>
        <w:t xml:space="preserve"> Rev</w:t>
      </w:r>
      <w:r w:rsidR="00884E90" w:rsidRPr="00884E90">
        <w:rPr>
          <w:i/>
          <w:iCs/>
          <w:sz w:val="20"/>
          <w:szCs w:val="20"/>
        </w:rPr>
        <w:t>iew</w:t>
      </w:r>
      <w:r w:rsidRPr="00A2199B">
        <w:rPr>
          <w:sz w:val="20"/>
          <w:szCs w:val="20"/>
        </w:rPr>
        <w:t xml:space="preserve"> 1155, 1164; </w:t>
      </w:r>
      <w:r w:rsidRPr="00A2199B">
        <w:rPr>
          <w:sz w:val="20"/>
          <w:szCs w:val="20"/>
        </w:rPr>
        <w:fldChar w:fldCharType="begin"/>
      </w:r>
      <w:r w:rsidRPr="00A2199B">
        <w:rPr>
          <w:sz w:val="20"/>
          <w:szCs w:val="20"/>
        </w:rPr>
        <w:instrText xml:space="preserve"> ADDIN EN.CITE &lt;EndNote&gt;&lt;Cite&gt;&lt;Author&gt;Dressler&lt;/Author&gt;&lt;Year&gt;1988-1989&lt;/Year&gt;&lt;IDText&gt;Exegesis of the Law of duress: Justifying the Excuse and Searching for its Proper Limits&lt;/IDText&gt;&lt;DisplayText&gt;J Dressler, &amp;apos;Exegesis of the Law of duress: Justifying the Excuse and Searching for its Proper Limits&amp;apos; (1988-1989) S Cal L Rev 1331&lt;/DisplayText&gt;&lt;record&gt;&lt;titles&gt;&lt;title&gt;Exegesis of the Law of duress: Justifying the Excuse and Searching for its Proper Limits&lt;/title&gt;&lt;secondary-title&gt;S. Cal. L. Rev.&lt;/secondary-title&gt;&lt;/titles&gt;&lt;pages&gt;1331&lt;/pages&gt;&lt;number&gt;62&lt;/number&gt;&lt;contributors&gt;&lt;authors&gt;&lt;author&gt;Dressler, Joshua&lt;/author&gt;&lt;/authors&gt;&lt;/contributors&gt;&lt;section&gt;1331&lt;/section&gt;&lt;added-date format="utc"&gt;1292883978&lt;/added-date&gt;&lt;ref-type name="Journal Article"&gt;17&lt;/ref-type&gt;&lt;dates&gt;&lt;year&gt;1988-1989&lt;/year&gt;&lt;/dates&gt;&lt;rec-number&gt;59&lt;/rec-number&gt;&lt;last-updated-date format="utc"&gt;1292884105&lt;/last-updated-date&gt;&lt;/record&gt;&lt;/Cite&gt;&lt;/EndNote&gt;</w:instrText>
      </w:r>
      <w:r w:rsidRPr="00A2199B">
        <w:rPr>
          <w:sz w:val="20"/>
          <w:szCs w:val="20"/>
        </w:rPr>
        <w:fldChar w:fldCharType="separate"/>
      </w:r>
      <w:r w:rsidRPr="00A2199B">
        <w:rPr>
          <w:noProof/>
          <w:sz w:val="20"/>
          <w:szCs w:val="20"/>
        </w:rPr>
        <w:t>J Dressler, 'Exegesis of the Law of duress: Justifying the Excuse and Searching for its Proper Limits' (1989) 62 S Cal L Rev 1331</w:t>
      </w:r>
      <w:r w:rsidRPr="00A2199B">
        <w:rPr>
          <w:sz w:val="20"/>
          <w:szCs w:val="20"/>
        </w:rPr>
        <w:fldChar w:fldCharType="end"/>
      </w:r>
      <w:r w:rsidRPr="00A2199B">
        <w:rPr>
          <w:sz w:val="20"/>
          <w:szCs w:val="20"/>
        </w:rPr>
        <w:t xml:space="preserve">, 1352;  G Fletcher, ‘The Individualization of Excusing Conditions (1973-1974) 47 </w:t>
      </w:r>
      <w:r w:rsidR="0091777D">
        <w:rPr>
          <w:sz w:val="20"/>
          <w:szCs w:val="20"/>
        </w:rPr>
        <w:t xml:space="preserve">S </w:t>
      </w:r>
      <w:r w:rsidRPr="00A2199B">
        <w:rPr>
          <w:sz w:val="20"/>
          <w:szCs w:val="20"/>
        </w:rPr>
        <w:t>Cal L Rev 1269, 1274 -1280.</w:t>
      </w:r>
    </w:p>
  </w:footnote>
  <w:footnote w:id="52">
    <w:p w14:paraId="3CAF52E6" w14:textId="77777777" w:rsidR="00ED7801" w:rsidRDefault="00ED7801" w:rsidP="00FE5652">
      <w:pPr>
        <w:spacing w:line="240" w:lineRule="auto"/>
        <w:rPr>
          <w:sz w:val="20"/>
          <w:szCs w:val="20"/>
        </w:rPr>
      </w:pPr>
      <w:r>
        <w:rPr>
          <w:sz w:val="20"/>
          <w:szCs w:val="20"/>
          <w:vertAlign w:val="superscript"/>
        </w:rPr>
        <w:footnoteRef/>
      </w:r>
      <w:r w:rsidRPr="007610BF">
        <w:rPr>
          <w:sz w:val="20"/>
          <w:szCs w:val="20"/>
          <w:vertAlign w:val="superscript"/>
        </w:rPr>
        <w:t xml:space="preserve"> </w:t>
      </w:r>
      <w:r>
        <w:rPr>
          <w:sz w:val="20"/>
          <w:szCs w:val="20"/>
          <w:lang w:val="de-DE"/>
        </w:rPr>
        <w:fldChar w:fldCharType="begin"/>
      </w:r>
      <w:r w:rsidRPr="007610BF">
        <w:rPr>
          <w:sz w:val="20"/>
          <w:szCs w:val="20"/>
        </w:rPr>
        <w:instrText xml:space="preserve"> ADDIN EN.CITE &lt;EndNote&gt;&lt;Cite&gt;&lt;Author&gt;Horder&lt;/Author&gt;&lt;Year&gt;1998&lt;/Year&gt;&lt;IDText&gt;Self Defence, Necessity and Duress: Understanding the Relationship&lt;/IDText&gt;&lt;DisplayText&gt;Horder, &lt;/DisplayText&gt;&lt;record&gt;&lt;titles&gt;&lt;title&gt;Self Defence, Necessity and Duress: Understanding the Relationship&lt;/title&gt;&lt;secondary-title&gt;Can J. L. and Jurisprudence&lt;/secondary-title&gt;&lt;/titles&gt;&lt;pages&gt;143&lt;/pages&gt;&lt;contributors&gt;&lt;authors&gt;&lt;author&gt;Horder, Jeremy&lt;/author&gt;&lt;/authors&gt;&lt;/contributors&gt;&lt;section&gt;143&lt;/section&gt;&lt;added-date format="utc"&gt;1291159293&lt;/added-date&gt;&lt;ref-type name="Journal Article"&gt;17&lt;/ref-type&gt;&lt;dates&gt;&lt;year&gt;1998&lt;/year&gt;&lt;/dates&gt;&lt;rec-number&gt;55&lt;/rec-number&gt;&lt;last-updated-date format="utc"&gt;1291159635&lt;/last-updated-date&gt;&lt;volume&gt;11&lt;/volume&gt;&lt;/record&gt;&lt;/Cite&gt;&lt;/EndNote&gt;</w:instrText>
      </w:r>
      <w:r>
        <w:rPr>
          <w:sz w:val="20"/>
          <w:szCs w:val="20"/>
          <w:lang w:val="de-DE"/>
        </w:rPr>
        <w:fldChar w:fldCharType="separate"/>
      </w:r>
      <w:r>
        <w:rPr>
          <w:sz w:val="20"/>
          <w:szCs w:val="20"/>
        </w:rPr>
        <w:fldChar w:fldCharType="begin"/>
      </w:r>
      <w:r w:rsidRPr="007610BF">
        <w:rPr>
          <w:sz w:val="20"/>
          <w:szCs w:val="20"/>
          <w:lang w:val="pt-BR"/>
        </w:rPr>
        <w:instrText xml:space="preserve"> ADDIN EN.CITE &lt;EndNote&gt;&lt;Cite&gt;&lt;Author&gt;Horder&lt;/Author&gt;&lt;Year&gt;1998&lt;/Year&gt;&lt;IDText&gt;Self Defence, Necessity and Duress: Understanding the Relationship&lt;/IDText&gt;&lt;DisplayText&gt;J Horder, &amp;apos;Self Defence, Necessity and Duress: Understanding the Relationship&amp;apos; (1998) 11 Can J L and Jurisprudence 143&lt;/DisplayText&gt;&lt;record&gt;&lt;titles&gt;&lt;title&gt;Self Defence, Necessity and Duress: Understanding the Relationship&lt;/title&gt;&lt;secondary-title&gt;Can J. L. and Jurisprudence&lt;/secondary-title&gt;&lt;/titles&gt;&lt;pages&gt;143&lt;/pages&gt;&lt;contributors&gt;&lt;authors&gt;&lt;author&gt;Horder, Jeremy&lt;/author&gt;&lt;/authors&gt;&lt;/contributors&gt;&lt;section&gt;143&lt;/section&gt;&lt;added-date format="utc"&gt;1291159293&lt;/added-date&gt;&lt;ref-type name="Journal Article"&gt;17&lt;/ref-type&gt;&lt;dates&gt;&lt;year&gt;1998&lt;/year&gt;&lt;/dates&gt;&lt;rec-number&gt;55&lt;/rec-number&gt;&lt;last-updated-date format="utc"&gt;1291159635&lt;/last-updated-date&gt;&lt;volume&gt;11&lt;/volume&gt;&lt;/record&gt;&lt;/Cite&gt;&lt;/EndNote&gt;</w:instrText>
      </w:r>
      <w:r>
        <w:rPr>
          <w:sz w:val="20"/>
          <w:szCs w:val="20"/>
        </w:rPr>
        <w:fldChar w:fldCharType="separate"/>
      </w:r>
      <w:r>
        <w:rPr>
          <w:sz w:val="20"/>
          <w:szCs w:val="20"/>
        </w:rPr>
        <w:fldChar w:fldCharType="begin"/>
      </w:r>
      <w:r w:rsidRPr="007610BF">
        <w:rPr>
          <w:sz w:val="20"/>
          <w:szCs w:val="20"/>
          <w:lang w:val="pt-BR"/>
        </w:rPr>
        <w:instrText xml:space="preserve"> ADDIN EN.CITE &lt;EndNote&gt;&lt;Cite&gt;&lt;Author&gt;Horder&lt;/Author&gt;&lt;Year&gt;1998&lt;/Year&gt;&lt;IDText&gt;Self Defence, Necessity and Duress: Understanding the Relationship&lt;/IDText&gt;&lt;DisplayText&gt;J Horder, &amp;apos;Self Defence, Necessity and Duress: Understanding the Relationship&amp;apos; (1998) 11 Can J L and Jurisprudence 143&lt;/DisplayText&gt;&lt;record&gt;&lt;titles&gt;&lt;title&gt;Self Defence, Necessity and Duress: Understanding the Relationship&lt;/title&gt;&lt;secondary-title&gt;Can J. L. and Jurisprudence&lt;/secondary-title&gt;&lt;/titles&gt;&lt;pages&gt;143&lt;/pages&gt;&lt;contributors&gt;&lt;authors&gt;&lt;author&gt;Horder, Jeremy&lt;/author&gt;&lt;/authors&gt;&lt;/contributors&gt;&lt;section&gt;143&lt;/section&gt;&lt;added-date format="utc"&gt;1291159293&lt;/added-date&gt;&lt;ref-type name="Journal Article"&gt;17&lt;/ref-type&gt;&lt;dates&gt;&lt;year&gt;1998&lt;/year&gt;&lt;/dates&gt;&lt;rec-number&gt;55&lt;/rec-number&gt;&lt;last-updated-date format="utc"&gt;1291159635&lt;/last-updated-date&gt;&lt;volume&gt;11&lt;/volume&gt;&lt;/record&gt;&lt;/Cite&gt;&lt;/EndNote&gt;</w:instrText>
      </w:r>
      <w:r>
        <w:rPr>
          <w:sz w:val="20"/>
          <w:szCs w:val="20"/>
        </w:rPr>
        <w:fldChar w:fldCharType="separate"/>
      </w:r>
      <w:r w:rsidRPr="007610BF">
        <w:rPr>
          <w:noProof/>
          <w:sz w:val="20"/>
          <w:szCs w:val="20"/>
          <w:lang w:val="pt-BR"/>
        </w:rPr>
        <w:t>J</w:t>
      </w:r>
      <w:r w:rsidR="001264F1">
        <w:rPr>
          <w:noProof/>
          <w:sz w:val="20"/>
          <w:szCs w:val="20"/>
          <w:lang w:val="pt-BR"/>
        </w:rPr>
        <w:t>eremy</w:t>
      </w:r>
      <w:r w:rsidRPr="007610BF">
        <w:rPr>
          <w:noProof/>
          <w:sz w:val="20"/>
          <w:szCs w:val="20"/>
          <w:lang w:val="pt-BR"/>
        </w:rPr>
        <w:t xml:space="preserve"> Horder, 'Self Defence, Necessity and Duress: Understanding the Relationship' (1998) 11 </w:t>
      </w:r>
      <w:r w:rsidRPr="007A515A">
        <w:rPr>
          <w:i/>
          <w:iCs/>
          <w:noProof/>
          <w:sz w:val="20"/>
          <w:szCs w:val="20"/>
          <w:lang w:val="pt-BR"/>
        </w:rPr>
        <w:t>Can</w:t>
      </w:r>
      <w:r w:rsidR="001264F1">
        <w:rPr>
          <w:i/>
          <w:iCs/>
          <w:noProof/>
          <w:sz w:val="20"/>
          <w:szCs w:val="20"/>
          <w:lang w:val="pt-BR"/>
        </w:rPr>
        <w:t>adian</w:t>
      </w:r>
      <w:r w:rsidRPr="007A515A">
        <w:rPr>
          <w:i/>
          <w:iCs/>
          <w:noProof/>
          <w:sz w:val="20"/>
          <w:szCs w:val="20"/>
          <w:lang w:val="pt-BR"/>
        </w:rPr>
        <w:t xml:space="preserve"> J</w:t>
      </w:r>
      <w:r w:rsidR="001264F1">
        <w:rPr>
          <w:i/>
          <w:iCs/>
          <w:noProof/>
          <w:sz w:val="20"/>
          <w:szCs w:val="20"/>
          <w:lang w:val="pt-BR"/>
        </w:rPr>
        <w:t>ouranl of</w:t>
      </w:r>
      <w:r w:rsidRPr="007A515A">
        <w:rPr>
          <w:i/>
          <w:iCs/>
          <w:noProof/>
          <w:sz w:val="20"/>
          <w:szCs w:val="20"/>
          <w:lang w:val="pt-BR"/>
        </w:rPr>
        <w:t xml:space="preserve"> L</w:t>
      </w:r>
      <w:r w:rsidR="001264F1">
        <w:rPr>
          <w:i/>
          <w:iCs/>
          <w:noProof/>
          <w:sz w:val="20"/>
          <w:szCs w:val="20"/>
          <w:lang w:val="pt-BR"/>
        </w:rPr>
        <w:t>aw</w:t>
      </w:r>
      <w:r w:rsidRPr="007A515A">
        <w:rPr>
          <w:i/>
          <w:iCs/>
          <w:noProof/>
          <w:sz w:val="20"/>
          <w:szCs w:val="20"/>
          <w:lang w:val="pt-BR"/>
        </w:rPr>
        <w:t xml:space="preserve"> and Jurisprudence</w:t>
      </w:r>
      <w:r w:rsidRPr="007610BF">
        <w:rPr>
          <w:noProof/>
          <w:sz w:val="20"/>
          <w:szCs w:val="20"/>
          <w:lang w:val="pt-BR"/>
        </w:rPr>
        <w:t xml:space="preserve"> 143</w:t>
      </w:r>
      <w:r>
        <w:rPr>
          <w:sz w:val="20"/>
          <w:szCs w:val="20"/>
        </w:rPr>
        <w:fldChar w:fldCharType="end"/>
      </w:r>
      <w:r w:rsidRPr="007610BF">
        <w:rPr>
          <w:sz w:val="20"/>
          <w:szCs w:val="20"/>
          <w:lang w:val="pt-BR"/>
        </w:rPr>
        <w:t>,</w:t>
      </w:r>
      <w:r w:rsidRPr="007610BF">
        <w:rPr>
          <w:noProof/>
          <w:sz w:val="20"/>
          <w:szCs w:val="20"/>
          <w:lang w:val="pt-BR"/>
        </w:rPr>
        <w:t xml:space="preserve"> </w:t>
      </w:r>
      <w:r>
        <w:rPr>
          <w:sz w:val="20"/>
          <w:szCs w:val="20"/>
        </w:rPr>
        <w:fldChar w:fldCharType="end"/>
      </w:r>
      <w:r w:rsidRPr="007610BF">
        <w:rPr>
          <w:noProof/>
          <w:sz w:val="20"/>
          <w:szCs w:val="20"/>
        </w:rPr>
        <w:t xml:space="preserve"> </w:t>
      </w:r>
      <w:r>
        <w:rPr>
          <w:sz w:val="20"/>
          <w:szCs w:val="20"/>
          <w:lang w:val="de-DE"/>
        </w:rPr>
        <w:fldChar w:fldCharType="end"/>
      </w:r>
      <w:r w:rsidRPr="007610BF">
        <w:rPr>
          <w:sz w:val="20"/>
          <w:szCs w:val="20"/>
        </w:rPr>
        <w:t>143.</w:t>
      </w:r>
    </w:p>
  </w:footnote>
  <w:footnote w:id="53">
    <w:p w14:paraId="09BF80BB" w14:textId="288A7EB4" w:rsidR="00FC22D0" w:rsidRPr="002C310D" w:rsidRDefault="00FC22D0" w:rsidP="00FE5652">
      <w:pPr>
        <w:pStyle w:val="FootnoteText"/>
        <w:ind w:left="0" w:firstLine="0"/>
      </w:pPr>
      <w:r w:rsidRPr="002C310D">
        <w:rPr>
          <w:rStyle w:val="FootnoteReference"/>
        </w:rPr>
        <w:footnoteRef/>
      </w:r>
      <w:r w:rsidRPr="002C310D">
        <w:t xml:space="preserve"> </w:t>
      </w:r>
      <w:r w:rsidR="00983755">
        <w:t>A</w:t>
      </w:r>
      <w:r w:rsidR="00957395">
        <w:t>bove n. 6</w:t>
      </w:r>
      <w:r w:rsidR="00DB0B7B">
        <w:rPr>
          <w:noProof/>
          <w:lang w:val="pt-BR"/>
        </w:rPr>
        <w:t xml:space="preserve"> at 439.</w:t>
      </w:r>
    </w:p>
  </w:footnote>
  <w:footnote w:id="54">
    <w:p w14:paraId="12BA3584" w14:textId="391B0996" w:rsidR="00FC22D0" w:rsidRPr="002C310D" w:rsidRDefault="00FC22D0" w:rsidP="00FE5652">
      <w:pPr>
        <w:pStyle w:val="FootnoteText"/>
        <w:ind w:left="0" w:firstLine="0"/>
      </w:pPr>
      <w:r w:rsidRPr="002C310D">
        <w:rPr>
          <w:rStyle w:val="FootnoteReference"/>
        </w:rPr>
        <w:footnoteRef/>
      </w:r>
      <w:r w:rsidRPr="002C310D">
        <w:t xml:space="preserve"> </w:t>
      </w:r>
      <w:r w:rsidR="00983755">
        <w:t>A</w:t>
      </w:r>
      <w:r w:rsidR="00957395">
        <w:t>bove n. 44</w:t>
      </w:r>
      <w:r w:rsidR="000D11F2" w:rsidRPr="002C310D">
        <w:t>.</w:t>
      </w:r>
    </w:p>
  </w:footnote>
  <w:footnote w:id="55">
    <w:p w14:paraId="0277A301" w14:textId="77777777" w:rsidR="00FC22D0" w:rsidRPr="002C310D" w:rsidRDefault="00FC22D0" w:rsidP="00FE5652">
      <w:pPr>
        <w:pStyle w:val="FootnoteText"/>
        <w:ind w:left="0" w:firstLine="0"/>
      </w:pPr>
      <w:r w:rsidRPr="002C310D">
        <w:rPr>
          <w:rStyle w:val="FootnoteReference"/>
        </w:rPr>
        <w:footnoteRef/>
      </w:r>
      <w:r w:rsidRPr="002C310D">
        <w:t xml:space="preserve"> </w:t>
      </w:r>
      <w:r w:rsidRPr="002C310D">
        <w:rPr>
          <w:i/>
          <w:iCs/>
        </w:rPr>
        <w:t>Abbott v The Queen</w:t>
      </w:r>
      <w:r w:rsidRPr="002C310D">
        <w:t xml:space="preserve"> [1977] AC 755, 772.</w:t>
      </w:r>
    </w:p>
  </w:footnote>
  <w:footnote w:id="56">
    <w:p w14:paraId="42B5181B" w14:textId="2355191B" w:rsidR="00FC22D0" w:rsidRPr="002C310D" w:rsidRDefault="00FC22D0" w:rsidP="00FE5652">
      <w:pPr>
        <w:pStyle w:val="FootnoteText"/>
        <w:ind w:left="0" w:firstLine="0"/>
      </w:pPr>
      <w:r w:rsidRPr="002C310D">
        <w:rPr>
          <w:rStyle w:val="FootnoteReference"/>
        </w:rPr>
        <w:footnoteRef/>
      </w:r>
      <w:r w:rsidRPr="002C310D">
        <w:t xml:space="preserve"> </w:t>
      </w:r>
      <w:r w:rsidR="00983755" w:rsidRPr="00983755">
        <w:t>See</w:t>
      </w:r>
      <w:r w:rsidR="00983755">
        <w:rPr>
          <w:i/>
          <w:iCs/>
        </w:rPr>
        <w:t xml:space="preserve"> </w:t>
      </w:r>
      <w:r w:rsidRPr="002C310D">
        <w:rPr>
          <w:i/>
          <w:iCs/>
        </w:rPr>
        <w:t>Tyler</w:t>
      </w:r>
      <w:r w:rsidR="00983755">
        <w:rPr>
          <w:i/>
          <w:iCs/>
        </w:rPr>
        <w:t xml:space="preserve">, </w:t>
      </w:r>
      <w:r w:rsidR="00983755" w:rsidRPr="00983755">
        <w:t>above</w:t>
      </w:r>
      <w:r w:rsidR="00983755">
        <w:t xml:space="preserve"> n. 44</w:t>
      </w:r>
      <w:r w:rsidRPr="002C310D">
        <w:t>.</w:t>
      </w:r>
    </w:p>
  </w:footnote>
  <w:footnote w:id="57">
    <w:p w14:paraId="1D9C45B9" w14:textId="20589B60" w:rsidR="00F82C1F" w:rsidRPr="00F82C1F" w:rsidRDefault="00F82C1F" w:rsidP="00FE5652">
      <w:pPr>
        <w:pStyle w:val="FootnoteText"/>
        <w:ind w:left="0" w:firstLine="0"/>
      </w:pPr>
      <w:r w:rsidRPr="002C310D">
        <w:rPr>
          <w:rStyle w:val="FootnoteReference"/>
        </w:rPr>
        <w:footnoteRef/>
      </w:r>
      <w:r w:rsidRPr="002C310D">
        <w:t xml:space="preserve"> Conor </w:t>
      </w:r>
      <w:proofErr w:type="spellStart"/>
      <w:r w:rsidRPr="002C310D">
        <w:t>Gearty</w:t>
      </w:r>
      <w:proofErr w:type="spellEnd"/>
      <w:r w:rsidRPr="002C310D">
        <w:t xml:space="preserve">, ‘Howe to be a Hero’ (1987) </w:t>
      </w:r>
      <w:r w:rsidRPr="002C310D">
        <w:rPr>
          <w:i/>
          <w:iCs/>
        </w:rPr>
        <w:t>Criminal Law Journal</w:t>
      </w:r>
      <w:r w:rsidRPr="002C310D">
        <w:t xml:space="preserve"> 203, 204.</w:t>
      </w:r>
    </w:p>
  </w:footnote>
  <w:footnote w:id="58">
    <w:p w14:paraId="6A64746D" w14:textId="54F2BB4F" w:rsidR="00413764" w:rsidRPr="00165A59" w:rsidRDefault="00413764" w:rsidP="00FE5652">
      <w:pPr>
        <w:pStyle w:val="FootnoteText"/>
        <w:ind w:left="0" w:firstLine="0"/>
      </w:pPr>
      <w:r w:rsidRPr="000D11F2">
        <w:rPr>
          <w:rStyle w:val="FootnoteReference"/>
        </w:rPr>
        <w:footnoteRef/>
      </w:r>
      <w:r w:rsidRPr="000D11F2">
        <w:t xml:space="preserve"> </w:t>
      </w:r>
      <w:r w:rsidR="00DF52B2">
        <w:rPr>
          <w:noProof/>
        </w:rPr>
        <w:t xml:space="preserve">Above, n. 4 </w:t>
      </w:r>
      <w:r w:rsidRPr="00165A59">
        <w:t>cited in</w:t>
      </w:r>
      <w:r w:rsidRPr="00165A59">
        <w:rPr>
          <w:i/>
          <w:iCs/>
        </w:rPr>
        <w:t xml:space="preserve"> Howe</w:t>
      </w:r>
      <w:r w:rsidRPr="00165A59">
        <w:t xml:space="preserve"> </w:t>
      </w:r>
      <w:r w:rsidRPr="00165A59">
        <w:rPr>
          <w:noProof/>
          <w:lang w:val="pt-BR"/>
        </w:rPr>
        <w:t>[1987] AC 417</w:t>
      </w:r>
      <w:r w:rsidR="0039743A">
        <w:rPr>
          <w:noProof/>
          <w:lang w:val="pt-BR"/>
        </w:rPr>
        <w:t xml:space="preserve"> at </w:t>
      </w:r>
      <w:r w:rsidRPr="00165A59">
        <w:t>439 (Lord Griffiths).</w:t>
      </w:r>
    </w:p>
  </w:footnote>
  <w:footnote w:id="59">
    <w:p w14:paraId="33D643F5" w14:textId="79C6F924" w:rsidR="008B6149" w:rsidRPr="00165A59" w:rsidRDefault="008B6149" w:rsidP="00FE5652">
      <w:pPr>
        <w:pStyle w:val="FootnoteText"/>
        <w:ind w:left="0" w:firstLine="0"/>
        <w:rPr>
          <w:lang w:val="en-US"/>
        </w:rPr>
      </w:pPr>
      <w:r w:rsidRPr="00165A59">
        <w:rPr>
          <w:rStyle w:val="FootnoteReference"/>
        </w:rPr>
        <w:footnoteRef/>
      </w:r>
      <w:r w:rsidRPr="00165A59">
        <w:t xml:space="preserve"> Lynden Walters, ‘Murder Under Duress and Judicial Decision Making in the House of Lords’ (1988) 8 </w:t>
      </w:r>
      <w:r w:rsidRPr="00165A59">
        <w:rPr>
          <w:i/>
          <w:iCs/>
        </w:rPr>
        <w:t>Legal Studies</w:t>
      </w:r>
      <w:r w:rsidRPr="00165A59">
        <w:t xml:space="preserve"> 61.</w:t>
      </w:r>
    </w:p>
  </w:footnote>
  <w:footnote w:id="60">
    <w:p w14:paraId="24B07BFE" w14:textId="6A0402C8" w:rsidR="00D3227A" w:rsidRPr="00165A59" w:rsidRDefault="00D3227A" w:rsidP="00FE5652">
      <w:pPr>
        <w:pStyle w:val="FootnoteText"/>
        <w:ind w:left="0" w:firstLine="0"/>
      </w:pPr>
      <w:r w:rsidRPr="00165A59">
        <w:rPr>
          <w:rStyle w:val="FootnoteReference"/>
        </w:rPr>
        <w:footnoteRef/>
      </w:r>
      <w:r w:rsidRPr="00165A59">
        <w:t xml:space="preserve"> </w:t>
      </w:r>
      <w:r w:rsidR="00291548">
        <w:t xml:space="preserve">See </w:t>
      </w:r>
      <w:r w:rsidRPr="00165A59">
        <w:rPr>
          <w:i/>
          <w:iCs/>
        </w:rPr>
        <w:t>Howe</w:t>
      </w:r>
      <w:r w:rsidR="00291548">
        <w:rPr>
          <w:i/>
          <w:iCs/>
        </w:rPr>
        <w:t xml:space="preserve">, </w:t>
      </w:r>
      <w:r w:rsidR="00291548" w:rsidRPr="00291548">
        <w:t>above n. 6 at</w:t>
      </w:r>
      <w:r w:rsidRPr="00165A59">
        <w:rPr>
          <w:noProof/>
          <w:lang w:val="pt-BR"/>
        </w:rPr>
        <w:t xml:space="preserve"> </w:t>
      </w:r>
      <w:r w:rsidRPr="00165A59">
        <w:t>429</w:t>
      </w:r>
      <w:r w:rsidR="00291548">
        <w:t xml:space="preserve"> where </w:t>
      </w:r>
      <w:r w:rsidRPr="00165A59">
        <w:t xml:space="preserve">Lord Hailsham states that by allowing the appeal it would mean that the House of Lords would have to say that </w:t>
      </w:r>
      <w:r w:rsidRPr="00165A59">
        <w:rPr>
          <w:i/>
          <w:iCs/>
        </w:rPr>
        <w:t>Dudley and Stephens</w:t>
      </w:r>
      <w:r w:rsidRPr="00165A59">
        <w:t xml:space="preserve"> </w:t>
      </w:r>
      <w:r w:rsidRPr="00165A59">
        <w:rPr>
          <w:noProof/>
        </w:rPr>
        <w:t xml:space="preserve">(1884) 14 QBD 273 </w:t>
      </w:r>
      <w:r w:rsidRPr="00165A59">
        <w:t>was bad law.</w:t>
      </w:r>
    </w:p>
  </w:footnote>
  <w:footnote w:id="61">
    <w:p w14:paraId="0D3103CA" w14:textId="18CDF1AC" w:rsidR="000A3C60" w:rsidRPr="00165A59" w:rsidRDefault="000A3C60" w:rsidP="00EC1301">
      <w:pPr>
        <w:pStyle w:val="FootnoteText"/>
      </w:pPr>
      <w:r w:rsidRPr="00165A59">
        <w:rPr>
          <w:rStyle w:val="FootnoteReference"/>
        </w:rPr>
        <w:footnoteRef/>
      </w:r>
      <w:r w:rsidRPr="00165A59">
        <w:t xml:space="preserve"> </w:t>
      </w:r>
      <w:bookmarkStart w:id="4" w:name="_Hlk511513686"/>
      <w:r w:rsidR="00291548">
        <w:t xml:space="preserve">See </w:t>
      </w:r>
      <w:r w:rsidRPr="00165A59">
        <w:t>Walters,</w:t>
      </w:r>
      <w:r w:rsidR="00291548">
        <w:t xml:space="preserve"> above n</w:t>
      </w:r>
      <w:r w:rsidR="00327295">
        <w:t>.</w:t>
      </w:r>
      <w:r w:rsidR="00291548">
        <w:t xml:space="preserve"> 59</w:t>
      </w:r>
      <w:r w:rsidR="00327295">
        <w:t xml:space="preserve"> at</w:t>
      </w:r>
      <w:bookmarkEnd w:id="4"/>
      <w:r w:rsidRPr="00165A59">
        <w:t xml:space="preserve"> 64.</w:t>
      </w:r>
    </w:p>
  </w:footnote>
  <w:footnote w:id="62">
    <w:p w14:paraId="1A452B35" w14:textId="729D15F6" w:rsidR="00142AA1" w:rsidRPr="00142AA1" w:rsidRDefault="00142AA1">
      <w:pPr>
        <w:pStyle w:val="FootnoteText"/>
        <w:rPr>
          <w:lang w:val="en-US"/>
        </w:rPr>
      </w:pPr>
      <w:r>
        <w:rPr>
          <w:rStyle w:val="FootnoteReference"/>
        </w:rPr>
        <w:footnoteRef/>
      </w:r>
      <w:r>
        <w:t xml:space="preserve"> </w:t>
      </w:r>
      <w:r w:rsidR="00DA4460" w:rsidRPr="00DA4460">
        <w:t xml:space="preserve">[2000] EWCA </w:t>
      </w:r>
      <w:proofErr w:type="spellStart"/>
      <w:r w:rsidR="00DA4460" w:rsidRPr="00DA4460">
        <w:t>Civ</w:t>
      </w:r>
      <w:proofErr w:type="spellEnd"/>
      <w:r w:rsidR="00DA4460" w:rsidRPr="00DA4460">
        <w:t xml:space="preserve"> 254</w:t>
      </w:r>
      <w:r w:rsidR="00DA4460">
        <w:t>.</w:t>
      </w:r>
    </w:p>
  </w:footnote>
  <w:footnote w:id="63">
    <w:p w14:paraId="70C5B735" w14:textId="2CC5AA29" w:rsidR="0044532B" w:rsidRPr="00165A59" w:rsidRDefault="0044532B" w:rsidP="0044532B">
      <w:pPr>
        <w:pStyle w:val="FootnoteText"/>
        <w:ind w:left="0" w:firstLine="0"/>
      </w:pPr>
      <w:r w:rsidRPr="00165A59">
        <w:rPr>
          <w:rStyle w:val="FootnoteReference"/>
        </w:rPr>
        <w:footnoteRef/>
      </w:r>
      <w:r>
        <w:t xml:space="preserve"> </w:t>
      </w:r>
      <w:r w:rsidRPr="000E565C">
        <w:t>See Ormerod and Laird, n. 29 at 394-5 who state that it would be premature to conclude that necessity could never be a defence to murder.</w:t>
      </w:r>
      <w:r w:rsidR="00EC18A9">
        <w:t xml:space="preserve">  </w:t>
      </w:r>
      <w:r w:rsidR="007731E3">
        <w:t xml:space="preserve">M </w:t>
      </w:r>
      <w:proofErr w:type="spellStart"/>
      <w:r w:rsidR="007731E3">
        <w:t>Bo</w:t>
      </w:r>
      <w:r w:rsidR="00890847">
        <w:t>h</w:t>
      </w:r>
      <w:r w:rsidR="007731E3">
        <w:t>lander</w:t>
      </w:r>
      <w:proofErr w:type="spellEnd"/>
      <w:r w:rsidR="00C7547F">
        <w:t>, ‘Of Shipwrecked sailors, unborn children</w:t>
      </w:r>
      <w:r w:rsidR="002943C7">
        <w:t>, conjoined twins and hijacked airplanes – taking human life and the defence of necessity</w:t>
      </w:r>
      <w:r w:rsidR="004C1708">
        <w:t>’</w:t>
      </w:r>
      <w:r w:rsidR="005059F3">
        <w:t xml:space="preserve"> (2006) </w:t>
      </w:r>
      <w:r w:rsidR="00E51C3C">
        <w:t xml:space="preserve">70 J Crim L </w:t>
      </w:r>
      <w:r w:rsidR="005059F3">
        <w:t>147, 1</w:t>
      </w:r>
      <w:r w:rsidR="00E51C3C">
        <w:t xml:space="preserve">61 </w:t>
      </w:r>
      <w:r w:rsidR="007731E3">
        <w:t>also argues that ‘the gene</w:t>
      </w:r>
      <w:r w:rsidR="00EA04B0">
        <w:t>ral maxim that necessity is not a defence to murder can no longer be regarded as sacrosanct’</w:t>
      </w:r>
      <w:r w:rsidRPr="000E565C">
        <w:t xml:space="preserve"> More recently, however, in </w:t>
      </w:r>
      <w:bookmarkStart w:id="5" w:name="_Hlk511513768"/>
      <w:r w:rsidRPr="000E565C">
        <w:rPr>
          <w:i/>
          <w:iCs/>
        </w:rPr>
        <w:t xml:space="preserve">Nicklinson v Ministry of Justice </w:t>
      </w:r>
      <w:r w:rsidRPr="000E565C">
        <w:t xml:space="preserve">[2015] AC 657 </w:t>
      </w:r>
      <w:bookmarkEnd w:id="5"/>
      <w:r w:rsidRPr="000E565C">
        <w:t>it was held that necessity could not be a defence to assisted suicide or euthanasia, which may point to necessity not being a defence to murder should the question arise in the future.</w:t>
      </w:r>
    </w:p>
  </w:footnote>
  <w:footnote w:id="64">
    <w:p w14:paraId="03BFF83A" w14:textId="795B2943" w:rsidR="00FC22D0" w:rsidRPr="00165A59" w:rsidRDefault="00FC22D0" w:rsidP="00EC1301">
      <w:pPr>
        <w:pStyle w:val="FootnoteText"/>
      </w:pPr>
      <w:r w:rsidRPr="00165A59">
        <w:rPr>
          <w:rStyle w:val="FootnoteReference"/>
        </w:rPr>
        <w:footnoteRef/>
      </w:r>
      <w:r w:rsidRPr="00165A59">
        <w:t xml:space="preserve"> </w:t>
      </w:r>
      <w:bookmarkStart w:id="6" w:name="_Hlk511513698"/>
      <w:r w:rsidR="0039743A" w:rsidRPr="0039743A">
        <w:t>See</w:t>
      </w:r>
      <w:r w:rsidR="0039743A">
        <w:rPr>
          <w:i/>
          <w:iCs/>
        </w:rPr>
        <w:t xml:space="preserve"> </w:t>
      </w:r>
      <w:r w:rsidRPr="00165A59">
        <w:rPr>
          <w:i/>
          <w:iCs/>
        </w:rPr>
        <w:t>Abbott</w:t>
      </w:r>
      <w:r w:rsidR="0039743A">
        <w:t>, above n. 55 at</w:t>
      </w:r>
      <w:r w:rsidR="00FC4A01" w:rsidRPr="00165A59">
        <w:t xml:space="preserve"> 772 </w:t>
      </w:r>
      <w:bookmarkEnd w:id="6"/>
      <w:r w:rsidRPr="00165A59">
        <w:t xml:space="preserve">cited in </w:t>
      </w:r>
      <w:r w:rsidRPr="00165A59">
        <w:rPr>
          <w:i/>
          <w:iCs/>
        </w:rPr>
        <w:t>R v Howe</w:t>
      </w:r>
      <w:r w:rsidR="005502A1" w:rsidRPr="00165A59">
        <w:t xml:space="preserve"> </w:t>
      </w:r>
      <w:r w:rsidR="00665CC9" w:rsidRPr="00165A59">
        <w:rPr>
          <w:noProof/>
          <w:lang w:val="pt-BR"/>
        </w:rPr>
        <w:t>[</w:t>
      </w:r>
      <w:r w:rsidR="005502A1" w:rsidRPr="00165A59">
        <w:rPr>
          <w:noProof/>
          <w:lang w:val="pt-BR"/>
        </w:rPr>
        <w:t>1987</w:t>
      </w:r>
      <w:r w:rsidR="00665CC9" w:rsidRPr="00165A59">
        <w:rPr>
          <w:noProof/>
          <w:lang w:val="pt-BR"/>
        </w:rPr>
        <w:t>]</w:t>
      </w:r>
      <w:r w:rsidR="005502A1" w:rsidRPr="00165A59">
        <w:rPr>
          <w:noProof/>
          <w:lang w:val="pt-BR"/>
        </w:rPr>
        <w:t xml:space="preserve"> AC 417</w:t>
      </w:r>
      <w:r w:rsidR="0039743A">
        <w:rPr>
          <w:noProof/>
          <w:lang w:val="pt-BR"/>
        </w:rPr>
        <w:t xml:space="preserve"> at </w:t>
      </w:r>
      <w:r w:rsidRPr="00165A59">
        <w:t>436 (Lord Hailsham).</w:t>
      </w:r>
    </w:p>
  </w:footnote>
  <w:footnote w:id="65">
    <w:p w14:paraId="4CA65261" w14:textId="49447706" w:rsidR="000D0E7C" w:rsidRPr="00EC1301" w:rsidRDefault="000D0E7C" w:rsidP="00EC1301">
      <w:pPr>
        <w:pStyle w:val="FootnoteText"/>
        <w:rPr>
          <w:lang w:val="en-US"/>
        </w:rPr>
      </w:pPr>
      <w:r w:rsidRPr="00EC1301">
        <w:rPr>
          <w:rStyle w:val="FootnoteReference"/>
        </w:rPr>
        <w:footnoteRef/>
      </w:r>
      <w:r w:rsidRPr="00EC1301">
        <w:t xml:space="preserve"> </w:t>
      </w:r>
      <w:r w:rsidRPr="00EC1301">
        <w:rPr>
          <w:i/>
          <w:iCs/>
          <w:lang w:val="en-US"/>
        </w:rPr>
        <w:t xml:space="preserve">R v Graham </w:t>
      </w:r>
      <w:r w:rsidR="00EC1301" w:rsidRPr="00EC1301">
        <w:rPr>
          <w:lang w:val="en-US"/>
        </w:rPr>
        <w:t>[1982] 1 WLR 294.</w:t>
      </w:r>
    </w:p>
  </w:footnote>
  <w:footnote w:id="66">
    <w:p w14:paraId="6C554132" w14:textId="2694A54A" w:rsidR="00FE5652" w:rsidRPr="00FE5652" w:rsidRDefault="00FE5652">
      <w:pPr>
        <w:pStyle w:val="FootnoteText"/>
        <w:rPr>
          <w:lang w:val="en-US"/>
        </w:rPr>
      </w:pPr>
      <w:r>
        <w:rPr>
          <w:rStyle w:val="FootnoteReference"/>
        </w:rPr>
        <w:footnoteRef/>
      </w:r>
      <w:r>
        <w:t xml:space="preserve"> Ibid. at 297</w:t>
      </w:r>
    </w:p>
  </w:footnote>
  <w:footnote w:id="67">
    <w:p w14:paraId="76A27281" w14:textId="0507C43B" w:rsidR="00FC22D0" w:rsidRPr="00333DAE" w:rsidRDefault="00FC22D0" w:rsidP="00EC1301">
      <w:pPr>
        <w:pStyle w:val="FootnoteText"/>
      </w:pPr>
      <w:r w:rsidRPr="00333DAE">
        <w:rPr>
          <w:rStyle w:val="FootnoteReference"/>
        </w:rPr>
        <w:footnoteRef/>
      </w:r>
      <w:r w:rsidRPr="00333DAE">
        <w:t xml:space="preserve"> </w:t>
      </w:r>
      <w:r w:rsidR="00333DAE" w:rsidRPr="00333DAE">
        <w:t>Above, n. 46 at</w:t>
      </w:r>
      <w:r w:rsidR="00A95990" w:rsidRPr="00333DAE">
        <w:t xml:space="preserve"> 680-81</w:t>
      </w:r>
      <w:r w:rsidR="006938B9" w:rsidRPr="00333DAE">
        <w:t xml:space="preserve"> </w:t>
      </w:r>
      <w:r w:rsidRPr="00333DAE">
        <w:t xml:space="preserve">(Lord Wilberforce) and </w:t>
      </w:r>
      <w:r w:rsidR="00333DAE" w:rsidRPr="00333DAE">
        <w:t xml:space="preserve">at </w:t>
      </w:r>
      <w:r w:rsidRPr="00333DAE">
        <w:t>715 (Lord Edmund Davies).</w:t>
      </w:r>
    </w:p>
  </w:footnote>
  <w:footnote w:id="68">
    <w:p w14:paraId="510FA9DC" w14:textId="12D3CBCE" w:rsidR="00FC22D0" w:rsidRPr="00333DAE" w:rsidRDefault="00FC22D0" w:rsidP="00EC1301">
      <w:pPr>
        <w:pStyle w:val="FootnoteText"/>
      </w:pPr>
      <w:r w:rsidRPr="00333DAE">
        <w:rPr>
          <w:rStyle w:val="FootnoteReference"/>
        </w:rPr>
        <w:footnoteRef/>
      </w:r>
      <w:r w:rsidRPr="00333DAE">
        <w:t xml:space="preserve"> </w:t>
      </w:r>
      <w:r w:rsidR="00333DAE">
        <w:t xml:space="preserve">Above, n. </w:t>
      </w:r>
      <w:r w:rsidR="00A054B2">
        <w:t xml:space="preserve">55 at </w:t>
      </w:r>
      <w:r w:rsidRPr="00333DAE">
        <w:t>770 (Lord Wilberforce and Lord Edmund-Davies).</w:t>
      </w:r>
    </w:p>
  </w:footnote>
  <w:footnote w:id="69">
    <w:p w14:paraId="16190F2B" w14:textId="7EF61A89" w:rsidR="00FC22D0" w:rsidRPr="00333DAE" w:rsidRDefault="00FC22D0" w:rsidP="00844D15">
      <w:pPr>
        <w:pStyle w:val="NormalWeb"/>
        <w:spacing w:after="0" w:line="240" w:lineRule="auto"/>
        <w:rPr>
          <w:sz w:val="20"/>
          <w:szCs w:val="20"/>
        </w:rPr>
      </w:pPr>
      <w:r w:rsidRPr="00333DAE">
        <w:rPr>
          <w:rStyle w:val="FootnoteReference"/>
          <w:sz w:val="20"/>
          <w:szCs w:val="20"/>
        </w:rPr>
        <w:footnoteRef/>
      </w:r>
      <w:r w:rsidRPr="00333DAE">
        <w:rPr>
          <w:sz w:val="20"/>
          <w:szCs w:val="20"/>
        </w:rPr>
        <w:t xml:space="preserve"> </w:t>
      </w:r>
      <w:r w:rsidR="00DC628F">
        <w:rPr>
          <w:sz w:val="20"/>
          <w:szCs w:val="20"/>
        </w:rPr>
        <w:t>A</w:t>
      </w:r>
      <w:r w:rsidR="00A054B2">
        <w:rPr>
          <w:sz w:val="20"/>
          <w:szCs w:val="20"/>
        </w:rPr>
        <w:t>bove n</w:t>
      </w:r>
      <w:r w:rsidR="007948FE">
        <w:rPr>
          <w:sz w:val="20"/>
          <w:szCs w:val="20"/>
        </w:rPr>
        <w:t xml:space="preserve">. 15 </w:t>
      </w:r>
      <w:r w:rsidR="003C03C3" w:rsidRPr="00333DAE">
        <w:rPr>
          <w:sz w:val="20"/>
          <w:szCs w:val="20"/>
        </w:rPr>
        <w:t>cited in</w:t>
      </w:r>
      <w:r w:rsidR="003C03C3" w:rsidRPr="00333DAE">
        <w:rPr>
          <w:i/>
          <w:iCs/>
          <w:sz w:val="20"/>
          <w:szCs w:val="20"/>
        </w:rPr>
        <w:t xml:space="preserve"> R v Howe</w:t>
      </w:r>
      <w:r w:rsidR="003C03C3" w:rsidRPr="00333DAE">
        <w:rPr>
          <w:sz w:val="20"/>
          <w:szCs w:val="20"/>
        </w:rPr>
        <w:t xml:space="preserve"> </w:t>
      </w:r>
      <w:r w:rsidR="003C03C3" w:rsidRPr="00333DAE">
        <w:rPr>
          <w:noProof/>
          <w:sz w:val="20"/>
          <w:szCs w:val="20"/>
          <w:lang w:val="pt-BR"/>
        </w:rPr>
        <w:t xml:space="preserve">[1987] AC 417 at 427, </w:t>
      </w:r>
      <w:r w:rsidR="00574EAB" w:rsidRPr="00333DAE">
        <w:rPr>
          <w:noProof/>
          <w:sz w:val="20"/>
          <w:szCs w:val="20"/>
          <w:lang w:val="pt-BR"/>
        </w:rPr>
        <w:t>449 and 451.</w:t>
      </w:r>
    </w:p>
  </w:footnote>
  <w:footnote w:id="70">
    <w:p w14:paraId="5A67958C" w14:textId="45840E1E" w:rsidR="00FC22D0" w:rsidRPr="00333DAE" w:rsidRDefault="00FC22D0" w:rsidP="00EC1301">
      <w:pPr>
        <w:pStyle w:val="FootnoteText"/>
      </w:pPr>
      <w:r w:rsidRPr="00333DAE">
        <w:rPr>
          <w:rStyle w:val="FootnoteReference"/>
        </w:rPr>
        <w:footnoteRef/>
      </w:r>
      <w:r w:rsidRPr="00333DAE">
        <w:t xml:space="preserve"> East</w:t>
      </w:r>
      <w:r w:rsidR="00460E52" w:rsidRPr="00333DAE">
        <w:t xml:space="preserve"> Pleas of the Crown</w:t>
      </w:r>
      <w:r w:rsidR="00A10D85" w:rsidRPr="00333DAE">
        <w:t xml:space="preserve"> cited in</w:t>
      </w:r>
      <w:r w:rsidR="00A10D85" w:rsidRPr="00333DAE">
        <w:rPr>
          <w:i/>
          <w:iCs/>
        </w:rPr>
        <w:t xml:space="preserve"> R v Howe</w:t>
      </w:r>
      <w:r w:rsidR="00A10D85" w:rsidRPr="00333DAE">
        <w:t xml:space="preserve"> </w:t>
      </w:r>
      <w:r w:rsidR="00A10D85" w:rsidRPr="00333DAE">
        <w:rPr>
          <w:noProof/>
          <w:lang w:val="pt-BR"/>
        </w:rPr>
        <w:t>[1987] AC 417 at 449.</w:t>
      </w:r>
    </w:p>
  </w:footnote>
  <w:footnote w:id="71">
    <w:p w14:paraId="44936DB8" w14:textId="4E2B7747" w:rsidR="00165A59" w:rsidRPr="00333DAE" w:rsidRDefault="00165A59" w:rsidP="00EC1301">
      <w:pPr>
        <w:pStyle w:val="FootnoteText"/>
      </w:pPr>
      <w:r w:rsidRPr="00333DAE">
        <w:rPr>
          <w:rStyle w:val="FootnoteReference"/>
        </w:rPr>
        <w:footnoteRef/>
      </w:r>
      <w:r w:rsidRPr="00333DAE">
        <w:t xml:space="preserve"> </w:t>
      </w:r>
      <w:r w:rsidR="00DC628F">
        <w:t xml:space="preserve">Above, n. 15 at </w:t>
      </w:r>
      <w:r w:rsidRPr="00333DAE">
        <w:t>51.</w:t>
      </w:r>
    </w:p>
  </w:footnote>
  <w:footnote w:id="72">
    <w:p w14:paraId="71832C89" w14:textId="0E12DF3B" w:rsidR="00165A59" w:rsidRPr="00333DAE" w:rsidRDefault="00165A59" w:rsidP="00165A59">
      <w:pPr>
        <w:spacing w:line="240" w:lineRule="auto"/>
        <w:rPr>
          <w:sz w:val="20"/>
          <w:szCs w:val="20"/>
        </w:rPr>
      </w:pPr>
      <w:r w:rsidRPr="00333DAE">
        <w:rPr>
          <w:sz w:val="20"/>
          <w:szCs w:val="20"/>
          <w:vertAlign w:val="superscript"/>
        </w:rPr>
        <w:footnoteRef/>
      </w:r>
      <w:r w:rsidRPr="00333DAE">
        <w:rPr>
          <w:sz w:val="20"/>
          <w:szCs w:val="20"/>
        </w:rPr>
        <w:t xml:space="preserve"> </w:t>
      </w:r>
      <w:r w:rsidR="00D108D4" w:rsidRPr="00474F36">
        <w:rPr>
          <w:sz w:val="20"/>
          <w:szCs w:val="20"/>
        </w:rPr>
        <w:t>EH East, Pleas of the Crown (</w:t>
      </w:r>
      <w:r w:rsidR="00250E1C">
        <w:rPr>
          <w:sz w:val="20"/>
          <w:szCs w:val="20"/>
        </w:rPr>
        <w:t>Butterworth</w:t>
      </w:r>
      <w:r w:rsidR="00B32173">
        <w:rPr>
          <w:sz w:val="20"/>
          <w:szCs w:val="20"/>
        </w:rPr>
        <w:t>: London</w:t>
      </w:r>
      <w:r w:rsidR="002D6F96">
        <w:rPr>
          <w:sz w:val="20"/>
          <w:szCs w:val="20"/>
        </w:rPr>
        <w:t xml:space="preserve">, </w:t>
      </w:r>
      <w:r w:rsidR="00D108D4" w:rsidRPr="00474F36">
        <w:rPr>
          <w:sz w:val="20"/>
          <w:szCs w:val="20"/>
        </w:rPr>
        <w:t>1803)</w:t>
      </w:r>
      <w:r w:rsidR="00B32173">
        <w:rPr>
          <w:sz w:val="20"/>
          <w:szCs w:val="20"/>
        </w:rPr>
        <w:t xml:space="preserve"> </w:t>
      </w:r>
      <w:r w:rsidRPr="00333DAE">
        <w:rPr>
          <w:sz w:val="20"/>
          <w:szCs w:val="20"/>
        </w:rPr>
        <w:t>225.</w:t>
      </w:r>
    </w:p>
  </w:footnote>
  <w:footnote w:id="73">
    <w:p w14:paraId="50506CD1" w14:textId="77777777" w:rsidR="00165A59" w:rsidRPr="00333DAE" w:rsidRDefault="00165A59" w:rsidP="001B525A">
      <w:pPr>
        <w:pStyle w:val="FootnoteText"/>
        <w:ind w:left="0" w:firstLine="0"/>
      </w:pPr>
      <w:r w:rsidRPr="00333DAE">
        <w:rPr>
          <w:rStyle w:val="FootnoteReference"/>
        </w:rPr>
        <w:footnoteRef/>
      </w:r>
      <w:r w:rsidRPr="00333DAE">
        <w:t xml:space="preserve"> </w:t>
      </w:r>
      <w:proofErr w:type="gramStart"/>
      <w:r w:rsidRPr="00333DAE">
        <w:t>Since,</w:t>
      </w:r>
      <w:proofErr w:type="gramEnd"/>
      <w:r w:rsidRPr="00333DAE">
        <w:t xml:space="preserve"> s1 (1) of the Murder (Abolition of Death Penalty) Act 1965 judges have no discretion in the sentence for murder and therefore now not only is duress no defence to murder it cannot be a mitigating factor, although may reduce the minimum term to be served under </w:t>
      </w:r>
      <w:bookmarkStart w:id="7" w:name="_Hlk511513435"/>
      <w:r w:rsidRPr="00333DAE">
        <w:t xml:space="preserve">Criminal Justice Act 2003 </w:t>
      </w:r>
      <w:bookmarkEnd w:id="7"/>
      <w:r w:rsidRPr="00333DAE">
        <w:t xml:space="preserve">schedule 21, paragraph 11(e) as inserted by the </w:t>
      </w:r>
      <w:bookmarkStart w:id="8" w:name="_Hlk511513442"/>
      <w:r w:rsidRPr="00333DAE">
        <w:t xml:space="preserve">Coroners and Justice 2009 </w:t>
      </w:r>
      <w:bookmarkEnd w:id="8"/>
      <w:r w:rsidRPr="00333DAE">
        <w:t>schedule 21, paragraph 52(b).</w:t>
      </w:r>
    </w:p>
  </w:footnote>
  <w:footnote w:id="74">
    <w:p w14:paraId="217F1532" w14:textId="34DCBE9E" w:rsidR="00047E93" w:rsidRPr="009A5430" w:rsidRDefault="00047E93" w:rsidP="00EC1301">
      <w:pPr>
        <w:pStyle w:val="FootnoteText"/>
      </w:pPr>
      <w:r w:rsidRPr="009A5430">
        <w:rPr>
          <w:rStyle w:val="FootnoteReference"/>
        </w:rPr>
        <w:footnoteRef/>
      </w:r>
      <w:r w:rsidRPr="009A5430">
        <w:t xml:space="preserve"> </w:t>
      </w:r>
      <w:r w:rsidR="00B32173">
        <w:rPr>
          <w:noProof/>
        </w:rPr>
        <w:t>Above, n.6</w:t>
      </w:r>
      <w:r w:rsidRPr="009A5430">
        <w:rPr>
          <w:noProof/>
        </w:rPr>
        <w:t xml:space="preserve">. </w:t>
      </w:r>
    </w:p>
  </w:footnote>
  <w:footnote w:id="75">
    <w:p w14:paraId="054F9AFE" w14:textId="6EE51226" w:rsidR="000609E2" w:rsidRPr="009A5430" w:rsidRDefault="000609E2" w:rsidP="00EC1301">
      <w:pPr>
        <w:pStyle w:val="FootnoteText"/>
      </w:pPr>
      <w:r w:rsidRPr="009A5430">
        <w:rPr>
          <w:rStyle w:val="FootnoteReference"/>
        </w:rPr>
        <w:footnoteRef/>
      </w:r>
      <w:r w:rsidRPr="009A5430">
        <w:t xml:space="preserve"> </w:t>
      </w:r>
      <w:r w:rsidR="00B32173">
        <w:t>Above, n</w:t>
      </w:r>
      <w:r w:rsidR="00FA5AFD">
        <w:t>. 15.</w:t>
      </w:r>
    </w:p>
  </w:footnote>
  <w:footnote w:id="76">
    <w:p w14:paraId="59F9C63B" w14:textId="11EB544E" w:rsidR="000609E2" w:rsidRPr="00D74927" w:rsidRDefault="000609E2" w:rsidP="000609E2">
      <w:pPr>
        <w:tabs>
          <w:tab w:val="left" w:pos="5520"/>
        </w:tabs>
        <w:spacing w:line="240" w:lineRule="auto"/>
        <w:rPr>
          <w:rFonts w:cs="Arial"/>
          <w:sz w:val="20"/>
          <w:szCs w:val="20"/>
        </w:rPr>
      </w:pPr>
      <w:r w:rsidRPr="009A5430">
        <w:rPr>
          <w:rStyle w:val="FootnoteReference"/>
          <w:sz w:val="20"/>
          <w:szCs w:val="20"/>
        </w:rPr>
        <w:footnoteRef/>
      </w:r>
      <w:r w:rsidRPr="009A5430">
        <w:rPr>
          <w:sz w:val="20"/>
          <w:szCs w:val="20"/>
        </w:rPr>
        <w:t xml:space="preserve"> </w:t>
      </w:r>
      <w:r w:rsidR="00FA5AFD">
        <w:rPr>
          <w:sz w:val="20"/>
          <w:szCs w:val="20"/>
        </w:rPr>
        <w:t xml:space="preserve">Above, n. </w:t>
      </w:r>
      <w:r w:rsidR="00FE5652">
        <w:rPr>
          <w:sz w:val="20"/>
          <w:szCs w:val="20"/>
        </w:rPr>
        <w:t>7</w:t>
      </w:r>
      <w:r w:rsidR="00DA4460">
        <w:rPr>
          <w:sz w:val="20"/>
          <w:szCs w:val="20"/>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502284"/>
      <w:docPartObj>
        <w:docPartGallery w:val="Page Numbers (Top of Page)"/>
        <w:docPartUnique/>
      </w:docPartObj>
    </w:sdtPr>
    <w:sdtEndPr>
      <w:rPr>
        <w:noProof/>
      </w:rPr>
    </w:sdtEndPr>
    <w:sdtContent>
      <w:p w14:paraId="086A72D6" w14:textId="77777777" w:rsidR="00097B54" w:rsidRDefault="00097B54">
        <w:pPr>
          <w:pStyle w:val="Header"/>
          <w:jc w:val="center"/>
        </w:pPr>
      </w:p>
      <w:p w14:paraId="76C42314" w14:textId="77777777" w:rsidR="00097B54" w:rsidRDefault="00890847">
        <w:pPr>
          <w:pStyle w:val="Header"/>
          <w:jc w:val="center"/>
        </w:pPr>
      </w:p>
    </w:sdtContent>
  </w:sdt>
  <w:p w14:paraId="5D82A977"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D1"/>
    <w:rsid w:val="000001D6"/>
    <w:rsid w:val="00001899"/>
    <w:rsid w:val="00001C82"/>
    <w:rsid w:val="00001F73"/>
    <w:rsid w:val="000023F9"/>
    <w:rsid w:val="000028F4"/>
    <w:rsid w:val="00003968"/>
    <w:rsid w:val="00003A1C"/>
    <w:rsid w:val="000049AD"/>
    <w:rsid w:val="0000681B"/>
    <w:rsid w:val="00011F67"/>
    <w:rsid w:val="000133C0"/>
    <w:rsid w:val="00014C4E"/>
    <w:rsid w:val="00016822"/>
    <w:rsid w:val="00016ACE"/>
    <w:rsid w:val="00017107"/>
    <w:rsid w:val="0001764C"/>
    <w:rsid w:val="000202E2"/>
    <w:rsid w:val="00020488"/>
    <w:rsid w:val="00022441"/>
    <w:rsid w:val="0002261E"/>
    <w:rsid w:val="0002394E"/>
    <w:rsid w:val="00024839"/>
    <w:rsid w:val="00025C66"/>
    <w:rsid w:val="00026871"/>
    <w:rsid w:val="000318F7"/>
    <w:rsid w:val="00032412"/>
    <w:rsid w:val="0003723F"/>
    <w:rsid w:val="0003739F"/>
    <w:rsid w:val="00037553"/>
    <w:rsid w:val="00037A98"/>
    <w:rsid w:val="000427FB"/>
    <w:rsid w:val="00043065"/>
    <w:rsid w:val="0004455E"/>
    <w:rsid w:val="00044CAE"/>
    <w:rsid w:val="00047CB5"/>
    <w:rsid w:val="00047E93"/>
    <w:rsid w:val="00050B83"/>
    <w:rsid w:val="00051FAA"/>
    <w:rsid w:val="000572A9"/>
    <w:rsid w:val="000609E2"/>
    <w:rsid w:val="00061325"/>
    <w:rsid w:val="0006262C"/>
    <w:rsid w:val="000676AA"/>
    <w:rsid w:val="00070531"/>
    <w:rsid w:val="0007060B"/>
    <w:rsid w:val="000733AC"/>
    <w:rsid w:val="00074B81"/>
    <w:rsid w:val="00074D22"/>
    <w:rsid w:val="00075081"/>
    <w:rsid w:val="0007528A"/>
    <w:rsid w:val="000764F7"/>
    <w:rsid w:val="00077713"/>
    <w:rsid w:val="000811AB"/>
    <w:rsid w:val="00082CA0"/>
    <w:rsid w:val="00083C5F"/>
    <w:rsid w:val="0008489E"/>
    <w:rsid w:val="00087C67"/>
    <w:rsid w:val="0009172C"/>
    <w:rsid w:val="000930EC"/>
    <w:rsid w:val="00095E61"/>
    <w:rsid w:val="00096214"/>
    <w:rsid w:val="000966C1"/>
    <w:rsid w:val="000970AC"/>
    <w:rsid w:val="00097953"/>
    <w:rsid w:val="00097B54"/>
    <w:rsid w:val="000A1167"/>
    <w:rsid w:val="000A3C60"/>
    <w:rsid w:val="000A4428"/>
    <w:rsid w:val="000A6539"/>
    <w:rsid w:val="000A6D40"/>
    <w:rsid w:val="000A7BC3"/>
    <w:rsid w:val="000B1661"/>
    <w:rsid w:val="000B1F0B"/>
    <w:rsid w:val="000B2E88"/>
    <w:rsid w:val="000B4603"/>
    <w:rsid w:val="000C0071"/>
    <w:rsid w:val="000C09BE"/>
    <w:rsid w:val="000C1380"/>
    <w:rsid w:val="000C2663"/>
    <w:rsid w:val="000C3ABB"/>
    <w:rsid w:val="000C4E4B"/>
    <w:rsid w:val="000C554F"/>
    <w:rsid w:val="000D0DC5"/>
    <w:rsid w:val="000D0E7C"/>
    <w:rsid w:val="000D11F2"/>
    <w:rsid w:val="000D15FF"/>
    <w:rsid w:val="000D28DF"/>
    <w:rsid w:val="000D35A9"/>
    <w:rsid w:val="000D488B"/>
    <w:rsid w:val="000D68DF"/>
    <w:rsid w:val="000E138D"/>
    <w:rsid w:val="000E187A"/>
    <w:rsid w:val="000E2068"/>
    <w:rsid w:val="000E218B"/>
    <w:rsid w:val="000E2D61"/>
    <w:rsid w:val="000E3723"/>
    <w:rsid w:val="000E450E"/>
    <w:rsid w:val="000E565C"/>
    <w:rsid w:val="000E6259"/>
    <w:rsid w:val="000F1425"/>
    <w:rsid w:val="000F4677"/>
    <w:rsid w:val="000F5BE0"/>
    <w:rsid w:val="00100587"/>
    <w:rsid w:val="00100657"/>
    <w:rsid w:val="0010284E"/>
    <w:rsid w:val="00102F74"/>
    <w:rsid w:val="00103122"/>
    <w:rsid w:val="0010336A"/>
    <w:rsid w:val="001050F1"/>
    <w:rsid w:val="00105AEA"/>
    <w:rsid w:val="00106021"/>
    <w:rsid w:val="001060AD"/>
    <w:rsid w:val="00106DAF"/>
    <w:rsid w:val="00111FD0"/>
    <w:rsid w:val="00114ABE"/>
    <w:rsid w:val="00116023"/>
    <w:rsid w:val="001264F1"/>
    <w:rsid w:val="00134970"/>
    <w:rsid w:val="00134A51"/>
    <w:rsid w:val="00134BB3"/>
    <w:rsid w:val="00136B70"/>
    <w:rsid w:val="00137196"/>
    <w:rsid w:val="00140727"/>
    <w:rsid w:val="00142AA1"/>
    <w:rsid w:val="001524B5"/>
    <w:rsid w:val="00155999"/>
    <w:rsid w:val="00157DCD"/>
    <w:rsid w:val="00160628"/>
    <w:rsid w:val="00161344"/>
    <w:rsid w:val="00162195"/>
    <w:rsid w:val="0016322A"/>
    <w:rsid w:val="00165630"/>
    <w:rsid w:val="00165A21"/>
    <w:rsid w:val="00165A59"/>
    <w:rsid w:val="001705CE"/>
    <w:rsid w:val="0017148F"/>
    <w:rsid w:val="0017714B"/>
    <w:rsid w:val="0018000E"/>
    <w:rsid w:val="0018023F"/>
    <w:rsid w:val="001804DF"/>
    <w:rsid w:val="00181BDC"/>
    <w:rsid w:val="00181DB0"/>
    <w:rsid w:val="001829E3"/>
    <w:rsid w:val="0018523A"/>
    <w:rsid w:val="0018692A"/>
    <w:rsid w:val="001924C0"/>
    <w:rsid w:val="0019731E"/>
    <w:rsid w:val="001A09FE"/>
    <w:rsid w:val="001A45C5"/>
    <w:rsid w:val="001A67C9"/>
    <w:rsid w:val="001A69DE"/>
    <w:rsid w:val="001A713C"/>
    <w:rsid w:val="001B1C7C"/>
    <w:rsid w:val="001B398F"/>
    <w:rsid w:val="001B46C6"/>
    <w:rsid w:val="001B4B48"/>
    <w:rsid w:val="001B4D1F"/>
    <w:rsid w:val="001B525A"/>
    <w:rsid w:val="001B7681"/>
    <w:rsid w:val="001B7A72"/>
    <w:rsid w:val="001B7CAE"/>
    <w:rsid w:val="001C0772"/>
    <w:rsid w:val="001C0D4F"/>
    <w:rsid w:val="001C1BA3"/>
    <w:rsid w:val="001C1DEC"/>
    <w:rsid w:val="001C4CEA"/>
    <w:rsid w:val="001C5736"/>
    <w:rsid w:val="001C59C8"/>
    <w:rsid w:val="001D2435"/>
    <w:rsid w:val="001D28F4"/>
    <w:rsid w:val="001D35E8"/>
    <w:rsid w:val="001D647F"/>
    <w:rsid w:val="001D6857"/>
    <w:rsid w:val="001E0572"/>
    <w:rsid w:val="001E0A67"/>
    <w:rsid w:val="001E1028"/>
    <w:rsid w:val="001E14E2"/>
    <w:rsid w:val="001E15F0"/>
    <w:rsid w:val="001E6302"/>
    <w:rsid w:val="001E7DCB"/>
    <w:rsid w:val="001F1F86"/>
    <w:rsid w:val="001F25D4"/>
    <w:rsid w:val="001F3411"/>
    <w:rsid w:val="001F4287"/>
    <w:rsid w:val="001F4DBA"/>
    <w:rsid w:val="001F6986"/>
    <w:rsid w:val="002009BD"/>
    <w:rsid w:val="00201CEB"/>
    <w:rsid w:val="00203F3B"/>
    <w:rsid w:val="0020415E"/>
    <w:rsid w:val="0020438F"/>
    <w:rsid w:val="00204FF4"/>
    <w:rsid w:val="0021056E"/>
    <w:rsid w:val="0021075D"/>
    <w:rsid w:val="0021165A"/>
    <w:rsid w:val="00211BC9"/>
    <w:rsid w:val="0021609D"/>
    <w:rsid w:val="0021620C"/>
    <w:rsid w:val="00216E78"/>
    <w:rsid w:val="00217275"/>
    <w:rsid w:val="0022118F"/>
    <w:rsid w:val="002211DD"/>
    <w:rsid w:val="002217BF"/>
    <w:rsid w:val="002232E4"/>
    <w:rsid w:val="00223971"/>
    <w:rsid w:val="00226AF2"/>
    <w:rsid w:val="00227BF3"/>
    <w:rsid w:val="002341E6"/>
    <w:rsid w:val="00235BE8"/>
    <w:rsid w:val="00235E38"/>
    <w:rsid w:val="00236F4B"/>
    <w:rsid w:val="00242B0D"/>
    <w:rsid w:val="002454D1"/>
    <w:rsid w:val="002467C6"/>
    <w:rsid w:val="0024692A"/>
    <w:rsid w:val="00250E1C"/>
    <w:rsid w:val="0025290E"/>
    <w:rsid w:val="00252BBA"/>
    <w:rsid w:val="00253123"/>
    <w:rsid w:val="002553F7"/>
    <w:rsid w:val="00256C3A"/>
    <w:rsid w:val="002636D2"/>
    <w:rsid w:val="00264001"/>
    <w:rsid w:val="00264299"/>
    <w:rsid w:val="00265D0E"/>
    <w:rsid w:val="00266354"/>
    <w:rsid w:val="002663C8"/>
    <w:rsid w:val="00267A18"/>
    <w:rsid w:val="00271A45"/>
    <w:rsid w:val="00273462"/>
    <w:rsid w:val="0027395B"/>
    <w:rsid w:val="00274D20"/>
    <w:rsid w:val="0027522C"/>
    <w:rsid w:val="00275854"/>
    <w:rsid w:val="00281C49"/>
    <w:rsid w:val="00283B41"/>
    <w:rsid w:val="00284ACD"/>
    <w:rsid w:val="002857AB"/>
    <w:rsid w:val="00285F28"/>
    <w:rsid w:val="00286398"/>
    <w:rsid w:val="00286757"/>
    <w:rsid w:val="002871C9"/>
    <w:rsid w:val="00287695"/>
    <w:rsid w:val="00291548"/>
    <w:rsid w:val="00291ACF"/>
    <w:rsid w:val="00293EB4"/>
    <w:rsid w:val="002943C7"/>
    <w:rsid w:val="002A36D5"/>
    <w:rsid w:val="002A3C42"/>
    <w:rsid w:val="002A4E67"/>
    <w:rsid w:val="002A5D75"/>
    <w:rsid w:val="002A7683"/>
    <w:rsid w:val="002B1B1A"/>
    <w:rsid w:val="002B22C4"/>
    <w:rsid w:val="002B7228"/>
    <w:rsid w:val="002B76BA"/>
    <w:rsid w:val="002C0CFA"/>
    <w:rsid w:val="002C310D"/>
    <w:rsid w:val="002C53EE"/>
    <w:rsid w:val="002C672A"/>
    <w:rsid w:val="002C6BD8"/>
    <w:rsid w:val="002C7141"/>
    <w:rsid w:val="002D001B"/>
    <w:rsid w:val="002D24F7"/>
    <w:rsid w:val="002D2799"/>
    <w:rsid w:val="002D2CD7"/>
    <w:rsid w:val="002D4DDC"/>
    <w:rsid w:val="002D4F75"/>
    <w:rsid w:val="002D5E75"/>
    <w:rsid w:val="002D6493"/>
    <w:rsid w:val="002D6943"/>
    <w:rsid w:val="002D6C69"/>
    <w:rsid w:val="002D6F96"/>
    <w:rsid w:val="002D7AB6"/>
    <w:rsid w:val="002E06D0"/>
    <w:rsid w:val="002E3C27"/>
    <w:rsid w:val="002E403A"/>
    <w:rsid w:val="002E7F3A"/>
    <w:rsid w:val="002F40B1"/>
    <w:rsid w:val="002F4EDB"/>
    <w:rsid w:val="002F6054"/>
    <w:rsid w:val="003075BB"/>
    <w:rsid w:val="00310E13"/>
    <w:rsid w:val="00315713"/>
    <w:rsid w:val="0031686C"/>
    <w:rsid w:val="00316FE0"/>
    <w:rsid w:val="003170DE"/>
    <w:rsid w:val="003204D2"/>
    <w:rsid w:val="003227F0"/>
    <w:rsid w:val="0032605E"/>
    <w:rsid w:val="00327295"/>
    <w:rsid w:val="003275D1"/>
    <w:rsid w:val="00330B2A"/>
    <w:rsid w:val="00331E17"/>
    <w:rsid w:val="00333063"/>
    <w:rsid w:val="00333DAE"/>
    <w:rsid w:val="00334B88"/>
    <w:rsid w:val="00337891"/>
    <w:rsid w:val="003408E3"/>
    <w:rsid w:val="00342654"/>
    <w:rsid w:val="00343480"/>
    <w:rsid w:val="00345E89"/>
    <w:rsid w:val="0034616B"/>
    <w:rsid w:val="003470C8"/>
    <w:rsid w:val="00347B8F"/>
    <w:rsid w:val="00350F9D"/>
    <w:rsid w:val="003522A1"/>
    <w:rsid w:val="0035254B"/>
    <w:rsid w:val="00353555"/>
    <w:rsid w:val="003549A5"/>
    <w:rsid w:val="003565D4"/>
    <w:rsid w:val="003607FB"/>
    <w:rsid w:val="00360FD5"/>
    <w:rsid w:val="0036340D"/>
    <w:rsid w:val="003634A5"/>
    <w:rsid w:val="0036508D"/>
    <w:rsid w:val="00366868"/>
    <w:rsid w:val="00367506"/>
    <w:rsid w:val="00370085"/>
    <w:rsid w:val="003744A7"/>
    <w:rsid w:val="00376235"/>
    <w:rsid w:val="00381FB6"/>
    <w:rsid w:val="00382300"/>
    <w:rsid w:val="003836D3"/>
    <w:rsid w:val="0038370F"/>
    <w:rsid w:val="00383A52"/>
    <w:rsid w:val="00386251"/>
    <w:rsid w:val="00391652"/>
    <w:rsid w:val="00391B91"/>
    <w:rsid w:val="0039507F"/>
    <w:rsid w:val="0039631B"/>
    <w:rsid w:val="0039743A"/>
    <w:rsid w:val="003A0DBB"/>
    <w:rsid w:val="003A1260"/>
    <w:rsid w:val="003A295F"/>
    <w:rsid w:val="003A41DD"/>
    <w:rsid w:val="003A7033"/>
    <w:rsid w:val="003B3EF5"/>
    <w:rsid w:val="003B47FE"/>
    <w:rsid w:val="003B5673"/>
    <w:rsid w:val="003B6287"/>
    <w:rsid w:val="003B62C9"/>
    <w:rsid w:val="003B647B"/>
    <w:rsid w:val="003C03C3"/>
    <w:rsid w:val="003C1ED7"/>
    <w:rsid w:val="003C7176"/>
    <w:rsid w:val="003D090D"/>
    <w:rsid w:val="003D0929"/>
    <w:rsid w:val="003D3D07"/>
    <w:rsid w:val="003D3FF8"/>
    <w:rsid w:val="003D4729"/>
    <w:rsid w:val="003D590E"/>
    <w:rsid w:val="003D5E97"/>
    <w:rsid w:val="003D6858"/>
    <w:rsid w:val="003D6DF8"/>
    <w:rsid w:val="003D7DD6"/>
    <w:rsid w:val="003E0AD5"/>
    <w:rsid w:val="003E40DA"/>
    <w:rsid w:val="003E5AAF"/>
    <w:rsid w:val="003E600D"/>
    <w:rsid w:val="003E64DF"/>
    <w:rsid w:val="003E66AE"/>
    <w:rsid w:val="003E6A5D"/>
    <w:rsid w:val="003E7611"/>
    <w:rsid w:val="003F061E"/>
    <w:rsid w:val="003F193A"/>
    <w:rsid w:val="003F4207"/>
    <w:rsid w:val="003F5C46"/>
    <w:rsid w:val="003F778C"/>
    <w:rsid w:val="003F7C56"/>
    <w:rsid w:val="003F7CBB"/>
    <w:rsid w:val="003F7D34"/>
    <w:rsid w:val="004021F9"/>
    <w:rsid w:val="004057BE"/>
    <w:rsid w:val="00412712"/>
    <w:rsid w:val="00412C8E"/>
    <w:rsid w:val="00412E0D"/>
    <w:rsid w:val="00413764"/>
    <w:rsid w:val="0041518D"/>
    <w:rsid w:val="004210A1"/>
    <w:rsid w:val="00421BCE"/>
    <w:rsid w:val="0042221D"/>
    <w:rsid w:val="00424DD3"/>
    <w:rsid w:val="00425B7E"/>
    <w:rsid w:val="004269C5"/>
    <w:rsid w:val="00430534"/>
    <w:rsid w:val="00431AAE"/>
    <w:rsid w:val="004336B7"/>
    <w:rsid w:val="00434DBF"/>
    <w:rsid w:val="004354BA"/>
    <w:rsid w:val="00435939"/>
    <w:rsid w:val="00437CC7"/>
    <w:rsid w:val="00442B9C"/>
    <w:rsid w:val="0044532B"/>
    <w:rsid w:val="00445EFA"/>
    <w:rsid w:val="00447125"/>
    <w:rsid w:val="0044738A"/>
    <w:rsid w:val="004473D3"/>
    <w:rsid w:val="004476C5"/>
    <w:rsid w:val="00447BD0"/>
    <w:rsid w:val="00452231"/>
    <w:rsid w:val="00456616"/>
    <w:rsid w:val="0046035E"/>
    <w:rsid w:val="00460C13"/>
    <w:rsid w:val="00460E52"/>
    <w:rsid w:val="00463228"/>
    <w:rsid w:val="00463782"/>
    <w:rsid w:val="0046428A"/>
    <w:rsid w:val="0046483F"/>
    <w:rsid w:val="00465106"/>
    <w:rsid w:val="004667E0"/>
    <w:rsid w:val="00466E31"/>
    <w:rsid w:val="0046760E"/>
    <w:rsid w:val="004709D7"/>
    <w:rsid w:val="00470E10"/>
    <w:rsid w:val="00471DDB"/>
    <w:rsid w:val="00477A97"/>
    <w:rsid w:val="00481343"/>
    <w:rsid w:val="00484AC8"/>
    <w:rsid w:val="0048549E"/>
    <w:rsid w:val="004930C6"/>
    <w:rsid w:val="00493347"/>
    <w:rsid w:val="00493B92"/>
    <w:rsid w:val="00496092"/>
    <w:rsid w:val="004A08DB"/>
    <w:rsid w:val="004A25D0"/>
    <w:rsid w:val="004A37E8"/>
    <w:rsid w:val="004A41A2"/>
    <w:rsid w:val="004A7549"/>
    <w:rsid w:val="004B09D4"/>
    <w:rsid w:val="004B309D"/>
    <w:rsid w:val="004B330A"/>
    <w:rsid w:val="004B7C8E"/>
    <w:rsid w:val="004C1708"/>
    <w:rsid w:val="004C3D3C"/>
    <w:rsid w:val="004C54B5"/>
    <w:rsid w:val="004C5560"/>
    <w:rsid w:val="004C702F"/>
    <w:rsid w:val="004D0EDC"/>
    <w:rsid w:val="004D1220"/>
    <w:rsid w:val="004D14B3"/>
    <w:rsid w:val="004D1529"/>
    <w:rsid w:val="004D2253"/>
    <w:rsid w:val="004D5514"/>
    <w:rsid w:val="004D56C3"/>
    <w:rsid w:val="004E0024"/>
    <w:rsid w:val="004E0338"/>
    <w:rsid w:val="004E086D"/>
    <w:rsid w:val="004E22FC"/>
    <w:rsid w:val="004E4FF3"/>
    <w:rsid w:val="004E56A8"/>
    <w:rsid w:val="004E60C8"/>
    <w:rsid w:val="004F33EC"/>
    <w:rsid w:val="004F39F7"/>
    <w:rsid w:val="004F3B55"/>
    <w:rsid w:val="004F428E"/>
    <w:rsid w:val="004F4E46"/>
    <w:rsid w:val="004F6B7D"/>
    <w:rsid w:val="004F7982"/>
    <w:rsid w:val="005015F6"/>
    <w:rsid w:val="00501E96"/>
    <w:rsid w:val="005030C4"/>
    <w:rsid w:val="005031C5"/>
    <w:rsid w:val="00504FDC"/>
    <w:rsid w:val="0050533C"/>
    <w:rsid w:val="005059F3"/>
    <w:rsid w:val="00506122"/>
    <w:rsid w:val="00507FDE"/>
    <w:rsid w:val="005120CC"/>
    <w:rsid w:val="00512B7B"/>
    <w:rsid w:val="00514EA1"/>
    <w:rsid w:val="005160B5"/>
    <w:rsid w:val="0051798B"/>
    <w:rsid w:val="00521F5A"/>
    <w:rsid w:val="00525E06"/>
    <w:rsid w:val="00526454"/>
    <w:rsid w:val="00530403"/>
    <w:rsid w:val="005312F2"/>
    <w:rsid w:val="00531823"/>
    <w:rsid w:val="00534ECC"/>
    <w:rsid w:val="0053720D"/>
    <w:rsid w:val="0053733B"/>
    <w:rsid w:val="005402CF"/>
    <w:rsid w:val="00540EF5"/>
    <w:rsid w:val="005411B1"/>
    <w:rsid w:val="005418DA"/>
    <w:rsid w:val="00541BF3"/>
    <w:rsid w:val="00541CD3"/>
    <w:rsid w:val="005436BA"/>
    <w:rsid w:val="005476FA"/>
    <w:rsid w:val="005502A1"/>
    <w:rsid w:val="005508C4"/>
    <w:rsid w:val="00551084"/>
    <w:rsid w:val="005530FC"/>
    <w:rsid w:val="0055553B"/>
    <w:rsid w:val="0055595E"/>
    <w:rsid w:val="00557988"/>
    <w:rsid w:val="005603A8"/>
    <w:rsid w:val="00562C49"/>
    <w:rsid w:val="00562DEF"/>
    <w:rsid w:val="00563147"/>
    <w:rsid w:val="0056321A"/>
    <w:rsid w:val="00563A35"/>
    <w:rsid w:val="00563F8E"/>
    <w:rsid w:val="00566596"/>
    <w:rsid w:val="00570D18"/>
    <w:rsid w:val="005741E9"/>
    <w:rsid w:val="005748CF"/>
    <w:rsid w:val="00574EAB"/>
    <w:rsid w:val="0057777B"/>
    <w:rsid w:val="00577786"/>
    <w:rsid w:val="00584270"/>
    <w:rsid w:val="00584738"/>
    <w:rsid w:val="00591AA6"/>
    <w:rsid w:val="005920B0"/>
    <w:rsid w:val="0059380D"/>
    <w:rsid w:val="00595A8F"/>
    <w:rsid w:val="005963B1"/>
    <w:rsid w:val="00597580"/>
    <w:rsid w:val="005977C2"/>
    <w:rsid w:val="00597BF2"/>
    <w:rsid w:val="005A0A53"/>
    <w:rsid w:val="005A1F54"/>
    <w:rsid w:val="005A3020"/>
    <w:rsid w:val="005A3519"/>
    <w:rsid w:val="005A4188"/>
    <w:rsid w:val="005A7D09"/>
    <w:rsid w:val="005B134E"/>
    <w:rsid w:val="005B2039"/>
    <w:rsid w:val="005B344F"/>
    <w:rsid w:val="005B3FBA"/>
    <w:rsid w:val="005B4A1D"/>
    <w:rsid w:val="005B5CB9"/>
    <w:rsid w:val="005B674D"/>
    <w:rsid w:val="005B6F5B"/>
    <w:rsid w:val="005C056D"/>
    <w:rsid w:val="005C0CBE"/>
    <w:rsid w:val="005C1FCF"/>
    <w:rsid w:val="005C27D1"/>
    <w:rsid w:val="005C3F41"/>
    <w:rsid w:val="005C7EDB"/>
    <w:rsid w:val="005D1885"/>
    <w:rsid w:val="005D2D84"/>
    <w:rsid w:val="005D4A38"/>
    <w:rsid w:val="005D5454"/>
    <w:rsid w:val="005D6FA8"/>
    <w:rsid w:val="005D715B"/>
    <w:rsid w:val="005E21BF"/>
    <w:rsid w:val="005E2EEA"/>
    <w:rsid w:val="005E3708"/>
    <w:rsid w:val="005E3CCD"/>
    <w:rsid w:val="005E3D6B"/>
    <w:rsid w:val="005E5737"/>
    <w:rsid w:val="005E5B55"/>
    <w:rsid w:val="005E5E4A"/>
    <w:rsid w:val="005E693D"/>
    <w:rsid w:val="005E75BF"/>
    <w:rsid w:val="005F57BA"/>
    <w:rsid w:val="005F5EB4"/>
    <w:rsid w:val="005F61E6"/>
    <w:rsid w:val="005F6C45"/>
    <w:rsid w:val="00600D8F"/>
    <w:rsid w:val="00605A69"/>
    <w:rsid w:val="00606C54"/>
    <w:rsid w:val="00613B88"/>
    <w:rsid w:val="00614375"/>
    <w:rsid w:val="00615B0A"/>
    <w:rsid w:val="00615D81"/>
    <w:rsid w:val="006168CF"/>
    <w:rsid w:val="0062011B"/>
    <w:rsid w:val="00626DE0"/>
    <w:rsid w:val="00630901"/>
    <w:rsid w:val="00631F8E"/>
    <w:rsid w:val="006322DF"/>
    <w:rsid w:val="00632E86"/>
    <w:rsid w:val="00636EE9"/>
    <w:rsid w:val="00640950"/>
    <w:rsid w:val="00641515"/>
    <w:rsid w:val="00641AE7"/>
    <w:rsid w:val="00642629"/>
    <w:rsid w:val="00644645"/>
    <w:rsid w:val="0064782B"/>
    <w:rsid w:val="0065293D"/>
    <w:rsid w:val="00652B31"/>
    <w:rsid w:val="00652B79"/>
    <w:rsid w:val="00652EA5"/>
    <w:rsid w:val="00653EFC"/>
    <w:rsid w:val="00654021"/>
    <w:rsid w:val="00656D8D"/>
    <w:rsid w:val="00657D60"/>
    <w:rsid w:val="00661045"/>
    <w:rsid w:val="00665CC9"/>
    <w:rsid w:val="00666DA8"/>
    <w:rsid w:val="0067063A"/>
    <w:rsid w:val="00671057"/>
    <w:rsid w:val="0067277D"/>
    <w:rsid w:val="006758CB"/>
    <w:rsid w:val="00675AAF"/>
    <w:rsid w:val="006766D0"/>
    <w:rsid w:val="0068010D"/>
    <w:rsid w:val="0068031A"/>
    <w:rsid w:val="0068199A"/>
    <w:rsid w:val="00681B2F"/>
    <w:rsid w:val="0068335F"/>
    <w:rsid w:val="0068395A"/>
    <w:rsid w:val="00684132"/>
    <w:rsid w:val="0068448E"/>
    <w:rsid w:val="006862DA"/>
    <w:rsid w:val="00687217"/>
    <w:rsid w:val="006919BD"/>
    <w:rsid w:val="00693126"/>
    <w:rsid w:val="00693302"/>
    <w:rsid w:val="006938B9"/>
    <w:rsid w:val="0069640B"/>
    <w:rsid w:val="006A1B83"/>
    <w:rsid w:val="006A21CD"/>
    <w:rsid w:val="006A5918"/>
    <w:rsid w:val="006B21B2"/>
    <w:rsid w:val="006B3257"/>
    <w:rsid w:val="006B37C3"/>
    <w:rsid w:val="006B399D"/>
    <w:rsid w:val="006B4A4A"/>
    <w:rsid w:val="006B5BD3"/>
    <w:rsid w:val="006C081F"/>
    <w:rsid w:val="006C19B2"/>
    <w:rsid w:val="006C4409"/>
    <w:rsid w:val="006C5BB8"/>
    <w:rsid w:val="006C6936"/>
    <w:rsid w:val="006C7B01"/>
    <w:rsid w:val="006D0FE8"/>
    <w:rsid w:val="006D4B2B"/>
    <w:rsid w:val="006D4F3C"/>
    <w:rsid w:val="006D5C66"/>
    <w:rsid w:val="006D7002"/>
    <w:rsid w:val="006E0224"/>
    <w:rsid w:val="006E0ABF"/>
    <w:rsid w:val="006E1316"/>
    <w:rsid w:val="006E1917"/>
    <w:rsid w:val="006E1B3C"/>
    <w:rsid w:val="006E23FB"/>
    <w:rsid w:val="006E325A"/>
    <w:rsid w:val="006E33EC"/>
    <w:rsid w:val="006E3802"/>
    <w:rsid w:val="006E45C7"/>
    <w:rsid w:val="006E6C02"/>
    <w:rsid w:val="006F1834"/>
    <w:rsid w:val="006F231A"/>
    <w:rsid w:val="006F6B55"/>
    <w:rsid w:val="006F6ED6"/>
    <w:rsid w:val="006F788D"/>
    <w:rsid w:val="006F78E1"/>
    <w:rsid w:val="00701072"/>
    <w:rsid w:val="00701B21"/>
    <w:rsid w:val="00702054"/>
    <w:rsid w:val="00702A78"/>
    <w:rsid w:val="007035A4"/>
    <w:rsid w:val="00704D1A"/>
    <w:rsid w:val="00711799"/>
    <w:rsid w:val="007125A9"/>
    <w:rsid w:val="00712B78"/>
    <w:rsid w:val="0071393B"/>
    <w:rsid w:val="00713EE2"/>
    <w:rsid w:val="007177FC"/>
    <w:rsid w:val="00720C5E"/>
    <w:rsid w:val="00721701"/>
    <w:rsid w:val="00723FC8"/>
    <w:rsid w:val="0072419D"/>
    <w:rsid w:val="00724793"/>
    <w:rsid w:val="00724890"/>
    <w:rsid w:val="00725FF1"/>
    <w:rsid w:val="00730ADB"/>
    <w:rsid w:val="00731835"/>
    <w:rsid w:val="007341F8"/>
    <w:rsid w:val="00734372"/>
    <w:rsid w:val="00734EB8"/>
    <w:rsid w:val="00735F8B"/>
    <w:rsid w:val="007368EA"/>
    <w:rsid w:val="007377B7"/>
    <w:rsid w:val="0074090B"/>
    <w:rsid w:val="0074143B"/>
    <w:rsid w:val="00742204"/>
    <w:rsid w:val="00742902"/>
    <w:rsid w:val="00742D1F"/>
    <w:rsid w:val="00743595"/>
    <w:rsid w:val="00743EBA"/>
    <w:rsid w:val="00744C8E"/>
    <w:rsid w:val="00745C52"/>
    <w:rsid w:val="0074707E"/>
    <w:rsid w:val="00747979"/>
    <w:rsid w:val="007516DC"/>
    <w:rsid w:val="00752E58"/>
    <w:rsid w:val="00754B80"/>
    <w:rsid w:val="00761918"/>
    <w:rsid w:val="00762F03"/>
    <w:rsid w:val="00763F0A"/>
    <w:rsid w:val="0076413B"/>
    <w:rsid w:val="007648AE"/>
    <w:rsid w:val="00764BF8"/>
    <w:rsid w:val="0076514D"/>
    <w:rsid w:val="007731E3"/>
    <w:rsid w:val="00773D59"/>
    <w:rsid w:val="00774138"/>
    <w:rsid w:val="00776AD2"/>
    <w:rsid w:val="00776CBF"/>
    <w:rsid w:val="0078042C"/>
    <w:rsid w:val="00781003"/>
    <w:rsid w:val="00781EAE"/>
    <w:rsid w:val="00790074"/>
    <w:rsid w:val="007911FD"/>
    <w:rsid w:val="0079125F"/>
    <w:rsid w:val="00793930"/>
    <w:rsid w:val="00793DD1"/>
    <w:rsid w:val="00794419"/>
    <w:rsid w:val="007948FE"/>
    <w:rsid w:val="00794FEC"/>
    <w:rsid w:val="007A003E"/>
    <w:rsid w:val="007A0498"/>
    <w:rsid w:val="007A1965"/>
    <w:rsid w:val="007A2ED1"/>
    <w:rsid w:val="007A4BE6"/>
    <w:rsid w:val="007A515A"/>
    <w:rsid w:val="007B0DC6"/>
    <w:rsid w:val="007B1094"/>
    <w:rsid w:val="007B1762"/>
    <w:rsid w:val="007B3320"/>
    <w:rsid w:val="007B449E"/>
    <w:rsid w:val="007B53B8"/>
    <w:rsid w:val="007C301F"/>
    <w:rsid w:val="007C4540"/>
    <w:rsid w:val="007C54C7"/>
    <w:rsid w:val="007C65AF"/>
    <w:rsid w:val="007D135D"/>
    <w:rsid w:val="007D7234"/>
    <w:rsid w:val="007D730F"/>
    <w:rsid w:val="007D7CD8"/>
    <w:rsid w:val="007E0E84"/>
    <w:rsid w:val="007E3AA7"/>
    <w:rsid w:val="007E49F4"/>
    <w:rsid w:val="007E4D6E"/>
    <w:rsid w:val="007E6DB3"/>
    <w:rsid w:val="007E6F56"/>
    <w:rsid w:val="007F0C97"/>
    <w:rsid w:val="007F4413"/>
    <w:rsid w:val="007F45B2"/>
    <w:rsid w:val="007F737D"/>
    <w:rsid w:val="007F7A58"/>
    <w:rsid w:val="008027DD"/>
    <w:rsid w:val="00802E25"/>
    <w:rsid w:val="0080308E"/>
    <w:rsid w:val="00804F3E"/>
    <w:rsid w:val="00805303"/>
    <w:rsid w:val="00805672"/>
    <w:rsid w:val="00806705"/>
    <w:rsid w:val="00806738"/>
    <w:rsid w:val="0081245E"/>
    <w:rsid w:val="00815AF8"/>
    <w:rsid w:val="008216D5"/>
    <w:rsid w:val="00821BA1"/>
    <w:rsid w:val="008249CE"/>
    <w:rsid w:val="00825B95"/>
    <w:rsid w:val="0083011B"/>
    <w:rsid w:val="00831A50"/>
    <w:rsid w:val="00831B3C"/>
    <w:rsid w:val="00831C89"/>
    <w:rsid w:val="00832114"/>
    <w:rsid w:val="00834C46"/>
    <w:rsid w:val="0083501A"/>
    <w:rsid w:val="0084093E"/>
    <w:rsid w:val="00841CE1"/>
    <w:rsid w:val="00844D15"/>
    <w:rsid w:val="008473D8"/>
    <w:rsid w:val="008502E2"/>
    <w:rsid w:val="00850301"/>
    <w:rsid w:val="008528DC"/>
    <w:rsid w:val="00852B8C"/>
    <w:rsid w:val="00854981"/>
    <w:rsid w:val="0085578C"/>
    <w:rsid w:val="008617B0"/>
    <w:rsid w:val="00862E92"/>
    <w:rsid w:val="00864B2E"/>
    <w:rsid w:val="00865963"/>
    <w:rsid w:val="00866390"/>
    <w:rsid w:val="00871C1D"/>
    <w:rsid w:val="0087450E"/>
    <w:rsid w:val="00874ABD"/>
    <w:rsid w:val="00875A82"/>
    <w:rsid w:val="00876CA3"/>
    <w:rsid w:val="00877245"/>
    <w:rsid w:val="008772FE"/>
    <w:rsid w:val="008775F1"/>
    <w:rsid w:val="00880403"/>
    <w:rsid w:val="00880BD8"/>
    <w:rsid w:val="008821AE"/>
    <w:rsid w:val="00883AF0"/>
    <w:rsid w:val="00883D3A"/>
    <w:rsid w:val="00884E90"/>
    <w:rsid w:val="008854F7"/>
    <w:rsid w:val="00885A9D"/>
    <w:rsid w:val="00885D61"/>
    <w:rsid w:val="00886A91"/>
    <w:rsid w:val="00886E51"/>
    <w:rsid w:val="00890847"/>
    <w:rsid w:val="008929D2"/>
    <w:rsid w:val="00893636"/>
    <w:rsid w:val="00893B94"/>
    <w:rsid w:val="008959D7"/>
    <w:rsid w:val="00896E9D"/>
    <w:rsid w:val="00896F11"/>
    <w:rsid w:val="008A0469"/>
    <w:rsid w:val="008A0C8F"/>
    <w:rsid w:val="008A1049"/>
    <w:rsid w:val="008A1C98"/>
    <w:rsid w:val="008A26B4"/>
    <w:rsid w:val="008A322D"/>
    <w:rsid w:val="008A4D72"/>
    <w:rsid w:val="008A6285"/>
    <w:rsid w:val="008A63B2"/>
    <w:rsid w:val="008B345D"/>
    <w:rsid w:val="008B4A71"/>
    <w:rsid w:val="008B6149"/>
    <w:rsid w:val="008C1038"/>
    <w:rsid w:val="008C1FC2"/>
    <w:rsid w:val="008C2980"/>
    <w:rsid w:val="008C345D"/>
    <w:rsid w:val="008C4DD6"/>
    <w:rsid w:val="008C5AFB"/>
    <w:rsid w:val="008C6671"/>
    <w:rsid w:val="008C6B09"/>
    <w:rsid w:val="008D07FB"/>
    <w:rsid w:val="008D0C02"/>
    <w:rsid w:val="008D222A"/>
    <w:rsid w:val="008D357D"/>
    <w:rsid w:val="008D3DD5"/>
    <w:rsid w:val="008D435A"/>
    <w:rsid w:val="008D571A"/>
    <w:rsid w:val="008D7577"/>
    <w:rsid w:val="008E387B"/>
    <w:rsid w:val="008E5964"/>
    <w:rsid w:val="008E6087"/>
    <w:rsid w:val="008E7588"/>
    <w:rsid w:val="008E758D"/>
    <w:rsid w:val="008F10A7"/>
    <w:rsid w:val="008F309C"/>
    <w:rsid w:val="008F62BD"/>
    <w:rsid w:val="008F6E61"/>
    <w:rsid w:val="008F755D"/>
    <w:rsid w:val="008F7A39"/>
    <w:rsid w:val="009021E8"/>
    <w:rsid w:val="00904677"/>
    <w:rsid w:val="00905EE2"/>
    <w:rsid w:val="00911440"/>
    <w:rsid w:val="00911712"/>
    <w:rsid w:val="00911B27"/>
    <w:rsid w:val="00914E11"/>
    <w:rsid w:val="009170BE"/>
    <w:rsid w:val="0091777D"/>
    <w:rsid w:val="00920B55"/>
    <w:rsid w:val="00922BD9"/>
    <w:rsid w:val="009230C8"/>
    <w:rsid w:val="009262C9"/>
    <w:rsid w:val="00930EB9"/>
    <w:rsid w:val="009315BE"/>
    <w:rsid w:val="00933DC7"/>
    <w:rsid w:val="0093403D"/>
    <w:rsid w:val="0093552F"/>
    <w:rsid w:val="00935865"/>
    <w:rsid w:val="009418F4"/>
    <w:rsid w:val="00942BBC"/>
    <w:rsid w:val="00943083"/>
    <w:rsid w:val="00944180"/>
    <w:rsid w:val="00944AA0"/>
    <w:rsid w:val="00947DA2"/>
    <w:rsid w:val="00951177"/>
    <w:rsid w:val="00953C96"/>
    <w:rsid w:val="00954760"/>
    <w:rsid w:val="00957395"/>
    <w:rsid w:val="0096057A"/>
    <w:rsid w:val="009636A8"/>
    <w:rsid w:val="009673E8"/>
    <w:rsid w:val="00973DE9"/>
    <w:rsid w:val="00974DB8"/>
    <w:rsid w:val="00980661"/>
    <w:rsid w:val="0098093B"/>
    <w:rsid w:val="00983755"/>
    <w:rsid w:val="009876D4"/>
    <w:rsid w:val="009914A5"/>
    <w:rsid w:val="009926EE"/>
    <w:rsid w:val="00993891"/>
    <w:rsid w:val="00994C68"/>
    <w:rsid w:val="0099548E"/>
    <w:rsid w:val="009956EF"/>
    <w:rsid w:val="00996456"/>
    <w:rsid w:val="00996A12"/>
    <w:rsid w:val="00997B0F"/>
    <w:rsid w:val="009A0969"/>
    <w:rsid w:val="009A0CC3"/>
    <w:rsid w:val="009A1CAD"/>
    <w:rsid w:val="009A322C"/>
    <w:rsid w:val="009A3440"/>
    <w:rsid w:val="009A5430"/>
    <w:rsid w:val="009A5832"/>
    <w:rsid w:val="009A63D2"/>
    <w:rsid w:val="009A6838"/>
    <w:rsid w:val="009B24B5"/>
    <w:rsid w:val="009B4E47"/>
    <w:rsid w:val="009B4EBC"/>
    <w:rsid w:val="009B5A31"/>
    <w:rsid w:val="009B5ABB"/>
    <w:rsid w:val="009B73CE"/>
    <w:rsid w:val="009C2461"/>
    <w:rsid w:val="009C3DB0"/>
    <w:rsid w:val="009C4190"/>
    <w:rsid w:val="009C5A15"/>
    <w:rsid w:val="009C6FE2"/>
    <w:rsid w:val="009C7674"/>
    <w:rsid w:val="009D004A"/>
    <w:rsid w:val="009D0809"/>
    <w:rsid w:val="009D0FF0"/>
    <w:rsid w:val="009D2CE2"/>
    <w:rsid w:val="009D4642"/>
    <w:rsid w:val="009D514D"/>
    <w:rsid w:val="009D5880"/>
    <w:rsid w:val="009E1FD4"/>
    <w:rsid w:val="009E3B07"/>
    <w:rsid w:val="009E4434"/>
    <w:rsid w:val="009E51D1"/>
    <w:rsid w:val="009E5531"/>
    <w:rsid w:val="009E6D48"/>
    <w:rsid w:val="009E770E"/>
    <w:rsid w:val="009F171E"/>
    <w:rsid w:val="009F3D2F"/>
    <w:rsid w:val="009F7052"/>
    <w:rsid w:val="00A021FB"/>
    <w:rsid w:val="00A02668"/>
    <w:rsid w:val="00A02682"/>
    <w:rsid w:val="00A02801"/>
    <w:rsid w:val="00A054B2"/>
    <w:rsid w:val="00A06A39"/>
    <w:rsid w:val="00A07F58"/>
    <w:rsid w:val="00A10D85"/>
    <w:rsid w:val="00A131CB"/>
    <w:rsid w:val="00A14847"/>
    <w:rsid w:val="00A14869"/>
    <w:rsid w:val="00A16D6D"/>
    <w:rsid w:val="00A21383"/>
    <w:rsid w:val="00A2199B"/>
    <w:rsid w:val="00A2199F"/>
    <w:rsid w:val="00A21B31"/>
    <w:rsid w:val="00A2360E"/>
    <w:rsid w:val="00A23CA3"/>
    <w:rsid w:val="00A25282"/>
    <w:rsid w:val="00A26811"/>
    <w:rsid w:val="00A26E0C"/>
    <w:rsid w:val="00A32F7E"/>
    <w:rsid w:val="00A32FCB"/>
    <w:rsid w:val="00A34C25"/>
    <w:rsid w:val="00A3507D"/>
    <w:rsid w:val="00A3556E"/>
    <w:rsid w:val="00A3717A"/>
    <w:rsid w:val="00A4088C"/>
    <w:rsid w:val="00A4396E"/>
    <w:rsid w:val="00A439C9"/>
    <w:rsid w:val="00A4456B"/>
    <w:rsid w:val="00A448D4"/>
    <w:rsid w:val="00A452E0"/>
    <w:rsid w:val="00A45F7E"/>
    <w:rsid w:val="00A47149"/>
    <w:rsid w:val="00A506DF"/>
    <w:rsid w:val="00A51B3B"/>
    <w:rsid w:val="00A51EA5"/>
    <w:rsid w:val="00A53742"/>
    <w:rsid w:val="00A557A1"/>
    <w:rsid w:val="00A60AFA"/>
    <w:rsid w:val="00A63059"/>
    <w:rsid w:val="00A63AE3"/>
    <w:rsid w:val="00A651A4"/>
    <w:rsid w:val="00A71361"/>
    <w:rsid w:val="00A72C6F"/>
    <w:rsid w:val="00A742B4"/>
    <w:rsid w:val="00A746E2"/>
    <w:rsid w:val="00A75093"/>
    <w:rsid w:val="00A756DF"/>
    <w:rsid w:val="00A75C92"/>
    <w:rsid w:val="00A81BA4"/>
    <w:rsid w:val="00A81FF2"/>
    <w:rsid w:val="00A82F99"/>
    <w:rsid w:val="00A83904"/>
    <w:rsid w:val="00A84463"/>
    <w:rsid w:val="00A90A79"/>
    <w:rsid w:val="00A95990"/>
    <w:rsid w:val="00A96B30"/>
    <w:rsid w:val="00AA442D"/>
    <w:rsid w:val="00AA59B5"/>
    <w:rsid w:val="00AA7777"/>
    <w:rsid w:val="00AA7B84"/>
    <w:rsid w:val="00AC06F1"/>
    <w:rsid w:val="00AC0B4C"/>
    <w:rsid w:val="00AC1164"/>
    <w:rsid w:val="00AC2296"/>
    <w:rsid w:val="00AC2754"/>
    <w:rsid w:val="00AC48B0"/>
    <w:rsid w:val="00AC4ACD"/>
    <w:rsid w:val="00AC5DFB"/>
    <w:rsid w:val="00AD13DC"/>
    <w:rsid w:val="00AD6DE2"/>
    <w:rsid w:val="00AD7A5F"/>
    <w:rsid w:val="00AE0A40"/>
    <w:rsid w:val="00AE1ED4"/>
    <w:rsid w:val="00AE21E1"/>
    <w:rsid w:val="00AE2F8D"/>
    <w:rsid w:val="00AE3191"/>
    <w:rsid w:val="00AE377C"/>
    <w:rsid w:val="00AE3BAE"/>
    <w:rsid w:val="00AE4F19"/>
    <w:rsid w:val="00AE6A21"/>
    <w:rsid w:val="00AF0597"/>
    <w:rsid w:val="00AF17EA"/>
    <w:rsid w:val="00AF1BC5"/>
    <w:rsid w:val="00AF1C8F"/>
    <w:rsid w:val="00AF2B68"/>
    <w:rsid w:val="00AF2C92"/>
    <w:rsid w:val="00AF3205"/>
    <w:rsid w:val="00AF3EC1"/>
    <w:rsid w:val="00AF5025"/>
    <w:rsid w:val="00AF519F"/>
    <w:rsid w:val="00AF5387"/>
    <w:rsid w:val="00AF55F5"/>
    <w:rsid w:val="00AF5CDB"/>
    <w:rsid w:val="00AF74A9"/>
    <w:rsid w:val="00AF7E86"/>
    <w:rsid w:val="00B0003B"/>
    <w:rsid w:val="00B024B9"/>
    <w:rsid w:val="00B03A1B"/>
    <w:rsid w:val="00B04E15"/>
    <w:rsid w:val="00B05E06"/>
    <w:rsid w:val="00B070F1"/>
    <w:rsid w:val="00B077FA"/>
    <w:rsid w:val="00B0781F"/>
    <w:rsid w:val="00B1234D"/>
    <w:rsid w:val="00B127D7"/>
    <w:rsid w:val="00B13B0C"/>
    <w:rsid w:val="00B14408"/>
    <w:rsid w:val="00B1453A"/>
    <w:rsid w:val="00B14D0F"/>
    <w:rsid w:val="00B20F82"/>
    <w:rsid w:val="00B24F55"/>
    <w:rsid w:val="00B25BD5"/>
    <w:rsid w:val="00B26BA5"/>
    <w:rsid w:val="00B30A11"/>
    <w:rsid w:val="00B32173"/>
    <w:rsid w:val="00B33B4D"/>
    <w:rsid w:val="00B34079"/>
    <w:rsid w:val="00B3793A"/>
    <w:rsid w:val="00B37C99"/>
    <w:rsid w:val="00B401BA"/>
    <w:rsid w:val="00B407E4"/>
    <w:rsid w:val="00B41538"/>
    <w:rsid w:val="00B425B6"/>
    <w:rsid w:val="00B42A72"/>
    <w:rsid w:val="00B441AE"/>
    <w:rsid w:val="00B444A2"/>
    <w:rsid w:val="00B45A65"/>
    <w:rsid w:val="00B45F33"/>
    <w:rsid w:val="00B46D50"/>
    <w:rsid w:val="00B46F34"/>
    <w:rsid w:val="00B47AC5"/>
    <w:rsid w:val="00B50818"/>
    <w:rsid w:val="00B53170"/>
    <w:rsid w:val="00B53DDF"/>
    <w:rsid w:val="00B548B9"/>
    <w:rsid w:val="00B54D12"/>
    <w:rsid w:val="00B56DBE"/>
    <w:rsid w:val="00B62216"/>
    <w:rsid w:val="00B62999"/>
    <w:rsid w:val="00B63BE3"/>
    <w:rsid w:val="00B64885"/>
    <w:rsid w:val="00B64FA3"/>
    <w:rsid w:val="00B64FE0"/>
    <w:rsid w:val="00B66810"/>
    <w:rsid w:val="00B708A2"/>
    <w:rsid w:val="00B71BFE"/>
    <w:rsid w:val="00B728C5"/>
    <w:rsid w:val="00B72BE3"/>
    <w:rsid w:val="00B73B80"/>
    <w:rsid w:val="00B770C7"/>
    <w:rsid w:val="00B7762B"/>
    <w:rsid w:val="00B80B7D"/>
    <w:rsid w:val="00B80F26"/>
    <w:rsid w:val="00B822BD"/>
    <w:rsid w:val="00B82F3F"/>
    <w:rsid w:val="00B842F4"/>
    <w:rsid w:val="00B8461C"/>
    <w:rsid w:val="00B84A88"/>
    <w:rsid w:val="00B91A7B"/>
    <w:rsid w:val="00B922FB"/>
    <w:rsid w:val="00B929DD"/>
    <w:rsid w:val="00B930AD"/>
    <w:rsid w:val="00B93AF6"/>
    <w:rsid w:val="00B94474"/>
    <w:rsid w:val="00B94517"/>
    <w:rsid w:val="00B949F7"/>
    <w:rsid w:val="00B95405"/>
    <w:rsid w:val="00B9549D"/>
    <w:rsid w:val="00B963F1"/>
    <w:rsid w:val="00BA020A"/>
    <w:rsid w:val="00BA15F0"/>
    <w:rsid w:val="00BB025A"/>
    <w:rsid w:val="00BB02A4"/>
    <w:rsid w:val="00BB1270"/>
    <w:rsid w:val="00BB1E44"/>
    <w:rsid w:val="00BB2530"/>
    <w:rsid w:val="00BB5267"/>
    <w:rsid w:val="00BB52B8"/>
    <w:rsid w:val="00BB59D8"/>
    <w:rsid w:val="00BB7E69"/>
    <w:rsid w:val="00BC0E51"/>
    <w:rsid w:val="00BC3C1F"/>
    <w:rsid w:val="00BC7CE7"/>
    <w:rsid w:val="00BD295E"/>
    <w:rsid w:val="00BD4664"/>
    <w:rsid w:val="00BE1193"/>
    <w:rsid w:val="00BE12D3"/>
    <w:rsid w:val="00BE6395"/>
    <w:rsid w:val="00BE7795"/>
    <w:rsid w:val="00BF218A"/>
    <w:rsid w:val="00BF2BBE"/>
    <w:rsid w:val="00BF45CA"/>
    <w:rsid w:val="00BF4849"/>
    <w:rsid w:val="00BF4EA7"/>
    <w:rsid w:val="00BF56ED"/>
    <w:rsid w:val="00BF6525"/>
    <w:rsid w:val="00C00EDB"/>
    <w:rsid w:val="00C02863"/>
    <w:rsid w:val="00C0383A"/>
    <w:rsid w:val="00C067FF"/>
    <w:rsid w:val="00C12862"/>
    <w:rsid w:val="00C13364"/>
    <w:rsid w:val="00C13D28"/>
    <w:rsid w:val="00C14585"/>
    <w:rsid w:val="00C15C0E"/>
    <w:rsid w:val="00C15DA6"/>
    <w:rsid w:val="00C165A0"/>
    <w:rsid w:val="00C20283"/>
    <w:rsid w:val="00C216CE"/>
    <w:rsid w:val="00C2184F"/>
    <w:rsid w:val="00C22A78"/>
    <w:rsid w:val="00C23C7E"/>
    <w:rsid w:val="00C246C5"/>
    <w:rsid w:val="00C25A82"/>
    <w:rsid w:val="00C30A2A"/>
    <w:rsid w:val="00C32CDF"/>
    <w:rsid w:val="00C33993"/>
    <w:rsid w:val="00C356BD"/>
    <w:rsid w:val="00C4069E"/>
    <w:rsid w:val="00C408FC"/>
    <w:rsid w:val="00C41ADC"/>
    <w:rsid w:val="00C439D0"/>
    <w:rsid w:val="00C44149"/>
    <w:rsid w:val="00C44410"/>
    <w:rsid w:val="00C44A15"/>
    <w:rsid w:val="00C4630A"/>
    <w:rsid w:val="00C47434"/>
    <w:rsid w:val="00C474C6"/>
    <w:rsid w:val="00C47823"/>
    <w:rsid w:val="00C523F0"/>
    <w:rsid w:val="00C526D2"/>
    <w:rsid w:val="00C53A91"/>
    <w:rsid w:val="00C55804"/>
    <w:rsid w:val="00C5794E"/>
    <w:rsid w:val="00C60968"/>
    <w:rsid w:val="00C63D39"/>
    <w:rsid w:val="00C63EDD"/>
    <w:rsid w:val="00C65B36"/>
    <w:rsid w:val="00C714AD"/>
    <w:rsid w:val="00C7292E"/>
    <w:rsid w:val="00C74E88"/>
    <w:rsid w:val="00C7547F"/>
    <w:rsid w:val="00C80924"/>
    <w:rsid w:val="00C8286B"/>
    <w:rsid w:val="00C83A22"/>
    <w:rsid w:val="00C8521E"/>
    <w:rsid w:val="00C92176"/>
    <w:rsid w:val="00C947F8"/>
    <w:rsid w:val="00C9515F"/>
    <w:rsid w:val="00C963C5"/>
    <w:rsid w:val="00CA030C"/>
    <w:rsid w:val="00CA1F41"/>
    <w:rsid w:val="00CA32EE"/>
    <w:rsid w:val="00CA5771"/>
    <w:rsid w:val="00CA6A1A"/>
    <w:rsid w:val="00CA6CD8"/>
    <w:rsid w:val="00CA7117"/>
    <w:rsid w:val="00CA7718"/>
    <w:rsid w:val="00CB0AFA"/>
    <w:rsid w:val="00CB2E5C"/>
    <w:rsid w:val="00CB4DF8"/>
    <w:rsid w:val="00CB4F20"/>
    <w:rsid w:val="00CB719E"/>
    <w:rsid w:val="00CC12DA"/>
    <w:rsid w:val="00CC1E75"/>
    <w:rsid w:val="00CC2E0E"/>
    <w:rsid w:val="00CC33DB"/>
    <w:rsid w:val="00CC361C"/>
    <w:rsid w:val="00CC474B"/>
    <w:rsid w:val="00CC53A4"/>
    <w:rsid w:val="00CC658C"/>
    <w:rsid w:val="00CC67BF"/>
    <w:rsid w:val="00CD0843"/>
    <w:rsid w:val="00CD4746"/>
    <w:rsid w:val="00CD4E31"/>
    <w:rsid w:val="00CD5A78"/>
    <w:rsid w:val="00CD6313"/>
    <w:rsid w:val="00CD6660"/>
    <w:rsid w:val="00CD7345"/>
    <w:rsid w:val="00CE301C"/>
    <w:rsid w:val="00CE372E"/>
    <w:rsid w:val="00CE394F"/>
    <w:rsid w:val="00CE5A14"/>
    <w:rsid w:val="00CE6EC1"/>
    <w:rsid w:val="00CE7E9A"/>
    <w:rsid w:val="00CF0A1B"/>
    <w:rsid w:val="00CF19F6"/>
    <w:rsid w:val="00CF2F4F"/>
    <w:rsid w:val="00CF536D"/>
    <w:rsid w:val="00CF7A79"/>
    <w:rsid w:val="00D000CC"/>
    <w:rsid w:val="00D02E9D"/>
    <w:rsid w:val="00D07561"/>
    <w:rsid w:val="00D108D4"/>
    <w:rsid w:val="00D10CB8"/>
    <w:rsid w:val="00D12806"/>
    <w:rsid w:val="00D12B68"/>
    <w:rsid w:val="00D12D44"/>
    <w:rsid w:val="00D15018"/>
    <w:rsid w:val="00D158AC"/>
    <w:rsid w:val="00D1694C"/>
    <w:rsid w:val="00D178B2"/>
    <w:rsid w:val="00D20140"/>
    <w:rsid w:val="00D20BB2"/>
    <w:rsid w:val="00D20F5E"/>
    <w:rsid w:val="00D23B76"/>
    <w:rsid w:val="00D24B4A"/>
    <w:rsid w:val="00D30023"/>
    <w:rsid w:val="00D3227A"/>
    <w:rsid w:val="00D32C8A"/>
    <w:rsid w:val="00D343F3"/>
    <w:rsid w:val="00D3623A"/>
    <w:rsid w:val="00D379A3"/>
    <w:rsid w:val="00D40C5D"/>
    <w:rsid w:val="00D45FF3"/>
    <w:rsid w:val="00D512CF"/>
    <w:rsid w:val="00D528B9"/>
    <w:rsid w:val="00D53186"/>
    <w:rsid w:val="00D5487D"/>
    <w:rsid w:val="00D60140"/>
    <w:rsid w:val="00D6024A"/>
    <w:rsid w:val="00D608B5"/>
    <w:rsid w:val="00D61986"/>
    <w:rsid w:val="00D64739"/>
    <w:rsid w:val="00D64FB6"/>
    <w:rsid w:val="00D712E3"/>
    <w:rsid w:val="00D71F99"/>
    <w:rsid w:val="00D7265F"/>
    <w:rsid w:val="00D732BD"/>
    <w:rsid w:val="00D73CA4"/>
    <w:rsid w:val="00D73D71"/>
    <w:rsid w:val="00D74396"/>
    <w:rsid w:val="00D745CC"/>
    <w:rsid w:val="00D77668"/>
    <w:rsid w:val="00D80284"/>
    <w:rsid w:val="00D812BF"/>
    <w:rsid w:val="00D81F71"/>
    <w:rsid w:val="00D8300F"/>
    <w:rsid w:val="00D83DFD"/>
    <w:rsid w:val="00D8642D"/>
    <w:rsid w:val="00D871CC"/>
    <w:rsid w:val="00D87DF2"/>
    <w:rsid w:val="00D90A5E"/>
    <w:rsid w:val="00D91A68"/>
    <w:rsid w:val="00D95A68"/>
    <w:rsid w:val="00D97307"/>
    <w:rsid w:val="00DA17C7"/>
    <w:rsid w:val="00DA3035"/>
    <w:rsid w:val="00DA4460"/>
    <w:rsid w:val="00DA5205"/>
    <w:rsid w:val="00DA62D8"/>
    <w:rsid w:val="00DA6A9A"/>
    <w:rsid w:val="00DB0A30"/>
    <w:rsid w:val="00DB0B7B"/>
    <w:rsid w:val="00DB17D0"/>
    <w:rsid w:val="00DB1EFD"/>
    <w:rsid w:val="00DB3EAF"/>
    <w:rsid w:val="00DB46C6"/>
    <w:rsid w:val="00DB4AAA"/>
    <w:rsid w:val="00DB6E60"/>
    <w:rsid w:val="00DC3203"/>
    <w:rsid w:val="00DC3326"/>
    <w:rsid w:val="00DC3C99"/>
    <w:rsid w:val="00DC4774"/>
    <w:rsid w:val="00DC52F5"/>
    <w:rsid w:val="00DC5970"/>
    <w:rsid w:val="00DC5FD0"/>
    <w:rsid w:val="00DC628F"/>
    <w:rsid w:val="00DD0354"/>
    <w:rsid w:val="00DD0B0B"/>
    <w:rsid w:val="00DD1767"/>
    <w:rsid w:val="00DD27D7"/>
    <w:rsid w:val="00DD2A40"/>
    <w:rsid w:val="00DD458C"/>
    <w:rsid w:val="00DD5294"/>
    <w:rsid w:val="00DD72E9"/>
    <w:rsid w:val="00DD7605"/>
    <w:rsid w:val="00DE2020"/>
    <w:rsid w:val="00DE3476"/>
    <w:rsid w:val="00DE762B"/>
    <w:rsid w:val="00DE7BEA"/>
    <w:rsid w:val="00DF2A72"/>
    <w:rsid w:val="00DF52B2"/>
    <w:rsid w:val="00DF5B84"/>
    <w:rsid w:val="00DF5E59"/>
    <w:rsid w:val="00DF6D5B"/>
    <w:rsid w:val="00DF771B"/>
    <w:rsid w:val="00DF7EE2"/>
    <w:rsid w:val="00E01BAA"/>
    <w:rsid w:val="00E0282A"/>
    <w:rsid w:val="00E02886"/>
    <w:rsid w:val="00E02F9B"/>
    <w:rsid w:val="00E06420"/>
    <w:rsid w:val="00E07E14"/>
    <w:rsid w:val="00E10388"/>
    <w:rsid w:val="00E13F3F"/>
    <w:rsid w:val="00E14335"/>
    <w:rsid w:val="00E14A89"/>
    <w:rsid w:val="00E14F94"/>
    <w:rsid w:val="00E17336"/>
    <w:rsid w:val="00E17D15"/>
    <w:rsid w:val="00E20860"/>
    <w:rsid w:val="00E209C6"/>
    <w:rsid w:val="00E22B95"/>
    <w:rsid w:val="00E23CD8"/>
    <w:rsid w:val="00E248C7"/>
    <w:rsid w:val="00E25B1C"/>
    <w:rsid w:val="00E2624D"/>
    <w:rsid w:val="00E30331"/>
    <w:rsid w:val="00E304F9"/>
    <w:rsid w:val="00E30BB8"/>
    <w:rsid w:val="00E31F9C"/>
    <w:rsid w:val="00E351C1"/>
    <w:rsid w:val="00E40488"/>
    <w:rsid w:val="00E50367"/>
    <w:rsid w:val="00E51581"/>
    <w:rsid w:val="00E51ABA"/>
    <w:rsid w:val="00E51C3C"/>
    <w:rsid w:val="00E524CB"/>
    <w:rsid w:val="00E53191"/>
    <w:rsid w:val="00E54A23"/>
    <w:rsid w:val="00E5758F"/>
    <w:rsid w:val="00E65456"/>
    <w:rsid w:val="00E65A91"/>
    <w:rsid w:val="00E66188"/>
    <w:rsid w:val="00E663F1"/>
    <w:rsid w:val="00E664FB"/>
    <w:rsid w:val="00E672D6"/>
    <w:rsid w:val="00E672F0"/>
    <w:rsid w:val="00E67ABE"/>
    <w:rsid w:val="00E70309"/>
    <w:rsid w:val="00E70373"/>
    <w:rsid w:val="00E7196B"/>
    <w:rsid w:val="00E72E40"/>
    <w:rsid w:val="00E73185"/>
    <w:rsid w:val="00E73665"/>
    <w:rsid w:val="00E73999"/>
    <w:rsid w:val="00E73BDC"/>
    <w:rsid w:val="00E73E9E"/>
    <w:rsid w:val="00E81660"/>
    <w:rsid w:val="00E840C9"/>
    <w:rsid w:val="00E854FE"/>
    <w:rsid w:val="00E86F51"/>
    <w:rsid w:val="00E878BD"/>
    <w:rsid w:val="00E906CC"/>
    <w:rsid w:val="00E90AF8"/>
    <w:rsid w:val="00E939A0"/>
    <w:rsid w:val="00E95EEB"/>
    <w:rsid w:val="00E97E4E"/>
    <w:rsid w:val="00EA04B0"/>
    <w:rsid w:val="00EA1CC2"/>
    <w:rsid w:val="00EA1EEA"/>
    <w:rsid w:val="00EA2D76"/>
    <w:rsid w:val="00EA2F81"/>
    <w:rsid w:val="00EA4644"/>
    <w:rsid w:val="00EA5964"/>
    <w:rsid w:val="00EA5D23"/>
    <w:rsid w:val="00EA61D1"/>
    <w:rsid w:val="00EA758A"/>
    <w:rsid w:val="00EA7759"/>
    <w:rsid w:val="00EB096F"/>
    <w:rsid w:val="00EB199F"/>
    <w:rsid w:val="00EB21A4"/>
    <w:rsid w:val="00EB27C4"/>
    <w:rsid w:val="00EB5387"/>
    <w:rsid w:val="00EB5C10"/>
    <w:rsid w:val="00EB5EC2"/>
    <w:rsid w:val="00EB7322"/>
    <w:rsid w:val="00EB733C"/>
    <w:rsid w:val="00EC0FE9"/>
    <w:rsid w:val="00EC1301"/>
    <w:rsid w:val="00EC18A9"/>
    <w:rsid w:val="00EC198B"/>
    <w:rsid w:val="00EC426D"/>
    <w:rsid w:val="00EC5217"/>
    <w:rsid w:val="00EC571B"/>
    <w:rsid w:val="00EC57D7"/>
    <w:rsid w:val="00EC6385"/>
    <w:rsid w:val="00ED0A19"/>
    <w:rsid w:val="00ED0D1D"/>
    <w:rsid w:val="00ED14ED"/>
    <w:rsid w:val="00ED1DE9"/>
    <w:rsid w:val="00ED23D4"/>
    <w:rsid w:val="00ED5E0B"/>
    <w:rsid w:val="00ED7801"/>
    <w:rsid w:val="00ED7D82"/>
    <w:rsid w:val="00EE37B6"/>
    <w:rsid w:val="00EE3CDA"/>
    <w:rsid w:val="00EF0F45"/>
    <w:rsid w:val="00EF5CE6"/>
    <w:rsid w:val="00EF7463"/>
    <w:rsid w:val="00EF7971"/>
    <w:rsid w:val="00F002EF"/>
    <w:rsid w:val="00F00CCA"/>
    <w:rsid w:val="00F01EE9"/>
    <w:rsid w:val="00F04900"/>
    <w:rsid w:val="00F05309"/>
    <w:rsid w:val="00F061A9"/>
    <w:rsid w:val="00F065A4"/>
    <w:rsid w:val="00F078F8"/>
    <w:rsid w:val="00F122ED"/>
    <w:rsid w:val="00F126B9"/>
    <w:rsid w:val="00F12715"/>
    <w:rsid w:val="00F12846"/>
    <w:rsid w:val="00F144D5"/>
    <w:rsid w:val="00F146F0"/>
    <w:rsid w:val="00F15039"/>
    <w:rsid w:val="00F20FF3"/>
    <w:rsid w:val="00F2190B"/>
    <w:rsid w:val="00F228B5"/>
    <w:rsid w:val="00F2389C"/>
    <w:rsid w:val="00F2555B"/>
    <w:rsid w:val="00F25C67"/>
    <w:rsid w:val="00F27A27"/>
    <w:rsid w:val="00F30DFF"/>
    <w:rsid w:val="00F32B80"/>
    <w:rsid w:val="00F340EB"/>
    <w:rsid w:val="00F35285"/>
    <w:rsid w:val="00F35EB4"/>
    <w:rsid w:val="00F43B9D"/>
    <w:rsid w:val="00F44D5E"/>
    <w:rsid w:val="00F52AFA"/>
    <w:rsid w:val="00F53388"/>
    <w:rsid w:val="00F53A35"/>
    <w:rsid w:val="00F54295"/>
    <w:rsid w:val="00F552BC"/>
    <w:rsid w:val="00F55A3D"/>
    <w:rsid w:val="00F5632D"/>
    <w:rsid w:val="00F5744B"/>
    <w:rsid w:val="00F61209"/>
    <w:rsid w:val="00F6259E"/>
    <w:rsid w:val="00F64A4F"/>
    <w:rsid w:val="00F65DD4"/>
    <w:rsid w:val="00F66BAE"/>
    <w:rsid w:val="00F672B2"/>
    <w:rsid w:val="00F7021D"/>
    <w:rsid w:val="00F72008"/>
    <w:rsid w:val="00F82C1F"/>
    <w:rsid w:val="00F83973"/>
    <w:rsid w:val="00F87FA3"/>
    <w:rsid w:val="00F90F5F"/>
    <w:rsid w:val="00F9308B"/>
    <w:rsid w:val="00F93D8C"/>
    <w:rsid w:val="00F958C9"/>
    <w:rsid w:val="00FA1A21"/>
    <w:rsid w:val="00FA23C6"/>
    <w:rsid w:val="00FA3102"/>
    <w:rsid w:val="00FA3F81"/>
    <w:rsid w:val="00FA48D4"/>
    <w:rsid w:val="00FA54FA"/>
    <w:rsid w:val="00FA5AFD"/>
    <w:rsid w:val="00FA5E42"/>
    <w:rsid w:val="00FA6D39"/>
    <w:rsid w:val="00FB227E"/>
    <w:rsid w:val="00FB3981"/>
    <w:rsid w:val="00FB3D61"/>
    <w:rsid w:val="00FB44CE"/>
    <w:rsid w:val="00FB5009"/>
    <w:rsid w:val="00FB76AB"/>
    <w:rsid w:val="00FC22D0"/>
    <w:rsid w:val="00FC4A01"/>
    <w:rsid w:val="00FD03FE"/>
    <w:rsid w:val="00FD126E"/>
    <w:rsid w:val="00FD2F18"/>
    <w:rsid w:val="00FD3256"/>
    <w:rsid w:val="00FD3C36"/>
    <w:rsid w:val="00FD4D81"/>
    <w:rsid w:val="00FD7498"/>
    <w:rsid w:val="00FD7FB3"/>
    <w:rsid w:val="00FE3C50"/>
    <w:rsid w:val="00FE4713"/>
    <w:rsid w:val="00FE4DC3"/>
    <w:rsid w:val="00FE5652"/>
    <w:rsid w:val="00FF1F44"/>
    <w:rsid w:val="00FF225E"/>
    <w:rsid w:val="00FF3CF0"/>
    <w:rsid w:val="00FF3EAF"/>
    <w:rsid w:val="00FF672C"/>
    <w:rsid w:val="00FF6CE8"/>
    <w:rsid w:val="00FF7E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FF05"/>
  <w14:defaultImageDpi w14:val="330"/>
  <w15:docId w15:val="{A4288117-B43F-4B96-BFEE-7DD57B12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EC1301"/>
    <w:pPr>
      <w:spacing w:line="240" w:lineRule="auto"/>
      <w:ind w:left="284" w:hanging="284"/>
    </w:pPr>
    <w:rPr>
      <w:sz w:val="20"/>
      <w:szCs w:val="20"/>
    </w:rPr>
  </w:style>
  <w:style w:type="character" w:customStyle="1" w:styleId="FootnoteTextChar">
    <w:name w:val="Footnote Text Char"/>
    <w:basedOn w:val="DefaultParagraphFont"/>
    <w:link w:val="FootnoteText"/>
    <w:uiPriority w:val="99"/>
    <w:rsid w:val="00EC1301"/>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1524B5"/>
    <w:rPr>
      <w:color w:val="0000FF" w:themeColor="hyperlink"/>
      <w:u w:val="single"/>
    </w:rPr>
  </w:style>
  <w:style w:type="character" w:styleId="UnresolvedMention">
    <w:name w:val="Unresolved Mention"/>
    <w:basedOn w:val="DefaultParagraphFont"/>
    <w:uiPriority w:val="99"/>
    <w:semiHidden/>
    <w:unhideWhenUsed/>
    <w:rsid w:val="001524B5"/>
    <w:rPr>
      <w:color w:val="605E5C"/>
      <w:shd w:val="clear" w:color="auto" w:fill="E1DFDD"/>
    </w:rPr>
  </w:style>
  <w:style w:type="paragraph" w:styleId="NormalWeb">
    <w:name w:val="Normal (Web)"/>
    <w:basedOn w:val="Normal"/>
    <w:uiPriority w:val="99"/>
    <w:unhideWhenUsed/>
    <w:rsid w:val="00FC22D0"/>
    <w:pPr>
      <w:spacing w:after="200" w:line="276" w:lineRule="auto"/>
    </w:pPr>
    <w:rPr>
      <w:rFonts w:eastAsiaTheme="minorHAnsi"/>
      <w:lang w:eastAsia="en-US"/>
    </w:rPr>
  </w:style>
  <w:style w:type="character" w:styleId="CommentReference">
    <w:name w:val="annotation reference"/>
    <w:basedOn w:val="DefaultParagraphFont"/>
    <w:semiHidden/>
    <w:unhideWhenUsed/>
    <w:rsid w:val="00D343F3"/>
    <w:rPr>
      <w:sz w:val="16"/>
      <w:szCs w:val="16"/>
    </w:rPr>
  </w:style>
  <w:style w:type="paragraph" w:styleId="CommentText">
    <w:name w:val="annotation text"/>
    <w:basedOn w:val="Normal"/>
    <w:link w:val="CommentTextChar"/>
    <w:semiHidden/>
    <w:unhideWhenUsed/>
    <w:rsid w:val="00D343F3"/>
    <w:pPr>
      <w:spacing w:line="240" w:lineRule="auto"/>
    </w:pPr>
    <w:rPr>
      <w:sz w:val="20"/>
      <w:szCs w:val="20"/>
    </w:rPr>
  </w:style>
  <w:style w:type="character" w:customStyle="1" w:styleId="CommentTextChar">
    <w:name w:val="Comment Text Char"/>
    <w:basedOn w:val="DefaultParagraphFont"/>
    <w:link w:val="CommentText"/>
    <w:semiHidden/>
    <w:rsid w:val="00D343F3"/>
  </w:style>
  <w:style w:type="paragraph" w:styleId="CommentSubject">
    <w:name w:val="annotation subject"/>
    <w:basedOn w:val="CommentText"/>
    <w:next w:val="CommentText"/>
    <w:link w:val="CommentSubjectChar"/>
    <w:semiHidden/>
    <w:unhideWhenUsed/>
    <w:rsid w:val="00D343F3"/>
    <w:rPr>
      <w:b/>
      <w:bCs/>
    </w:rPr>
  </w:style>
  <w:style w:type="character" w:customStyle="1" w:styleId="CommentSubjectChar">
    <w:name w:val="Comment Subject Char"/>
    <w:basedOn w:val="CommentTextChar"/>
    <w:link w:val="CommentSubject"/>
    <w:semiHidden/>
    <w:rsid w:val="00D343F3"/>
    <w:rPr>
      <w:b/>
      <w:bCs/>
    </w:rPr>
  </w:style>
  <w:style w:type="paragraph" w:styleId="BalloonText">
    <w:name w:val="Balloon Text"/>
    <w:basedOn w:val="Normal"/>
    <w:link w:val="BalloonTextChar"/>
    <w:semiHidden/>
    <w:unhideWhenUsed/>
    <w:rsid w:val="00D343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343F3"/>
    <w:rPr>
      <w:rFonts w:ascii="Segoe UI" w:hAnsi="Segoe UI" w:cs="Segoe UI"/>
      <w:sz w:val="18"/>
      <w:szCs w:val="18"/>
    </w:rPr>
  </w:style>
  <w:style w:type="paragraph" w:styleId="Revision">
    <w:name w:val="Revision"/>
    <w:hidden/>
    <w:semiHidden/>
    <w:rsid w:val="003F7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elkington\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7B41516897D498A449AEB04F82B1E" ma:contentTypeVersion="12" ma:contentTypeDescription="Create a new document." ma:contentTypeScope="" ma:versionID="0792669ce7089fd4ae023ffa9bc5bc87">
  <xsd:schema xmlns:xsd="http://www.w3.org/2001/XMLSchema" xmlns:xs="http://www.w3.org/2001/XMLSchema" xmlns:p="http://schemas.microsoft.com/office/2006/metadata/properties" xmlns:ns3="bc29b850-0870-4eda-902f-9c77e6ac6f3b" xmlns:ns4="304537fd-13c3-40e9-b87c-7a123a63672f" targetNamespace="http://schemas.microsoft.com/office/2006/metadata/properties" ma:root="true" ma:fieldsID="64c3217d75bf55006a68609666bd78f9" ns3:_="" ns4:_="">
    <xsd:import namespace="bc29b850-0870-4eda-902f-9c77e6ac6f3b"/>
    <xsd:import namespace="304537fd-13c3-40e9-b87c-7a123a6367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9b850-0870-4eda-902f-9c77e6ac6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537fd-13c3-40e9-b87c-7a123a6367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AD80-031C-40C2-BA6E-35DFB7DDA410}">
  <ds:schemaRefs>
    <ds:schemaRef ds:uri="http://schemas.microsoft.com/sharepoint/v3/contenttype/forms"/>
  </ds:schemaRefs>
</ds:datastoreItem>
</file>

<file path=customXml/itemProps2.xml><?xml version="1.0" encoding="utf-8"?>
<ds:datastoreItem xmlns:ds="http://schemas.openxmlformats.org/officeDocument/2006/customXml" ds:itemID="{A1288E8C-B169-4B02-B7BF-F9CA61A2930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c29b850-0870-4eda-902f-9c77e6ac6f3b"/>
    <ds:schemaRef ds:uri="http://purl.org/dc/elements/1.1/"/>
    <ds:schemaRef ds:uri="http://schemas.microsoft.com/office/2006/metadata/properties"/>
    <ds:schemaRef ds:uri="304537fd-13c3-40e9-b87c-7a123a63672f"/>
    <ds:schemaRef ds:uri="http://www.w3.org/XML/1998/namespace"/>
  </ds:schemaRefs>
</ds:datastoreItem>
</file>

<file path=customXml/itemProps3.xml><?xml version="1.0" encoding="utf-8"?>
<ds:datastoreItem xmlns:ds="http://schemas.openxmlformats.org/officeDocument/2006/customXml" ds:itemID="{3A3726D0-676D-45BF-84B8-86B3DAC40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9b850-0870-4eda-902f-9c77e6ac6f3b"/>
    <ds:schemaRef ds:uri="304537fd-13c3-40e9-b87c-7a123a636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D1CB8-78DB-4F3D-A68B-B0781A77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876</TotalTime>
  <Pages>17</Pages>
  <Words>5179</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34636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Amy Elkington</dc:creator>
  <cp:lastModifiedBy>Amy Elkington</cp:lastModifiedBy>
  <cp:revision>450</cp:revision>
  <cp:lastPrinted>2021-11-09T17:14:00Z</cp:lastPrinted>
  <dcterms:created xsi:type="dcterms:W3CDTF">2021-11-06T13:12:00Z</dcterms:created>
  <dcterms:modified xsi:type="dcterms:W3CDTF">2022-03-02T21:23:00Z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0x010100DFF7B41516897D498A449AEB04F82B1E</vt:lpwstr>
  </property>
</Properties>
</file>