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60A9B" w14:textId="77777777" w:rsidR="00C96F79" w:rsidRPr="0097016F" w:rsidRDefault="00C96F79" w:rsidP="00C96F79">
      <w:pPr>
        <w:rPr>
          <w:b/>
          <w:bCs/>
          <w:sz w:val="28"/>
          <w:szCs w:val="28"/>
          <w:lang w:eastAsia="en-GB"/>
        </w:rPr>
      </w:pPr>
      <w:r w:rsidRPr="0097016F">
        <w:rPr>
          <w:b/>
          <w:bCs/>
          <w:i/>
          <w:iCs/>
          <w:color w:val="000000"/>
          <w:sz w:val="28"/>
          <w:szCs w:val="28"/>
          <w:lang w:eastAsia="en-GB"/>
        </w:rPr>
        <w:t>Reference values for performance test outcomes relevant to English female soccer players</w:t>
      </w:r>
    </w:p>
    <w:p w14:paraId="3DF1AF68" w14:textId="77777777" w:rsidR="00C96F79" w:rsidRPr="00A4035D" w:rsidRDefault="00C96F79" w:rsidP="00C96F79">
      <w:pPr>
        <w:shd w:val="clear" w:color="auto" w:fill="FFFFFF" w:themeFill="background1"/>
        <w:jc w:val="both"/>
        <w:rPr>
          <w:color w:val="000000" w:themeColor="text1"/>
        </w:rPr>
      </w:pPr>
    </w:p>
    <w:p w14:paraId="7BE2ED1D" w14:textId="77777777" w:rsidR="00C96F79" w:rsidRDefault="00C96F79" w:rsidP="00C96F79">
      <w:pPr>
        <w:shd w:val="clear" w:color="auto" w:fill="FFFFFF" w:themeFill="background1"/>
        <w:jc w:val="both"/>
        <w:outlineLvl w:val="0"/>
        <w:rPr>
          <w:color w:val="000000" w:themeColor="text1"/>
        </w:rPr>
      </w:pPr>
    </w:p>
    <w:p w14:paraId="4BAF648D" w14:textId="77777777" w:rsidR="00C96F79" w:rsidRDefault="00C96F79" w:rsidP="00C96F79">
      <w:pPr>
        <w:shd w:val="clear" w:color="auto" w:fill="FFFFFF" w:themeFill="background1"/>
        <w:jc w:val="both"/>
        <w:outlineLvl w:val="0"/>
        <w:rPr>
          <w:color w:val="000000" w:themeColor="text1"/>
        </w:rPr>
      </w:pPr>
    </w:p>
    <w:p w14:paraId="22B1482C" w14:textId="47E56018" w:rsidR="00C96F79" w:rsidRDefault="00C96F79" w:rsidP="00C96F79">
      <w:pPr>
        <w:shd w:val="clear" w:color="auto" w:fill="FFFFFF" w:themeFill="background1"/>
        <w:jc w:val="both"/>
        <w:outlineLvl w:val="0"/>
        <w:rPr>
          <w:color w:val="000000" w:themeColor="text1"/>
        </w:rPr>
      </w:pPr>
      <w:r>
        <w:rPr>
          <w:color w:val="000000" w:themeColor="text1"/>
        </w:rPr>
        <w:t>Naomi Datson</w:t>
      </w:r>
      <w:r w:rsidRPr="00735223">
        <w:rPr>
          <w:color w:val="000000" w:themeColor="text1"/>
          <w:vertAlign w:val="superscript"/>
        </w:rPr>
        <w:t>1</w:t>
      </w:r>
      <w:r>
        <w:rPr>
          <w:color w:val="000000" w:themeColor="text1"/>
          <w:vertAlign w:val="superscript"/>
        </w:rPr>
        <w:t xml:space="preserve"> 2</w:t>
      </w:r>
      <w:r>
        <w:rPr>
          <w:color w:val="000000" w:themeColor="text1"/>
        </w:rPr>
        <w:t>, Matthew Weston</w:t>
      </w:r>
      <w:r w:rsidRPr="0097016F">
        <w:rPr>
          <w:color w:val="000000" w:themeColor="text1"/>
          <w:vertAlign w:val="superscript"/>
        </w:rPr>
        <w:t>3</w:t>
      </w:r>
      <w:r>
        <w:rPr>
          <w:color w:val="000000" w:themeColor="text1"/>
        </w:rPr>
        <w:t>, Barry Drust</w:t>
      </w:r>
      <w:r w:rsidRPr="0097016F">
        <w:rPr>
          <w:color w:val="000000" w:themeColor="text1"/>
          <w:vertAlign w:val="superscript"/>
        </w:rPr>
        <w:t>4</w:t>
      </w:r>
      <w:r>
        <w:rPr>
          <w:color w:val="000000" w:themeColor="text1"/>
        </w:rPr>
        <w:t>, Greg Atkinson</w:t>
      </w:r>
      <w:r w:rsidR="00B0308E">
        <w:rPr>
          <w:color w:val="000000" w:themeColor="text1"/>
          <w:vertAlign w:val="superscript"/>
        </w:rPr>
        <w:t>2</w:t>
      </w:r>
      <w:r>
        <w:rPr>
          <w:color w:val="000000" w:themeColor="text1"/>
        </w:rPr>
        <w:t>, Lorenzo Lolli</w:t>
      </w:r>
      <w:r w:rsidRPr="0097016F">
        <w:rPr>
          <w:color w:val="000000" w:themeColor="text1"/>
          <w:vertAlign w:val="superscript"/>
        </w:rPr>
        <w:t>2</w:t>
      </w:r>
      <w:r>
        <w:rPr>
          <w:color w:val="000000" w:themeColor="text1"/>
        </w:rPr>
        <w:t xml:space="preserve"> and Warren Gregson</w:t>
      </w:r>
      <w:r w:rsidRPr="0097016F">
        <w:rPr>
          <w:color w:val="000000" w:themeColor="text1"/>
          <w:vertAlign w:val="superscript"/>
        </w:rPr>
        <w:t>2</w:t>
      </w:r>
    </w:p>
    <w:p w14:paraId="062A7663" w14:textId="77777777" w:rsidR="00C96F79" w:rsidRDefault="00C96F79" w:rsidP="00C96F79">
      <w:pPr>
        <w:shd w:val="clear" w:color="auto" w:fill="FFFFFF" w:themeFill="background1"/>
        <w:jc w:val="both"/>
        <w:outlineLvl w:val="0"/>
        <w:rPr>
          <w:color w:val="000000" w:themeColor="text1"/>
        </w:rPr>
      </w:pPr>
    </w:p>
    <w:p w14:paraId="260C627F" w14:textId="77777777" w:rsidR="00C96F79" w:rsidRPr="00BF40F1" w:rsidRDefault="00C96F79" w:rsidP="00C96F79">
      <w:pPr>
        <w:shd w:val="clear" w:color="auto" w:fill="FFFFFF" w:themeFill="background1"/>
        <w:jc w:val="both"/>
        <w:outlineLvl w:val="0"/>
        <w:rPr>
          <w:color w:val="000000" w:themeColor="text1"/>
        </w:rPr>
      </w:pPr>
    </w:p>
    <w:p w14:paraId="442B7442" w14:textId="77777777" w:rsidR="00C96F79" w:rsidRDefault="00C96F79" w:rsidP="00C96F79">
      <w:pPr>
        <w:shd w:val="clear" w:color="auto" w:fill="FFFFFF" w:themeFill="background1"/>
        <w:jc w:val="both"/>
        <w:outlineLvl w:val="0"/>
        <w:rPr>
          <w:color w:val="000000" w:themeColor="text1"/>
        </w:rPr>
      </w:pPr>
    </w:p>
    <w:p w14:paraId="5217E4D0" w14:textId="77777777" w:rsidR="00C96F79" w:rsidRDefault="00C96F79" w:rsidP="00C96F79">
      <w:pPr>
        <w:shd w:val="clear" w:color="auto" w:fill="FFFFFF" w:themeFill="background1"/>
        <w:jc w:val="both"/>
        <w:outlineLvl w:val="0"/>
        <w:rPr>
          <w:color w:val="000000" w:themeColor="text1"/>
        </w:rPr>
      </w:pPr>
    </w:p>
    <w:p w14:paraId="79B1DB6C" w14:textId="77777777" w:rsidR="00C96F79" w:rsidRDefault="00C96F79" w:rsidP="00C96F79">
      <w:pPr>
        <w:shd w:val="clear" w:color="auto" w:fill="FFFFFF" w:themeFill="background1"/>
        <w:jc w:val="both"/>
        <w:outlineLvl w:val="0"/>
        <w:rPr>
          <w:color w:val="000000" w:themeColor="text1"/>
        </w:rPr>
      </w:pPr>
    </w:p>
    <w:p w14:paraId="373BB299" w14:textId="77777777" w:rsidR="00C96F79" w:rsidRPr="00BF40F1" w:rsidRDefault="00C96F79" w:rsidP="00C96F79">
      <w:pPr>
        <w:shd w:val="clear" w:color="auto" w:fill="FFFFFF" w:themeFill="background1"/>
        <w:jc w:val="both"/>
        <w:outlineLvl w:val="0"/>
        <w:rPr>
          <w:color w:val="000000" w:themeColor="text1"/>
        </w:rPr>
      </w:pPr>
    </w:p>
    <w:p w14:paraId="083F74DF" w14:textId="700416B5" w:rsidR="00C96F79" w:rsidRDefault="00C96F79" w:rsidP="00C96F79">
      <w:pPr>
        <w:shd w:val="clear" w:color="auto" w:fill="FFFFFF" w:themeFill="background1"/>
        <w:jc w:val="both"/>
        <w:outlineLvl w:val="0"/>
        <w:rPr>
          <w:color w:val="000000" w:themeColor="text1"/>
        </w:rPr>
      </w:pPr>
      <w:r w:rsidRPr="00735223">
        <w:rPr>
          <w:i/>
          <w:color w:val="000000" w:themeColor="text1"/>
          <w:vertAlign w:val="superscript"/>
        </w:rPr>
        <w:t>1</w:t>
      </w:r>
      <w:r w:rsidRPr="00BF40F1">
        <w:rPr>
          <w:color w:val="000000" w:themeColor="text1"/>
        </w:rPr>
        <w:t xml:space="preserve"> </w:t>
      </w:r>
      <w:r w:rsidRPr="00735223">
        <w:rPr>
          <w:color w:val="000000" w:themeColor="text1"/>
        </w:rPr>
        <w:t>Institute of Sport</w:t>
      </w:r>
      <w:r w:rsidR="005D392C">
        <w:rPr>
          <w:color w:val="000000" w:themeColor="text1"/>
        </w:rPr>
        <w:t>, Nursing and Allied Health</w:t>
      </w:r>
      <w:r w:rsidRPr="00735223">
        <w:rPr>
          <w:color w:val="000000" w:themeColor="text1"/>
        </w:rPr>
        <w:t>, University of Chichester, Chichester, UK</w:t>
      </w:r>
    </w:p>
    <w:p w14:paraId="057347F6" w14:textId="77777777" w:rsidR="00C96F79" w:rsidRDefault="00C96F79" w:rsidP="00C96F79">
      <w:pPr>
        <w:shd w:val="clear" w:color="auto" w:fill="FFFFFF" w:themeFill="background1"/>
        <w:jc w:val="both"/>
        <w:outlineLvl w:val="0"/>
        <w:rPr>
          <w:color w:val="000000" w:themeColor="text1"/>
        </w:rPr>
      </w:pPr>
      <w:r w:rsidRPr="00735223">
        <w:rPr>
          <w:i/>
          <w:color w:val="000000" w:themeColor="text1"/>
          <w:vertAlign w:val="superscript"/>
        </w:rPr>
        <w:t>2</w:t>
      </w:r>
      <w:r>
        <w:rPr>
          <w:color w:val="000000" w:themeColor="text1"/>
        </w:rPr>
        <w:t xml:space="preserve"> </w:t>
      </w:r>
      <w:r w:rsidRPr="00BF40F1">
        <w:rPr>
          <w:color w:val="000000" w:themeColor="text1"/>
        </w:rPr>
        <w:t xml:space="preserve">Football Exchange, Research Institute of Sport Sciences, Liverpool John </w:t>
      </w:r>
      <w:proofErr w:type="spellStart"/>
      <w:r w:rsidRPr="00BF40F1">
        <w:rPr>
          <w:color w:val="000000" w:themeColor="text1"/>
        </w:rPr>
        <w:t>Moores</w:t>
      </w:r>
      <w:proofErr w:type="spellEnd"/>
      <w:r w:rsidRPr="00BF40F1">
        <w:rPr>
          <w:color w:val="000000" w:themeColor="text1"/>
        </w:rPr>
        <w:t xml:space="preserve"> University, Liverpool, UK</w:t>
      </w:r>
    </w:p>
    <w:p w14:paraId="329C5DA4" w14:textId="6B37E1D1" w:rsidR="00C96F79" w:rsidRPr="008B135F" w:rsidRDefault="00C96F79" w:rsidP="008B135F">
      <w:pPr>
        <w:rPr>
          <w:lang w:eastAsia="en-GB"/>
        </w:rPr>
      </w:pPr>
      <w:r>
        <w:rPr>
          <w:i/>
          <w:color w:val="000000" w:themeColor="text1"/>
          <w:vertAlign w:val="superscript"/>
        </w:rPr>
        <w:t>3</w:t>
      </w:r>
      <w:r w:rsidRPr="00BF40F1">
        <w:rPr>
          <w:color w:val="000000" w:themeColor="text1"/>
        </w:rPr>
        <w:t xml:space="preserve"> </w:t>
      </w:r>
      <w:r w:rsidR="00CC5F80">
        <w:rPr>
          <w:color w:val="000000"/>
          <w:lang w:eastAsia="en-GB"/>
        </w:rPr>
        <w:t xml:space="preserve">Institute of Sport, Physical Education and Health Sciences, </w:t>
      </w:r>
      <w:r w:rsidR="00722D7A">
        <w:rPr>
          <w:color w:val="000000"/>
          <w:lang w:eastAsia="en-GB"/>
        </w:rPr>
        <w:t>The University of Edinburgh, Edinburgh, UK</w:t>
      </w:r>
    </w:p>
    <w:p w14:paraId="33C13C0A" w14:textId="77777777" w:rsidR="00C96F79" w:rsidRPr="00BF40F1" w:rsidRDefault="00C96F79" w:rsidP="00C96F79">
      <w:pPr>
        <w:shd w:val="clear" w:color="auto" w:fill="FFFFFF" w:themeFill="background1"/>
        <w:jc w:val="both"/>
        <w:outlineLvl w:val="0"/>
        <w:rPr>
          <w:color w:val="000000" w:themeColor="text1"/>
        </w:rPr>
      </w:pPr>
      <w:r>
        <w:rPr>
          <w:i/>
          <w:color w:val="000000" w:themeColor="text1"/>
          <w:vertAlign w:val="superscript"/>
        </w:rPr>
        <w:t>4</w:t>
      </w:r>
      <w:r w:rsidRPr="00BF40F1">
        <w:rPr>
          <w:color w:val="000000" w:themeColor="text1"/>
        </w:rPr>
        <w:t xml:space="preserve">School of </w:t>
      </w:r>
      <w:r>
        <w:rPr>
          <w:color w:val="000000" w:themeColor="text1"/>
        </w:rPr>
        <w:t>Sport, Exercise and Rehabilitation Sciences, University of Birmingham, Birmingham, UK</w:t>
      </w:r>
    </w:p>
    <w:p w14:paraId="1D2B4BB0" w14:textId="77777777" w:rsidR="00C96F79" w:rsidRDefault="00C96F79" w:rsidP="00C96F79">
      <w:pPr>
        <w:shd w:val="clear" w:color="auto" w:fill="FFFFFF" w:themeFill="background1"/>
        <w:jc w:val="both"/>
        <w:outlineLvl w:val="0"/>
        <w:rPr>
          <w:color w:val="000000" w:themeColor="text1"/>
        </w:rPr>
      </w:pPr>
    </w:p>
    <w:p w14:paraId="210362E6" w14:textId="77777777" w:rsidR="00C96F79" w:rsidRDefault="00C96F79" w:rsidP="00C96F79">
      <w:pPr>
        <w:shd w:val="clear" w:color="auto" w:fill="FFFFFF" w:themeFill="background1"/>
        <w:jc w:val="both"/>
        <w:outlineLvl w:val="0"/>
        <w:rPr>
          <w:color w:val="000000" w:themeColor="text1"/>
        </w:rPr>
      </w:pPr>
    </w:p>
    <w:p w14:paraId="19F5E1BB" w14:textId="77777777" w:rsidR="00C96F79" w:rsidRDefault="00C96F79" w:rsidP="00C96F79">
      <w:pPr>
        <w:shd w:val="clear" w:color="auto" w:fill="FFFFFF" w:themeFill="background1"/>
        <w:jc w:val="both"/>
        <w:outlineLvl w:val="0"/>
        <w:rPr>
          <w:color w:val="000000" w:themeColor="text1"/>
        </w:rPr>
      </w:pPr>
    </w:p>
    <w:p w14:paraId="08E1840D" w14:textId="77777777" w:rsidR="00C96F79" w:rsidRDefault="00C96F79" w:rsidP="00C96F79">
      <w:pPr>
        <w:shd w:val="clear" w:color="auto" w:fill="FFFFFF" w:themeFill="background1"/>
        <w:jc w:val="both"/>
        <w:outlineLvl w:val="0"/>
        <w:rPr>
          <w:color w:val="000000" w:themeColor="text1"/>
        </w:rPr>
      </w:pPr>
    </w:p>
    <w:p w14:paraId="4E939447" w14:textId="77777777" w:rsidR="00C96F79" w:rsidRDefault="00C96F79" w:rsidP="00C96F79">
      <w:pPr>
        <w:shd w:val="clear" w:color="auto" w:fill="FFFFFF" w:themeFill="background1"/>
        <w:jc w:val="both"/>
        <w:outlineLvl w:val="0"/>
        <w:rPr>
          <w:color w:val="000000" w:themeColor="text1"/>
        </w:rPr>
      </w:pPr>
    </w:p>
    <w:p w14:paraId="0EAC526B" w14:textId="77777777" w:rsidR="00C96F79" w:rsidRDefault="00C96F79" w:rsidP="00C96F79">
      <w:pPr>
        <w:shd w:val="clear" w:color="auto" w:fill="FFFFFF" w:themeFill="background1"/>
        <w:jc w:val="both"/>
        <w:outlineLvl w:val="0"/>
        <w:rPr>
          <w:color w:val="000000" w:themeColor="text1"/>
        </w:rPr>
      </w:pPr>
    </w:p>
    <w:p w14:paraId="03E2988F" w14:textId="77777777" w:rsidR="00C96F79" w:rsidRDefault="00C96F79" w:rsidP="00C96F79">
      <w:pPr>
        <w:shd w:val="clear" w:color="auto" w:fill="FFFFFF" w:themeFill="background1"/>
        <w:jc w:val="both"/>
        <w:outlineLvl w:val="0"/>
        <w:rPr>
          <w:color w:val="000000" w:themeColor="text1"/>
        </w:rPr>
      </w:pPr>
    </w:p>
    <w:p w14:paraId="27035694" w14:textId="77777777" w:rsidR="00C96F79" w:rsidRDefault="00C96F79" w:rsidP="00C96F79">
      <w:pPr>
        <w:shd w:val="clear" w:color="auto" w:fill="FFFFFF" w:themeFill="background1"/>
        <w:jc w:val="both"/>
        <w:outlineLvl w:val="0"/>
        <w:rPr>
          <w:color w:val="000000" w:themeColor="text1"/>
        </w:rPr>
      </w:pPr>
    </w:p>
    <w:p w14:paraId="461D412F" w14:textId="77777777" w:rsidR="00C96F79" w:rsidRDefault="00C96F79" w:rsidP="00C96F79">
      <w:pPr>
        <w:shd w:val="clear" w:color="auto" w:fill="FFFFFF" w:themeFill="background1"/>
        <w:jc w:val="both"/>
        <w:outlineLvl w:val="0"/>
        <w:rPr>
          <w:bCs/>
          <w:color w:val="000000" w:themeColor="text1"/>
        </w:rPr>
      </w:pPr>
      <w:r w:rsidRPr="00ED5AF3">
        <w:rPr>
          <w:bCs/>
          <w:color w:val="000000" w:themeColor="text1"/>
        </w:rPr>
        <w:t>Address for Correspondence:</w:t>
      </w:r>
    </w:p>
    <w:p w14:paraId="6B5A849C" w14:textId="77777777" w:rsidR="00C96F79" w:rsidRPr="00ED5AF3" w:rsidRDefault="00C96F79" w:rsidP="00C96F79">
      <w:pPr>
        <w:shd w:val="clear" w:color="auto" w:fill="FFFFFF" w:themeFill="background1"/>
        <w:jc w:val="both"/>
        <w:outlineLvl w:val="0"/>
        <w:rPr>
          <w:bCs/>
          <w:color w:val="000000" w:themeColor="text1"/>
        </w:rPr>
      </w:pPr>
    </w:p>
    <w:p w14:paraId="0A9E3B07" w14:textId="77777777" w:rsidR="00C96F79" w:rsidRPr="00ED5AF3" w:rsidRDefault="00C96F79" w:rsidP="00C96F79">
      <w:pPr>
        <w:shd w:val="clear" w:color="auto" w:fill="FFFFFF" w:themeFill="background1"/>
        <w:jc w:val="both"/>
        <w:outlineLvl w:val="0"/>
        <w:rPr>
          <w:bCs/>
          <w:color w:val="000000" w:themeColor="text1"/>
        </w:rPr>
      </w:pPr>
      <w:r>
        <w:rPr>
          <w:bCs/>
          <w:color w:val="000000" w:themeColor="text1"/>
        </w:rPr>
        <w:t>Naomi Datson PhD</w:t>
      </w:r>
    </w:p>
    <w:p w14:paraId="734B33D0" w14:textId="1AC55739" w:rsidR="00C96F79" w:rsidRDefault="00C96F79" w:rsidP="00C96F79">
      <w:pPr>
        <w:shd w:val="clear" w:color="auto" w:fill="FFFFFF" w:themeFill="background1"/>
        <w:jc w:val="both"/>
        <w:outlineLvl w:val="0"/>
        <w:rPr>
          <w:color w:val="000000" w:themeColor="text1"/>
        </w:rPr>
      </w:pPr>
      <w:r w:rsidRPr="00735223">
        <w:rPr>
          <w:color w:val="000000" w:themeColor="text1"/>
        </w:rPr>
        <w:t>Institute of Sport</w:t>
      </w:r>
      <w:r w:rsidR="00E32CD7">
        <w:rPr>
          <w:color w:val="000000" w:themeColor="text1"/>
        </w:rPr>
        <w:t>, Nursing and Allied Health</w:t>
      </w:r>
    </w:p>
    <w:p w14:paraId="270F9C37" w14:textId="77777777" w:rsidR="00C96F79" w:rsidRDefault="00C96F79" w:rsidP="00C96F79">
      <w:pPr>
        <w:shd w:val="clear" w:color="auto" w:fill="FFFFFF" w:themeFill="background1"/>
        <w:jc w:val="both"/>
        <w:outlineLvl w:val="0"/>
        <w:rPr>
          <w:bCs/>
          <w:color w:val="000000" w:themeColor="text1"/>
        </w:rPr>
      </w:pPr>
      <w:r w:rsidRPr="00735223">
        <w:rPr>
          <w:color w:val="000000" w:themeColor="text1"/>
        </w:rPr>
        <w:t>University of Chichester</w:t>
      </w:r>
      <w:r w:rsidRPr="00ED5AF3">
        <w:rPr>
          <w:bCs/>
          <w:color w:val="000000" w:themeColor="text1"/>
        </w:rPr>
        <w:t xml:space="preserve"> </w:t>
      </w:r>
    </w:p>
    <w:p w14:paraId="1CE8A1F4" w14:textId="77777777" w:rsidR="00C96F79" w:rsidRDefault="00C96F79" w:rsidP="00C96F79">
      <w:pPr>
        <w:shd w:val="clear" w:color="auto" w:fill="FFFFFF" w:themeFill="background1"/>
        <w:jc w:val="both"/>
        <w:outlineLvl w:val="0"/>
        <w:rPr>
          <w:bCs/>
          <w:color w:val="000000" w:themeColor="text1"/>
        </w:rPr>
      </w:pPr>
      <w:r w:rsidRPr="00735223">
        <w:rPr>
          <w:color w:val="000000" w:themeColor="text1"/>
        </w:rPr>
        <w:t>Chichester</w:t>
      </w:r>
    </w:p>
    <w:p w14:paraId="2399DB6B" w14:textId="77777777" w:rsidR="00C96F79" w:rsidRPr="00ED5AF3" w:rsidRDefault="00C96F79" w:rsidP="00C96F79">
      <w:pPr>
        <w:shd w:val="clear" w:color="auto" w:fill="FFFFFF" w:themeFill="background1"/>
        <w:jc w:val="both"/>
        <w:outlineLvl w:val="0"/>
        <w:rPr>
          <w:bCs/>
          <w:color w:val="000000" w:themeColor="text1"/>
        </w:rPr>
      </w:pPr>
      <w:r w:rsidRPr="00ED5AF3">
        <w:rPr>
          <w:bCs/>
          <w:color w:val="000000" w:themeColor="text1"/>
        </w:rPr>
        <w:t>UK</w:t>
      </w:r>
    </w:p>
    <w:p w14:paraId="6083602D" w14:textId="77777777" w:rsidR="00C96F79" w:rsidRDefault="00722D7A" w:rsidP="00C96F79">
      <w:pPr>
        <w:shd w:val="clear" w:color="auto" w:fill="FFFFFF" w:themeFill="background1"/>
        <w:jc w:val="both"/>
        <w:outlineLvl w:val="0"/>
        <w:rPr>
          <w:bCs/>
          <w:color w:val="000000" w:themeColor="text1"/>
        </w:rPr>
      </w:pPr>
      <w:hyperlink r:id="rId5" w:history="1">
        <w:r w:rsidR="00C96F79" w:rsidRPr="004828D1">
          <w:rPr>
            <w:rStyle w:val="Hyperlink"/>
            <w:bCs/>
          </w:rPr>
          <w:t>N.Datson@chi.ac.uk</w:t>
        </w:r>
      </w:hyperlink>
    </w:p>
    <w:p w14:paraId="2B0D830E" w14:textId="77777777" w:rsidR="00C96F79" w:rsidRDefault="00C96F79" w:rsidP="00C96F79">
      <w:pPr>
        <w:rPr>
          <w:b/>
          <w:bCs/>
          <w:i/>
          <w:iCs/>
          <w:color w:val="000000"/>
          <w:lang w:eastAsia="en-GB"/>
        </w:rPr>
      </w:pPr>
    </w:p>
    <w:p w14:paraId="26D554B6" w14:textId="77777777" w:rsidR="00C96F79" w:rsidRDefault="00C96F79" w:rsidP="00A709BD">
      <w:pPr>
        <w:jc w:val="both"/>
        <w:rPr>
          <w:b/>
          <w:bCs/>
          <w:i/>
          <w:iCs/>
          <w:color w:val="000000"/>
          <w:lang w:eastAsia="en-GB"/>
        </w:rPr>
      </w:pPr>
    </w:p>
    <w:p w14:paraId="10C8BA65" w14:textId="77777777" w:rsidR="00C96F79" w:rsidRDefault="00C96F79" w:rsidP="00A709BD">
      <w:pPr>
        <w:jc w:val="both"/>
        <w:rPr>
          <w:b/>
          <w:bCs/>
          <w:i/>
          <w:iCs/>
          <w:color w:val="000000"/>
          <w:lang w:eastAsia="en-GB"/>
        </w:rPr>
      </w:pPr>
    </w:p>
    <w:p w14:paraId="397B9B55" w14:textId="77777777" w:rsidR="00C96F79" w:rsidRDefault="00C96F79" w:rsidP="00A709BD">
      <w:pPr>
        <w:jc w:val="both"/>
        <w:rPr>
          <w:b/>
          <w:bCs/>
          <w:i/>
          <w:iCs/>
          <w:color w:val="000000"/>
          <w:lang w:eastAsia="en-GB"/>
        </w:rPr>
      </w:pPr>
    </w:p>
    <w:p w14:paraId="443FC30A" w14:textId="77777777" w:rsidR="00C96F79" w:rsidRDefault="00C96F79" w:rsidP="00A709BD">
      <w:pPr>
        <w:jc w:val="both"/>
        <w:rPr>
          <w:b/>
          <w:bCs/>
          <w:i/>
          <w:iCs/>
          <w:color w:val="000000"/>
          <w:lang w:eastAsia="en-GB"/>
        </w:rPr>
      </w:pPr>
    </w:p>
    <w:p w14:paraId="356D30D2" w14:textId="77777777" w:rsidR="00C96F79" w:rsidRDefault="00C96F79" w:rsidP="00A709BD">
      <w:pPr>
        <w:jc w:val="both"/>
        <w:rPr>
          <w:b/>
          <w:bCs/>
          <w:i/>
          <w:iCs/>
          <w:color w:val="000000"/>
          <w:lang w:eastAsia="en-GB"/>
        </w:rPr>
      </w:pPr>
    </w:p>
    <w:p w14:paraId="6D31C147" w14:textId="77777777" w:rsidR="00C96F79" w:rsidRDefault="00C96F79" w:rsidP="00A709BD">
      <w:pPr>
        <w:jc w:val="both"/>
        <w:rPr>
          <w:b/>
          <w:bCs/>
          <w:i/>
          <w:iCs/>
          <w:color w:val="000000"/>
          <w:lang w:eastAsia="en-GB"/>
        </w:rPr>
      </w:pPr>
    </w:p>
    <w:p w14:paraId="6B8308A4" w14:textId="77777777" w:rsidR="00C96F79" w:rsidRDefault="00C96F79" w:rsidP="00A709BD">
      <w:pPr>
        <w:jc w:val="both"/>
        <w:rPr>
          <w:b/>
          <w:bCs/>
          <w:i/>
          <w:iCs/>
          <w:color w:val="000000"/>
          <w:lang w:eastAsia="en-GB"/>
        </w:rPr>
      </w:pPr>
    </w:p>
    <w:p w14:paraId="26E30211" w14:textId="77777777" w:rsidR="00C96F79" w:rsidRDefault="00C96F79" w:rsidP="00A709BD">
      <w:pPr>
        <w:jc w:val="both"/>
        <w:rPr>
          <w:b/>
          <w:bCs/>
          <w:i/>
          <w:iCs/>
          <w:color w:val="000000"/>
          <w:lang w:eastAsia="en-GB"/>
        </w:rPr>
      </w:pPr>
    </w:p>
    <w:p w14:paraId="568036A2" w14:textId="77777777" w:rsidR="00C96F79" w:rsidRDefault="00C96F79" w:rsidP="00A709BD">
      <w:pPr>
        <w:jc w:val="both"/>
        <w:rPr>
          <w:b/>
          <w:bCs/>
          <w:i/>
          <w:iCs/>
          <w:color w:val="000000"/>
          <w:lang w:eastAsia="en-GB"/>
        </w:rPr>
      </w:pPr>
    </w:p>
    <w:p w14:paraId="5A16F980" w14:textId="77777777" w:rsidR="00C96F79" w:rsidRDefault="00C96F79" w:rsidP="00A709BD">
      <w:pPr>
        <w:jc w:val="both"/>
        <w:rPr>
          <w:b/>
          <w:bCs/>
          <w:i/>
          <w:iCs/>
          <w:color w:val="000000"/>
          <w:lang w:eastAsia="en-GB"/>
        </w:rPr>
      </w:pPr>
    </w:p>
    <w:p w14:paraId="33CA963D" w14:textId="53D919B0" w:rsidR="00C96F79" w:rsidRDefault="00C96F79" w:rsidP="00A709BD">
      <w:pPr>
        <w:jc w:val="both"/>
        <w:rPr>
          <w:b/>
          <w:bCs/>
          <w:i/>
          <w:iCs/>
          <w:color w:val="000000"/>
          <w:lang w:eastAsia="en-GB"/>
        </w:rPr>
      </w:pPr>
    </w:p>
    <w:p w14:paraId="4ABB4782" w14:textId="77777777" w:rsidR="008B274E" w:rsidRDefault="008B274E" w:rsidP="00A709BD">
      <w:pPr>
        <w:jc w:val="both"/>
        <w:rPr>
          <w:b/>
          <w:bCs/>
          <w:i/>
          <w:iCs/>
          <w:color w:val="000000"/>
          <w:lang w:eastAsia="en-GB"/>
        </w:rPr>
      </w:pPr>
    </w:p>
    <w:p w14:paraId="59162E7C" w14:textId="77777777" w:rsidR="00C96F79" w:rsidRDefault="00C96F79" w:rsidP="00A709BD">
      <w:pPr>
        <w:jc w:val="both"/>
        <w:rPr>
          <w:b/>
          <w:bCs/>
          <w:i/>
          <w:iCs/>
          <w:color w:val="000000"/>
          <w:lang w:eastAsia="en-GB"/>
        </w:rPr>
      </w:pPr>
    </w:p>
    <w:p w14:paraId="4408ED3E" w14:textId="77777777" w:rsidR="00C96F79" w:rsidRDefault="00C96F79" w:rsidP="00A709BD">
      <w:pPr>
        <w:jc w:val="both"/>
        <w:rPr>
          <w:b/>
          <w:bCs/>
          <w:i/>
          <w:iCs/>
          <w:color w:val="000000"/>
          <w:lang w:eastAsia="en-GB"/>
        </w:rPr>
      </w:pPr>
    </w:p>
    <w:p w14:paraId="5C8A378D" w14:textId="43022316" w:rsidR="00B227C8" w:rsidRPr="006D741D" w:rsidRDefault="00B227C8" w:rsidP="00A709BD">
      <w:pPr>
        <w:jc w:val="both"/>
        <w:rPr>
          <w:b/>
          <w:bCs/>
          <w:lang w:eastAsia="en-GB"/>
        </w:rPr>
      </w:pPr>
      <w:r w:rsidRPr="006D741D">
        <w:rPr>
          <w:b/>
          <w:bCs/>
          <w:i/>
          <w:iCs/>
          <w:color w:val="000000"/>
          <w:lang w:eastAsia="en-GB"/>
        </w:rPr>
        <w:t>Reference values for performance test outcomes relevant to English female soccer players</w:t>
      </w:r>
    </w:p>
    <w:p w14:paraId="3D820366" w14:textId="77777777" w:rsidR="00B227C8" w:rsidRDefault="00B227C8" w:rsidP="00A709BD">
      <w:pPr>
        <w:jc w:val="both"/>
        <w:outlineLvl w:val="0"/>
        <w:rPr>
          <w:b/>
          <w:bCs/>
          <w:color w:val="000000" w:themeColor="text1"/>
        </w:rPr>
      </w:pPr>
    </w:p>
    <w:p w14:paraId="3FC93E77" w14:textId="77777777" w:rsidR="00B227C8" w:rsidRDefault="00B227C8" w:rsidP="00A709BD">
      <w:pPr>
        <w:jc w:val="both"/>
        <w:outlineLvl w:val="0"/>
        <w:rPr>
          <w:b/>
          <w:bCs/>
          <w:color w:val="000000" w:themeColor="text1"/>
        </w:rPr>
      </w:pPr>
      <w:r>
        <w:rPr>
          <w:b/>
          <w:bCs/>
          <w:color w:val="000000" w:themeColor="text1"/>
        </w:rPr>
        <w:t>Abstract</w:t>
      </w:r>
    </w:p>
    <w:p w14:paraId="266E2FFA" w14:textId="693527FE" w:rsidR="00B227C8" w:rsidRPr="00EA3723" w:rsidRDefault="00B227C8" w:rsidP="00A709BD">
      <w:pPr>
        <w:jc w:val="both"/>
        <w:outlineLvl w:val="0"/>
        <w:rPr>
          <w:i/>
          <w:iCs/>
        </w:rPr>
      </w:pPr>
      <w:r w:rsidRPr="00EA3723">
        <w:rPr>
          <w:bCs/>
          <w:i/>
          <w:iCs/>
          <w:color w:val="000000" w:themeColor="text1"/>
        </w:rPr>
        <w:t xml:space="preserve">The purpose of this study was to </w:t>
      </w:r>
      <w:r>
        <w:rPr>
          <w:bCs/>
          <w:i/>
          <w:iCs/>
          <w:color w:val="000000" w:themeColor="text1"/>
        </w:rPr>
        <w:t>present</w:t>
      </w:r>
      <w:r w:rsidRPr="00EA3723">
        <w:rPr>
          <w:bCs/>
          <w:i/>
          <w:iCs/>
          <w:color w:val="000000" w:themeColor="text1"/>
        </w:rPr>
        <w:t xml:space="preserve"> reference standards for physical performance test</w:t>
      </w:r>
      <w:r>
        <w:rPr>
          <w:bCs/>
          <w:i/>
          <w:iCs/>
          <w:color w:val="000000" w:themeColor="text1"/>
        </w:rPr>
        <w:t xml:space="preserve"> outcomes relevant to</w:t>
      </w:r>
      <w:r w:rsidRPr="00EA3723">
        <w:rPr>
          <w:bCs/>
          <w:i/>
          <w:iCs/>
          <w:color w:val="000000" w:themeColor="text1"/>
        </w:rPr>
        <w:t xml:space="preserve"> elite female soccer players. We analysed m</w:t>
      </w:r>
      <w:proofErr w:type="spellStart"/>
      <w:r w:rsidRPr="00EA3723">
        <w:rPr>
          <w:i/>
          <w:iCs/>
          <w:color w:val="000000" w:themeColor="text1"/>
          <w:lang w:val="en-US"/>
        </w:rPr>
        <w:t>ixed</w:t>
      </w:r>
      <w:proofErr w:type="spellEnd"/>
      <w:r w:rsidRPr="00EA3723">
        <w:rPr>
          <w:i/>
          <w:iCs/>
          <w:color w:val="000000" w:themeColor="text1"/>
          <w:lang w:val="en-US"/>
        </w:rPr>
        <w:t xml:space="preserve">-longitudinal data </w:t>
      </w:r>
      <w:r w:rsidRPr="00EA3723">
        <w:rPr>
          <w:rFonts w:eastAsiaTheme="minorHAnsi"/>
          <w:i/>
          <w:iCs/>
          <w:lang w:val="en-US"/>
        </w:rPr>
        <w:t>(n = 1715 observations)</w:t>
      </w:r>
      <w:r w:rsidRPr="00EA3723">
        <w:rPr>
          <w:i/>
          <w:iCs/>
          <w:color w:val="000000" w:themeColor="text1"/>
          <w:lang w:val="en-US"/>
        </w:rPr>
        <w:t xml:space="preserve"> from a sample of 479 elite youth and senior players </w:t>
      </w:r>
      <w:r w:rsidRPr="00EA3723">
        <w:rPr>
          <w:i/>
          <w:color w:val="000000" w:themeColor="text1"/>
          <w:lang w:val="en-US"/>
        </w:rPr>
        <w:t xml:space="preserve">as part of </w:t>
      </w:r>
      <w:r>
        <w:rPr>
          <w:i/>
          <w:color w:val="000000" w:themeColor="text1"/>
          <w:lang w:val="en-US"/>
        </w:rPr>
        <w:t>the English Football Association’s n</w:t>
      </w:r>
      <w:r w:rsidRPr="00EA3723">
        <w:rPr>
          <w:i/>
          <w:color w:val="000000" w:themeColor="text1"/>
          <w:lang w:val="en-US"/>
        </w:rPr>
        <w:t xml:space="preserve">ational development </w:t>
      </w:r>
      <w:proofErr w:type="spellStart"/>
      <w:r w:rsidRPr="00EA3723">
        <w:rPr>
          <w:i/>
          <w:color w:val="000000" w:themeColor="text1"/>
          <w:lang w:val="en-US"/>
        </w:rPr>
        <w:t>programme</w:t>
      </w:r>
      <w:proofErr w:type="spellEnd"/>
      <w:r>
        <w:rPr>
          <w:i/>
          <w:iCs/>
          <w:color w:val="000000" w:themeColor="text1"/>
          <w:lang w:val="en-US"/>
        </w:rPr>
        <w:t xml:space="preserve"> </w:t>
      </w:r>
      <w:r w:rsidRPr="00EA3723">
        <w:rPr>
          <w:i/>
          <w:iCs/>
          <w:color w:val="000000" w:themeColor="text1"/>
          <w:lang w:val="en-US"/>
        </w:rPr>
        <w:t xml:space="preserve">(age range: 12.7 to 36.0 years). </w:t>
      </w:r>
      <w:r w:rsidRPr="00EA3723">
        <w:rPr>
          <w:i/>
          <w:iCs/>
          <w:color w:val="000000" w:themeColor="text1"/>
        </w:rPr>
        <w:t xml:space="preserve">Semi-parametric generalized additive models for location, scale and shape </w:t>
      </w:r>
      <w:r w:rsidRPr="00EA3723">
        <w:rPr>
          <w:bCs/>
          <w:i/>
          <w:iCs/>
          <w:color w:val="000000" w:themeColor="text1"/>
        </w:rPr>
        <w:t xml:space="preserve">(GAMLSS) </w:t>
      </w:r>
      <w:r>
        <w:rPr>
          <w:bCs/>
          <w:i/>
          <w:iCs/>
          <w:color w:val="000000" w:themeColor="text1"/>
        </w:rPr>
        <w:t>estimated</w:t>
      </w:r>
      <w:r w:rsidRPr="00EA3723">
        <w:rPr>
          <w:bCs/>
          <w:i/>
          <w:iCs/>
          <w:color w:val="000000" w:themeColor="text1"/>
        </w:rPr>
        <w:t xml:space="preserve"> age-</w:t>
      </w:r>
      <w:r w:rsidR="0024629A">
        <w:rPr>
          <w:bCs/>
          <w:i/>
          <w:iCs/>
          <w:color w:val="000000" w:themeColor="text1"/>
        </w:rPr>
        <w:t>related</w:t>
      </w:r>
      <w:r w:rsidR="0024629A" w:rsidRPr="00EA3723">
        <w:rPr>
          <w:bCs/>
          <w:i/>
          <w:iCs/>
          <w:color w:val="000000" w:themeColor="text1"/>
        </w:rPr>
        <w:t xml:space="preserve"> </w:t>
      </w:r>
      <w:r w:rsidRPr="00EA3723">
        <w:rPr>
          <w:bCs/>
          <w:i/>
          <w:iCs/>
          <w:color w:val="000000" w:themeColor="text1"/>
        </w:rPr>
        <w:t xml:space="preserve">reference centiles for 5-m sprinting, 30-m sprinting, countermovement jump (CMJ) height, and Yo-Yo Intermittent Recovery Test Level 1 </w:t>
      </w:r>
      <w:r w:rsidR="00455DD0">
        <w:rPr>
          <w:bCs/>
          <w:i/>
          <w:iCs/>
          <w:color w:val="000000" w:themeColor="text1"/>
        </w:rPr>
        <w:t xml:space="preserve">(Yo-Yo IR1) </w:t>
      </w:r>
      <w:r w:rsidRPr="00EA3723">
        <w:rPr>
          <w:bCs/>
          <w:i/>
          <w:iCs/>
          <w:color w:val="000000" w:themeColor="text1"/>
        </w:rPr>
        <w:t>performance. The estimated reference centiles indicated that the median of the distribution of physical performance test scores varied non-linearly with advancing chronological age, improving until around 25 years for each performance variable.</w:t>
      </w:r>
      <w:r>
        <w:rPr>
          <w:bCs/>
          <w:i/>
          <w:iCs/>
          <w:color w:val="000000" w:themeColor="text1"/>
        </w:rPr>
        <w:t xml:space="preserve"> These are the first reference ranges for </w:t>
      </w:r>
      <w:r w:rsidRPr="00EA3723">
        <w:rPr>
          <w:bCs/>
          <w:i/>
          <w:iCs/>
          <w:color w:val="000000" w:themeColor="text1"/>
        </w:rPr>
        <w:t>performance test</w:t>
      </w:r>
      <w:r>
        <w:rPr>
          <w:bCs/>
          <w:i/>
          <w:iCs/>
          <w:color w:val="000000" w:themeColor="text1"/>
        </w:rPr>
        <w:t xml:space="preserve"> outcomes in </w:t>
      </w:r>
      <w:r w:rsidRPr="00EA3723">
        <w:rPr>
          <w:bCs/>
          <w:i/>
          <w:iCs/>
          <w:color w:val="000000" w:themeColor="text1"/>
        </w:rPr>
        <w:t xml:space="preserve">elite </w:t>
      </w:r>
      <w:r>
        <w:rPr>
          <w:bCs/>
          <w:i/>
          <w:iCs/>
          <w:color w:val="000000" w:themeColor="text1"/>
        </w:rPr>
        <w:t xml:space="preserve">English </w:t>
      </w:r>
      <w:r w:rsidRPr="00EA3723">
        <w:rPr>
          <w:bCs/>
          <w:i/>
          <w:iCs/>
          <w:color w:val="000000" w:themeColor="text1"/>
        </w:rPr>
        <w:t>female soccer players</w:t>
      </w:r>
      <w:r>
        <w:rPr>
          <w:bCs/>
          <w:i/>
          <w:iCs/>
          <w:color w:val="000000" w:themeColor="text1"/>
        </w:rPr>
        <w:t xml:space="preserve">. These data can </w:t>
      </w:r>
      <w:r w:rsidRPr="00EA3723">
        <w:rPr>
          <w:i/>
          <w:iCs/>
        </w:rPr>
        <w:t xml:space="preserve">assist practitioners when interpreting physical test performance </w:t>
      </w:r>
      <w:r>
        <w:rPr>
          <w:i/>
          <w:iCs/>
        </w:rPr>
        <w:t xml:space="preserve">outcomes </w:t>
      </w:r>
      <w:r w:rsidRPr="00EA3723">
        <w:rPr>
          <w:i/>
          <w:iCs/>
        </w:rPr>
        <w:t xml:space="preserve">to track an individual’s progress over time and support decision making </w:t>
      </w:r>
      <w:r>
        <w:rPr>
          <w:i/>
          <w:iCs/>
        </w:rPr>
        <w:t>regarding</w:t>
      </w:r>
      <w:r w:rsidRPr="00EA3723">
        <w:rPr>
          <w:i/>
          <w:iCs/>
        </w:rPr>
        <w:t xml:space="preserve"> player recruitment and development.</w:t>
      </w:r>
    </w:p>
    <w:p w14:paraId="6C334E01" w14:textId="77777777" w:rsidR="00B227C8" w:rsidRDefault="00B227C8" w:rsidP="00A709BD">
      <w:pPr>
        <w:jc w:val="both"/>
        <w:outlineLvl w:val="0"/>
        <w:rPr>
          <w:bCs/>
          <w:color w:val="000000" w:themeColor="text1"/>
        </w:rPr>
      </w:pPr>
    </w:p>
    <w:p w14:paraId="07446172" w14:textId="77777777" w:rsidR="00B227C8" w:rsidRDefault="00B227C8" w:rsidP="00A709BD">
      <w:pPr>
        <w:jc w:val="both"/>
        <w:outlineLvl w:val="0"/>
        <w:rPr>
          <w:bCs/>
          <w:color w:val="000000" w:themeColor="text1"/>
        </w:rPr>
      </w:pPr>
      <w:r w:rsidRPr="00292794">
        <w:rPr>
          <w:b/>
          <w:bCs/>
          <w:color w:val="000000" w:themeColor="text1"/>
        </w:rPr>
        <w:t>Keywords:</w:t>
      </w:r>
      <w:r>
        <w:rPr>
          <w:bCs/>
          <w:color w:val="000000" w:themeColor="text1"/>
        </w:rPr>
        <w:t xml:space="preserve"> </w:t>
      </w:r>
      <w:r w:rsidRPr="00292794">
        <w:rPr>
          <w:bCs/>
          <w:color w:val="000000" w:themeColor="text1"/>
        </w:rPr>
        <w:t>Fitness testing; football</w:t>
      </w:r>
      <w:r>
        <w:rPr>
          <w:bCs/>
          <w:color w:val="000000" w:themeColor="text1"/>
        </w:rPr>
        <w:t xml:space="preserve">; </w:t>
      </w:r>
      <w:r w:rsidRPr="00292794">
        <w:rPr>
          <w:bCs/>
          <w:color w:val="000000" w:themeColor="text1"/>
        </w:rPr>
        <w:t>player tracking; physical performance</w:t>
      </w:r>
      <w:r>
        <w:rPr>
          <w:bCs/>
          <w:color w:val="000000" w:themeColor="text1"/>
        </w:rPr>
        <w:t xml:space="preserve">; </w:t>
      </w:r>
      <w:r w:rsidRPr="00292794">
        <w:rPr>
          <w:bCs/>
          <w:color w:val="000000" w:themeColor="text1"/>
        </w:rPr>
        <w:t>age-related reference ranges</w:t>
      </w:r>
      <w:r>
        <w:rPr>
          <w:bCs/>
          <w:color w:val="000000" w:themeColor="text1"/>
        </w:rPr>
        <w:t>; GAMLSS</w:t>
      </w:r>
    </w:p>
    <w:p w14:paraId="655B073D" w14:textId="77777777" w:rsidR="00B227C8" w:rsidRDefault="00B227C8" w:rsidP="00A709BD">
      <w:pPr>
        <w:jc w:val="both"/>
        <w:outlineLvl w:val="0"/>
        <w:rPr>
          <w:b/>
          <w:bCs/>
          <w:color w:val="000000" w:themeColor="text1"/>
        </w:rPr>
      </w:pPr>
    </w:p>
    <w:p w14:paraId="70318B2B" w14:textId="77777777" w:rsidR="00B227C8" w:rsidRPr="00C47275" w:rsidRDefault="00B227C8" w:rsidP="00A709BD">
      <w:pPr>
        <w:jc w:val="both"/>
        <w:outlineLvl w:val="0"/>
        <w:rPr>
          <w:b/>
          <w:bCs/>
          <w:color w:val="000000" w:themeColor="text1"/>
        </w:rPr>
      </w:pPr>
      <w:r>
        <w:rPr>
          <w:b/>
          <w:bCs/>
          <w:color w:val="000000" w:themeColor="text1"/>
        </w:rPr>
        <w:t>Introduction</w:t>
      </w:r>
    </w:p>
    <w:p w14:paraId="48842114" w14:textId="237BD9D2" w:rsidR="00B227C8" w:rsidRDefault="00B227C8" w:rsidP="00A709BD">
      <w:pPr>
        <w:jc w:val="both"/>
        <w:rPr>
          <w:rFonts w:eastAsia="Calibri"/>
          <w:color w:val="000000" w:themeColor="text1"/>
        </w:rPr>
      </w:pPr>
      <w:r>
        <w:rPr>
          <w:rFonts w:eastAsia="Calibri"/>
          <w:color w:val="000000" w:themeColor="text1"/>
        </w:rPr>
        <w:t>P</w:t>
      </w:r>
      <w:r w:rsidRPr="00A4035D">
        <w:rPr>
          <w:rFonts w:eastAsia="Calibri"/>
          <w:color w:val="000000" w:themeColor="text1"/>
        </w:rPr>
        <w:t xml:space="preserve">hysical performance testing </w:t>
      </w:r>
      <w:r>
        <w:rPr>
          <w:rFonts w:eastAsia="Calibri"/>
          <w:color w:val="000000" w:themeColor="text1"/>
        </w:rPr>
        <w:t xml:space="preserve">provides an opportunity to evaluate a player’s physical qualities </w:t>
      </w:r>
      <w:r>
        <w:rPr>
          <w:rFonts w:eastAsia="Calibri"/>
          <w:color w:val="000000" w:themeColor="text1"/>
        </w:rPr>
        <w:fldChar w:fldCharType="begin"/>
      </w:r>
      <w:r>
        <w:rPr>
          <w:rFonts w:eastAsia="Calibri"/>
          <w:color w:val="000000" w:themeColor="text1"/>
        </w:rPr>
        <w:instrText xml:space="preserve"> ADDIN ZOTERO_ITEM CSL_CITATION {"citationID":"2dPNIyie","properties":{"formattedCitation":"(1)","plainCitation":"(1)","noteIndex":0},"citationItems":[{"id":2,"uris":["http://zotero.org/users/local/AE0gAnhG/items/HY4NZCGJ"],"uri":["http://zotero.org/users/local/AE0gAnhG/items/HY4NZCGJ"],"itemData":{"id":2,"type":"article-journal","abstract":"Purpose: Research has characterised the strength characteristics of elite youth male soccer players, although little is known about female players. This study investigated the influence of age and maturity status on strength characteristics of elite youth female soccer players. Methods: 157 female soccer players (U16; n = 46, U14; n = 43, U12; n = 38, U10; n = 30), recruited from three elite female soccer academies. Linear mixed models were used to determine the difference by age or maturation on maximum and explosive strength characteristics. Results: Peak force (PF) was possibly and likely greater for older age groups; however, differences in relative PF were most likely trivial between consecutive age groups. Relative impulse at 100 and 300 ms was very likely greater at U12 than U10, likely and possibly less at U12 than U14 and most likely less and possibly greater at U16 than U14. Relative PF was likely less at pre-peak height velocity (PHV) than circa and circa than post-PHV. Relative impulse at 100 and 300 ms was most likely lower for pre-PHV than circa and pre-PHV than post-PHV, and possible greater at circa than post-PHV. Conclusion: Age and maturation impact upon PF and impulse; thus, practitioners should account for individual maturation status when comparing players. These data provide reference strength data for elite youth female soccer players, which can be used when monitoring player development.","container-title":"Science and Medicine in Football","DOI":"10.1080/24733938.2017.1363908","ISSN":"2473-3938, 2473-4446","issue":"3","journalAbbreviation":"Science and Medicine in Football","language":"en","page":"209-215","source":"DOI.org (Crossref)","title":"The influence of age and maturity status on the maximum and explosive strength characteristics of elite youth female soccer players","volume":"1","author":[{"family":"Emmonds","given":"Stacey"},{"family":"Morris","given":"Rhys"},{"family":"Murray","given":"Eoin"},{"family":"Robinson","given":"Claire"},{"family":"Turner","given":"Luke"},{"family":"Jones","given":"Ben"}],"issued":{"date-parts":[["2017",9,2]]}}}],"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(1)</w:t>
      </w:r>
      <w:r>
        <w:rPr>
          <w:rFonts w:eastAsia="Calibri"/>
          <w:color w:val="000000" w:themeColor="text1"/>
        </w:rPr>
        <w:fldChar w:fldCharType="end"/>
      </w:r>
      <w:r>
        <w:rPr>
          <w:rFonts w:eastAsia="Calibri"/>
          <w:color w:val="000000" w:themeColor="text1"/>
        </w:rPr>
        <w:t xml:space="preserve"> and </w:t>
      </w:r>
      <w:r w:rsidR="00FB2001">
        <w:rPr>
          <w:rFonts w:eastAsia="Calibri"/>
          <w:color w:val="000000" w:themeColor="text1"/>
        </w:rPr>
        <w:t xml:space="preserve">represents an </w:t>
      </w:r>
      <w:r>
        <w:rPr>
          <w:rFonts w:eastAsia="Calibri"/>
          <w:color w:val="000000" w:themeColor="text1"/>
        </w:rPr>
        <w:t xml:space="preserve">integral component of an elite soccer player’s development programme </w:t>
      </w:r>
      <w:r>
        <w:rPr>
          <w:rFonts w:eastAsia="Calibri"/>
          <w:color w:val="000000" w:themeColor="text1"/>
        </w:rPr>
        <w:fldChar w:fldCharType="begin"/>
      </w:r>
      <w:r>
        <w:rPr>
          <w:rFonts w:eastAsia="Calibri"/>
          <w:color w:val="000000" w:themeColor="text1"/>
        </w:rPr>
        <w:instrText xml:space="preserve"> ADDIN ZOTERO_ITEM CSL_CITATION {"citationID":"AyYx91ca","properties":{"formattedCitation":"(2)","plainCitation":"(2)","noteIndex":0},"citationItems":[{"id":4,"uris":["http://zotero.org/users/local/AE0gAnhG/items/X5CI53EL"],"uri":["http://zotero.org/users/local/AE0gAnhG/items/X5CI53EL"],"itemData":{"id":4,"type":"article-journal","abstract":"Manson, SA, Brughelli, M, and Harris, NK. Physiological characteristics of international female soccer players. J Strength Cond Res 28(2): 308–318, 2014—The purpose of this study was to investigate the physiological characteristics of Fe´de´ ration Internationale de Football Association (FIFA) eligible international female soccer players aged 14–36 years and to determine if measures were signiﬁcantly different for players selected (i.e., starters) to the starting line up for an FIFA tournament as compared with those not selected (i.e., nonstarters). Fifty-one (N = 18 Under 17; N = 18 Under 20; N = 15 Senior) international female soccer players participated in this study. The subjects underwent measurements of anthropometry (height and body mass), lower body strength (isokinetic testing), sprint kinetics and kinematics (nonmotorized treadmill), leg power (unilateral jumping), and maximal aerobic velocity (30:15 intermittent ﬁtness test) during the ﬁnal preparatory stage for an FIFA event. Outcomes of the age group data indicate that differences in physiological capacities are evident for the Under 17 players as compared with those for the Under 20 and Senior capped international players, suggesting a plateau in the acquisition of physical qualities as players mature. Starters tended to be faster (effect size [ES] = 0.55–1.0, p , 0.05) and have a higher maximal aerobic velocity (ES = 0.78–2.45, p , 0.05), along with greater eccentric leg strength (ES = 0.33–1.67, p , 0.05). Signiﬁcant differences were detected between starters and nonstarters for isokinetic leg strength (ES = 0.54–1.24, p , 0.05) and maximal aerobic velocity (ES = 0.87, p , 0.05) for Under 17 players, where maximal aerobic velocity was the primary difference between starters and nonstarters (ES = 0.83–2.45, p , 0.05) for the Under 20 and Senior players. Coaches should emphasize the development of speed, maximal aerobic velocity, and leg strength in developing female soccer players.","container-title":"Journal of Strength and Conditioning Research","DOI":"10.1519/JSC.0b013e31829b56b1","ISSN":"1064-8011","issue":"2","language":"en","page":"308-318","source":"DOI.org (Crossref)","title":"Physiological Characteristics of International Female Soccer Players","volume":"28","author":[{"family":"Manson","given":"Sarah A."},{"family":"Brughelli","given":"Matt"},{"family":"Harris","given":"Nigel K."}],"issued":{"date-parts":[["2014",2]]}}}],"schema":"https://github.com/citation-style-language/schema/raw/master/csl-citation.json"}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(2)</w:t>
      </w:r>
      <w:r>
        <w:rPr>
          <w:rFonts w:eastAsia="Calibri"/>
          <w:color w:val="000000" w:themeColor="text1"/>
        </w:rPr>
        <w:fldChar w:fldCharType="end"/>
      </w:r>
      <w:r>
        <w:rPr>
          <w:rFonts w:eastAsia="Calibri"/>
          <w:color w:val="000000" w:themeColor="text1"/>
        </w:rPr>
        <w:t xml:space="preserve">. Information derived from physical performance testing can support the decision-making processes of </w:t>
      </w:r>
      <w:r w:rsidRPr="00A4035D">
        <w:rPr>
          <w:rFonts w:eastAsia="Calibri"/>
          <w:color w:val="000000" w:themeColor="text1"/>
        </w:rPr>
        <w:t xml:space="preserve">coaches and practitioners </w:t>
      </w:r>
      <w:r>
        <w:rPr>
          <w:rFonts w:eastAsia="Calibri"/>
          <w:color w:val="000000" w:themeColor="text1"/>
        </w:rPr>
        <w:t xml:space="preserve">involved in </w:t>
      </w:r>
      <w:r w:rsidRPr="00A4035D">
        <w:rPr>
          <w:rFonts w:eastAsia="Calibri"/>
          <w:color w:val="000000" w:themeColor="text1"/>
        </w:rPr>
        <w:t>talent identification, player selection and development</w:t>
      </w:r>
      <w:r>
        <w:rPr>
          <w:rFonts w:eastAsia="Calibri"/>
          <w:color w:val="000000" w:themeColor="text1"/>
        </w:rPr>
        <w:t xml:space="preserve"> </w:t>
      </w:r>
      <w:r>
        <w:rPr>
          <w:rFonts w:eastAsia="Calibri"/>
          <w:color w:val="000000" w:themeColor="text1"/>
        </w:rPr>
        <w:fldChar w:fldCharType="begin"/>
      </w:r>
      <w:r>
        <w:rPr>
          <w:rFonts w:eastAsia="Calibri"/>
          <w:color w:val="000000" w:themeColor="text1"/>
        </w:rPr>
        <w:instrText xml:space="preserve"> ADDIN ZOTERO_ITEM CSL_CITATION {"citationID":"vHb4TU18","properties":{"formattedCitation":"(3)","plainCitation":"(3)","noteIndex":0},"citationItems":[{"id":6,"uris":["http://zotero.org/users/local/AE0gAnhG/items/I7XHLJRI"],"uri":["http://zotero.org/users/local/AE0gAnhG/items/I7XHLJRI"],"itemData":{"id":6,"type":"article-journal","abstract":"Talent identiﬁcation and development programmes have received broad attention in the last decades, yet evidence regarding the predictive utility of physical performance in female soccer players is limited. Using a retrospective design, we appraised the predictive value of performance-related measures in a sample of 228 youth female soccer players previously involved in residential Elite Performance Camps (age range: 12.7–15.3 years). With 10-m sprinting, 30-m sprinting, counter-movement jump height, and Yo-Yo Intermittent Recovery Test Level 1 (IR1) distance as primary predictor variables, the Akaike Information Criterion (AIC) assessed the relative quality of four penalised logistic regression models for determining future competitive international squads U17–U20 level selection. The model including Yo-Yo IR1 was the best for predicting career outcome. Predicted probabilities of future selection to the international squad increased with higher Yo-Yo IR1 distances, from 4.5% (95% conﬁdence interval, 0.8 to 8.2%) for a distance lower than 440 m to 64.7% (95% conﬁdence interval, 47.3 to 82.1%) for a score of 2040 m. The present study highlights the predictive utility of high-intensity endurance capacity for informing career progression in elite youth female soccer and provides reference values for staﬀ involved in the talent development of elite youth female soccer players.","container-title":"Journal of Sports Sciences","DOI":"10.1080/02640414.2019.1656323","ISSN":"0264-0414, 1466-447X","issue":"11-12","journalAbbreviation":"Journal of Sports Sciences","language":"en","page":"1313-1319","source":"DOI.org (Crossref)","title":"High-intensity endurance capacity assessment as a tool for talent identification in elite youth female soccer","volume":"38","author":[{"family":"Datson","given":"Naomi"},{"family":"Weston","given":"Matthew"},{"family":"Drust","given":"Barry"},{"family":"Gregson","given":"Warren"},{"family":"Lolli","given":"Lorenzo"}],"issued":{"date-parts":[["2020",6,17]]}}}],"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(3)</w:t>
      </w:r>
      <w:r>
        <w:rPr>
          <w:rFonts w:eastAsia="Calibri"/>
          <w:color w:val="000000" w:themeColor="text1"/>
        </w:rPr>
        <w:fldChar w:fldCharType="end"/>
      </w:r>
      <w:r>
        <w:rPr>
          <w:rFonts w:eastAsia="Calibri"/>
          <w:color w:val="000000" w:themeColor="text1"/>
        </w:rPr>
        <w:t xml:space="preserve">. A wide range of physical performance tests are available </w:t>
      </w:r>
      <w:r>
        <w:rPr>
          <w:rFonts w:eastAsia="Calibri"/>
          <w:color w:val="000000" w:themeColor="text1"/>
        </w:rPr>
        <w:fldChar w:fldCharType="begin"/>
      </w:r>
      <w:r>
        <w:rPr>
          <w:rFonts w:eastAsia="Calibri"/>
          <w:color w:val="000000" w:themeColor="text1"/>
        </w:rPr>
        <w:instrText xml:space="preserve"> ADDIN ZOTERO_ITEM CSL_CITATION {"citationID":"Nja3ElGt","properties":{"formattedCitation":"(1,4,5)","plainCitation":"(1,4,5)","noteIndex":0},"citationItems":[{"id":2,"uris":["http://zotero.org/users/local/AE0gAnhG/items/HY4NZCGJ"],"uri":["http://zotero.org/users/local/AE0gAnhG/items/HY4NZCGJ"],"itemData":{"id":2,"type":"article-journal","abstract":"Purpose: Research has characterised the strength characteristics of elite youth male soccer players, although little is known about female players. This study investigated the influence of age and maturity status on strength characteristics of elite youth female soccer players. Methods: 157 female soccer players (U16; n = 46, U14; n = 43, U12; n = 38, U10; n = 30), recruited from three elite female soccer academies. Linear mixed models were used to determine the difference by age or maturation on maximum and explosive strength characteristics. Results: Peak force (PF) was possibly and likely greater for older age groups; however, differences in relative PF were most likely trivial between consecutive age groups. Relative impulse at 100 and 300 ms was very likely greater at U12 than U10, likely and possibly less at U12 than U14 and most likely less and possibly greater at U16 than U14. Relative PF was likely less at pre-peak height velocity (PHV) than circa and circa than post-PHV. Relative impulse at 100 and 300 ms was most likely lower for pre-PHV than circa and pre-PHV than post-PHV, and possible greater at circa than post-PHV. Conclusion: Age and maturation impact upon PF and impulse; thus, practitioners should account for individual maturation status when comparing players. These data provide reference strength data for elite youth female soccer players, which can be used when monitoring player development.","container-title":"Science and Medicine in Football","DOI":"10.1080/24733938.2017.1363908","ISSN":"2473-3938, 2473-4446","issue":"3","journalAbbreviation":"Science and Medicine in Football","language":"en","page":"209-215","source":"DOI.org (Crossref)","title":"The influence of age and maturity status on the maximum and explosive strength characteristics of elite youth female soccer players","volume":"1","author":[{"family":"Emmonds","given":"Stacey"},{"family":"Morris","given":"Rhys"},{"family":"Murray","given":"Eoin"},{"family":"Robinson","given":"Claire"},{"family":"Turner","given":"Luke"},{"family":"Jones","given":"Ben"}],"issued":{"date-parts":[["2017",9,2]]}}},{"id":8,"uris":["http://zotero.org/users/local/AE0gAnhG/items/TJDFVD8J"],"uri":["http://zotero.org/users/local/AE0gAnhG/items/TJDFVD8J"],"itemData":{"id":8,"type":"article-journal","abstract":"Increases in physical (e.g., high-intensity running and sprinting), technical (e.g., passing rate), and tactical (e.g., player density) aspects made elite level soccer more challenging within the past years. The aim of the study was to evaluate whether these evolutions are also been reﬂected in changes in anthropometric and ﬁtness characteristics between former (2002 to 2005) and current (2012 to 2015) elite Austrian youth development center (U13 to U14) and soccer academy (U15 to U18) players. A battery of anthropometric, general and soccer-speciﬁc ﬁtness tests was conducted annually at the end of each year. Independent t-test and Cohen’s d (ES) were calculated to compare the two four-year periods (2530 vs. 2611 players) at each age group separately. Current players were signiﬁcantly faster in 20 m sprint (ES = 0.26–0.50) and reaction test (ES = 0.15–0.39, except for U18), but less ﬂexible at sit-and-reach (ES = –0.19 to –0.55), in all age categories. Whereas height (ES = 0.26–0.32), body mass (ES = 0.11–0.18) and countermovement jump (ES = 0.24–0.26) increased signiﬁcantly at youth development center level, current academy players performed superior at shuttle sprint (ES = 0.21–0.59), hurdles agility run (ES = 0.24–0.49), and endurance run (ES = 0.11–0.20). These changes over time in speed, change-of-direction ability, lower-body power, coordination, and endurance were attributed to modern training approaches (e.g., modiﬁed games and change-of-direction drills) and modiﬁcations in selection politics (e.g., coaches favor speed and decision-making skills).","container-title":"Frontiers in Physiology","DOI":"10.3389/fphys.2019.00333","ISSN":"1664-042X","journalAbbreviation":"Front. Physiol.","language":"en","page":"333","source":"DOI.org (Crossref)","title":"Changes Over a Decade in Anthropometry and Fitness of Elite Austrian Youth Soccer Players","volume":"10","author":[{"family":"Gonaus","given":"Christoph"},{"family":"Birklbauer","given":"Jürgen"},{"family":"Lindinger","given":"Stefan J."},{"family":"Stöggl","given":"Thomas L."},{"family":"Müller","given":"Erich"}],"issued":{"date-parts":[["2019",3,28]]}}},{"id":10,"uris":["http://zotero.org/users/local/AE0gAnhG/items/B4AHQS2T"],"uri":["http://zotero.org/users/local/AE0gAnhG/items/B4AHQS2T"],"itemData":{"id":10,"type":"article-journal","abstract":"This study aimed to establish between-day reliability and validity of commonly used field-based fitness tests in youth soccer players of varied age and playing standards, and to discriminate between players without (“unidentified”) or with (“identified”) a direct route to professional football through their existing club pathway. Three-hundred-and-seventy-three Scottish youth soccer players (U11–U17) from three different playing standards (amateur, development, performance) completed a battery of commonly used generic field-based fitness tests (grip dynamometry, standing broad jump, countermovement vertical jump, 505 (505COD) and T-Drill (T-Test) change of direction and 10/20 m sprint tests) on two separate occasions within 7–14 days. The majority of field-based fitness tests selected within this study proved to be reliable measures of physical performance (ICC = 0.83–0.97; p &lt; .01). However, COD tests showed weaker reliability in younger participants (ICC = 0.57–0.79; p &lt; .01). The field-based fitness testing battery significantly discriminated between the unidentified and identified players; χ2 (7) = 101.646, p &lt; .001, with 70.2% of players being correctly classified. We have shown field-based fitness tests to be reliable measures of physical performance in youth soccer players. However, results from the 505COD and T-Test change of direction tests may be more variable in younger players, potentially due to complex demands of these tests and the limited training age established by these players. While the testing battery selected in this study was able to discriminate between unidentified and identified players, findings were inconsistent when attempting to differentiate between individual playing standards within the “identified” player group (development vs. performance).","container-title":"European Journal of Sport Science","DOI":"10.1080/17461391.2018.1556739","ISSN":"1746-1391, 1536-7290","issue":"6","journalAbbreviation":"European Journal of Sport Science","language":"en","page":"745-756","source":"DOI.org (Crossref)","title":"Reliability and validity of field-based fitness tests in youth soccer players","volume":"19","author":[{"family":"Dugdale","given":"James H."},{"family":"Arthur","given":"Calum A."},{"family":"Sanders","given":"Dajo"},{"family":"Hunter","given":"Angus M."}],"issued":{"date-parts":[["2019",7,3]]}}}],"schema":"https://github.com/citation-style-language/schema/raw/master/csl-citation.json"}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(1,4,5)</w:t>
      </w:r>
      <w:r>
        <w:rPr>
          <w:rFonts w:eastAsia="Calibri"/>
          <w:color w:val="000000" w:themeColor="text1"/>
        </w:rPr>
        <w:fldChar w:fldCharType="end"/>
      </w:r>
      <w:r w:rsidR="00A566AC">
        <w:rPr>
          <w:rFonts w:eastAsia="Calibri"/>
          <w:color w:val="000000" w:themeColor="text1"/>
        </w:rPr>
        <w:t xml:space="preserve"> with</w:t>
      </w:r>
      <w:r>
        <w:rPr>
          <w:rFonts w:eastAsia="Calibri"/>
          <w:color w:val="000000" w:themeColor="text1"/>
        </w:rPr>
        <w:t xml:space="preserve"> measurement of linear speed, lower limb body power (i.e., jumping based tests) and high-intensity intermittent endurance </w:t>
      </w:r>
      <w:r>
        <w:rPr>
          <w:rFonts w:eastAsia="Calibri"/>
          <w:color w:val="000000" w:themeColor="text1"/>
        </w:rPr>
        <w:fldChar w:fldCharType="begin"/>
      </w:r>
      <w:r>
        <w:rPr>
          <w:rFonts w:eastAsia="Calibri"/>
          <w:color w:val="000000" w:themeColor="text1"/>
        </w:rPr>
        <w:instrText xml:space="preserve"> ADDIN ZOTERO_ITEM CSL_CITATION {"citationID":"kZZ0q7CK","properties":{"formattedCitation":"(6)","plainCitation":"(6)","noteIndex":0},"citationItems":[{"id":12,"uris":["http://zotero.org/users/local/AE0gAnhG/items/ZGKZCNDG"],"uri":["http://zotero.org/users/local/AE0gAnhG/items/ZGKZCNDG"],"itemData":{"id":12,"type":"article-journal","container-title":"Journal of Science and Medicine in Sport","DOI":"10.1016/j.jsams.2018.01.009","ISSN":"14402440","issue":"10","journalAbbreviation":"Journal of Science and Medicine in Sport","language":"en","page":"1073-1078","source":"DOI.org (Crossref)","title":"Talent identification for soccer: Physiological aspects","title-short":"Talent identification for soccer","volume":"21","author":[{"family":"Dodd","given":"Karl D."},{"family":"Newans","given":"Timothy J."}],"issued":{"date-parts":[["2018",10]]}}}],"schema":"https://github.com/citation-style-language/schema/raw/master/csl-citation.json"}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(6)</w:t>
      </w:r>
      <w:r>
        <w:rPr>
          <w:rFonts w:eastAsia="Calibri"/>
          <w:color w:val="000000" w:themeColor="text1"/>
        </w:rPr>
        <w:fldChar w:fldCharType="end"/>
      </w:r>
      <w:r>
        <w:rPr>
          <w:rFonts w:eastAsia="Calibri"/>
          <w:color w:val="000000" w:themeColor="text1"/>
        </w:rPr>
        <w:t xml:space="preserve"> considered important by coaches and practitioners (e.g., face and content validity) </w:t>
      </w:r>
      <w:r>
        <w:rPr>
          <w:rFonts w:eastAsia="Calibri"/>
          <w:color w:val="000000" w:themeColor="text1"/>
        </w:rPr>
        <w:fldChar w:fldCharType="begin"/>
      </w:r>
      <w:r w:rsidR="009920AD">
        <w:rPr>
          <w:rFonts w:eastAsia="Calibri"/>
          <w:color w:val="000000" w:themeColor="text1"/>
        </w:rPr>
        <w:instrText xml:space="preserve"> ADDIN ZOTERO_ITEM CSL_CITATION {"citationID":"75NJ2hHk","properties":{"formattedCitation":"(3,7\\uc0\\u8211{}11)","plainCitation":"(3,7–11)","noteIndex":0},"citationItems":[{"id":6,"uris":["http://zotero.org/users/local/AE0gAnhG/items/I7XHLJRI"],"uri":["http://zotero.org/users/local/AE0gAnhG/items/I7XHLJRI"],"itemData":{"id":6,"type":"article-journal","abstract":"Talent identiﬁcation and development programmes have received broad attention in the last decades, yet evidence regarding the predictive utility of physical performance in female soccer players is limited. Using a retrospective design, we appraised the predictive value of performance-related measures in a sample of 228 youth female soccer players previously involved in residential Elite Performance Camps (age range: 12.7–15.3 years). With 10-m sprinting, 30-m sprinting, counter-movement jump height, and Yo-Yo Intermittent Recovery Test Level 1 (IR1) distance as primary predictor variables, the Akaike Information Criterion (AIC) assessed the relative quality of four penalised logistic regression models for determining future competitive international squads U17–U20 level selection. The model including Yo-Yo IR1 was the best for predicting career outcome. Predicted probabilities of future selection to the international squad increased with higher Yo-Yo IR1 distances, from 4.5% (95% conﬁdence interval, 0.8 to 8.2%) for a distance lower than 440 m to 64.7% (95% conﬁdence interval, 47.3 to 82.1%) for a score of 2040 m. The present study highlights the predictive utility of high-intensity endurance capacity for informing career progression in elite youth female soccer and provides reference values for staﬀ involved in the talent development of elite youth female soccer players.","container-title":"Journal of Sports Sciences","DOI":"10.1080/02640414.2019.1656323","ISSN":"0264-0414, 1466-447X","issue":"11-12","journalAbbreviation":"Journal of Sports Sciences","language":"en","page":"1313-1319","source":"DOI.org (Crossref)","title":"High-intensity endurance capacity assessment as a tool for talent identification in elite youth female soccer","volume":"38","author":[{"family":"Datson","given":"Naomi"},{"family":"Weston","given":"Matthew"},{"family":"Drust","given":"Barry"},{"family":"Gregson","given":"Warren"},{"family":"Lolli","given":"Lorenzo"}],"issued":{"date-parts":[["2020",6,17]]}}},{"id":14,"uris":["http://zotero.org/users/local/AE0gAnhG/items/6LPJPERG"],"uri":["http://zotero.org/users/local/AE0gAnhG/items/6LPJPERG"],"itemData":{"id":14,"type":"article-journal","abstract":"Datson, N, Drust, B, Weston, M, Jarman, IH, Lisboa, P, and Gregson, W. Match physical performance of elite female soccer players during international competition. J Strength Cond Res 31(9): 2379–2387, 2017—The purpose of this study was to provide a detailed analysis of the physical demands of competitive international female soccer match play. A total of 148 individual match observations were undertaken on 107 outﬁeld players competing in competitive international matches during the 2011–2012 and 2012–2013 seasons, using a computerized tracking system (Prozone Sports Ltd., Leeds, England). Total distance and total high-speed running distances were inﬂuenced by playing position, with central midﬁelders completing the highest (10,985 6 706 m and 2,882 6 500 m) and central defenders the lowest (9,489 6 562 m and 1,901 6 268 m) distances, respectively. Greater total very high-speed running distances were completed when a team was without (399 6 143 m) compared to with (313 6 210 m) possession of the ball. Most sprints were over short distances with 76% and 95% being less than 5 and 10 m, respectively. Between half reductions in physical performance were present for all variables, independent of playing position. This study provides novel ﬁndings regarding the physical demands of different playing positions in competitive international female match play and provides important insights for physical coaches preparing elite female players for competition.","container-title":"Journal of Strength and Conditioning Research","DOI":"10.1519/JSC.0000000000001575","ISSN":"1064-8011","issue":"9","language":"en","page":"2379-2387","source":"DOI.org (Crossref)","title":"Match Physical Performance of Elite Female Soccer Players During International Competition","volume":"31","author":[{"family":"Datson","given":"Naomi"},{"family":"Drust","given":"Barry"},{"family":"Weston","given":"Matthew"},{"family":"Jarman","given":"Ian H."},{"family":"Lisboa","given":"Paulo J."},{"family":"Gregson","given":"Warren"}],"issued":{"date-parts":[["2017",9]]}}},{"id":16,"uris":["http://zotero.org/users/local/AE0gAnhG/items/55THN3RN"],"uri":["http://zotero.org/users/local/AE0gAnhG/items/55THN3RN"],"itemData":{"id":16,"type":"article-journal","abstract":"The present study aimed to analyse the inﬂuence of speed and power abilities in goal situations in professional football. During the second half of the season 2007/08, videos of 360 goals in the ﬁrst German national league were analysed by visual inspection. For the assisting and the scoring player the situations immediately preceding the goal were evaluated. The observed actions were categorised as: no powerful action, rotation (around the body’s centre-line), straight sprint, change-indirection sprint, jump, or a combination of those categories.","container-title":"Journal of Sports Sciences","DOI":"10.1080/02640414.2012.665940","ISSN":"0264-0414, 1466-447X","issue":"7","journalAbbreviation":"Journal of Sports Sciences","language":"en","page":"625-631","source":"DOI.org (Crossref)","title":"Straight sprinting is the most frequent action in goal situations in professional football","volume":"30","author":[{"family":"Faude","given":"Oliver"},{"family":"Koch","given":"Thorsten"},{"family":"Meyer","given":"Tim"}],"issued":{"date-parts":[["2012",4]]}}},{"id":18,"uris":["http://zotero.org/users/local/AE0gAnhG/items/TU3T47J6"],"uri":["http://zotero.org/users/local/AE0gAnhG/items/TU3T47J6"],"itemData":{"id":18,"type":"article-journal","abstract":"We sought to study the physical demands and match performance of women soccer players. Nineteen top-class and 15 high-level players were individually videotaped in competitive matches, and time-motion analysis were performed. The players changed locomotor activity .1,300 times in a game corresponding to every ~4 seconds and covered 9–11 km in total. The topclass players ran 28% longer (P , 0.05) at high intensities than high-level players (1.68 6 0.09 and 1.33 6 0.10 km, respectively) and sprinted 24% longer (P , 0.05). The top-class group had a decrease (P , 0.05) of 25–57% in high intensity running in the ﬁnal 15 minutes compared with the ﬁrst four 15-minutes intervals, whereas the high-level group performed less (P , 0.05) highintensity running in the last 15 minutes of each half in comparison with the 2 previous 15-minute periods in the respective half. Peak distance covered by high intensity running in a 5-minute interval was 33% longer (P , 0.05) for the top-class players than the high-level players. In the following 5 minutes immediately after the peak interval top-class players covered 17% less (P , 0.05) highintensity running than the game average. Defenders performed fewer (P , 0.05) intervals of high-intensity running than midﬁelders and attackers, as well as fewer (P , 0.05) sprints than the attackers. In conclusion, for women soccer players (1) top-class international players perform more intervals of high-intensity running than elite players at a lower level, (2) fatigue develops temporarily during and towards the end of a game, and (3) defenders have lower work rates than midﬁelders and attackers. The difference in high-intensity running between the 2 levels demonstrates the importance of intense intermittent exercise for match performance in women soccer. Thus, these aspects should be trained intensively in women soccer.","container-title":"Journal of Strength and Conditioning Research","DOI":"10.1519/JSC.0b013e318165fef6","ISSN":"1064-8011","issue":"2","language":"en","page":"341-349","source":"DOI.org (Crossref)","title":"Match Activities of Elite Women Soccer Players at Different Performance Levels","volume":"22","author":[{"family":"Mohr","given":"Magni"},{"family":"Krustrup","given":"Peter"},{"family":"Andersson","given":"Helena"},{"family":"Kirkendal","given":"Donald"},{"family":"Bangsbo","given":"Jens"}],"issued":{"date-parts":[["2008",3]]}}},{"id":20,"uris":["http://zotero.org/users/local/AE0gAnhG/items/XQ3W2VA9"],"uri":["http://zotero.org/users/local/AE0gAnhG/items/XQ3W2VA9"],"itemData":{"id":20,"type":"article-journal","abstract":"We propose that physiological and performance tests used in sport science research and professional practice should be developed following a rigorous validation process, as is done in other scientific fields, such as clinimetrics, an area of research that focuses on the quality of clinical measurement and uses methods derived from psychometrics. In this commentary, we briefly review some of the attributes that must be explored when validating a test: the conceptual model, validity, reliability, and responsiveness. Examples from the sport science literature are provided.","container-title":"International Journal of Sports Physiology and Performance","DOI":"10.1123/ijspp.4.2.269","ISSN":"1555-0265, 1555-0273","issue":"2","language":"en","page":"269-277","source":"DOI.org (Crossref)","title":"Test Validation in Sport Physiology: Lessons Learned From Clinimetrics","title-short":"Test Validation in Sport Physiology","volume":"4","author":[{"family":"Impellizzeri","given":"Franco M."},{"family":"Marcora","given":"Samuele M."}],"issued":{"date-parts":[["2009",6]]}}},{"id":"kUUJ2AFb/Fkwdudx8","uris":["http://zotero.org/users/local/AE0gAnhG/items/XVXS8WYE"],"uri":["http://zotero.org/users/local/AE0gAnhG/items/XVXS8WYE"],"itemData":{"id":24,"type":"article-journal","container-title":"Sports Medicine","DOI":"10.2165/00007256-200535060-00004","ISSN":"0112-1642","issue":"6","journalAbbreviation":"Sports Medicine","language":"en","page":"501-536","source":"DOI.org (Crossref)","title":"Physiology of Soccer: An Update","title-short":"Physiology of Soccer","volume":"35","author":[{"family":"Stolen","given":"Tomas"},{"family":"Chamari","given":"Karim"},{"family":"Castagna","given":"Carlo"},{"family":"Wisl??ff","given":"Ulrik"}],"issued":{"date-parts":[["2005"]]}}}],"schema":"https://github.com/citation-style-language/schema/raw/master/csl-citation.json"} </w:instrText>
      </w:r>
      <w:r>
        <w:rPr>
          <w:rFonts w:eastAsia="Calibri"/>
          <w:color w:val="000000" w:themeColor="text1"/>
        </w:rPr>
        <w:fldChar w:fldCharType="separate"/>
      </w:r>
      <w:r w:rsidR="00A709BD" w:rsidRPr="00A709BD">
        <w:rPr>
          <w:color w:val="000000"/>
        </w:rPr>
        <w:t>(3,7–11)</w:t>
      </w:r>
      <w:r>
        <w:rPr>
          <w:rFonts w:eastAsia="Calibri"/>
          <w:color w:val="000000" w:themeColor="text1"/>
        </w:rPr>
        <w:fldChar w:fldCharType="end"/>
      </w:r>
      <w:r w:rsidR="009920AD">
        <w:rPr>
          <w:rFonts w:eastAsia="Calibri"/>
          <w:color w:val="000000" w:themeColor="text1"/>
        </w:rPr>
        <w:t>.</w:t>
      </w:r>
    </w:p>
    <w:p w14:paraId="1A0462F4" w14:textId="77777777" w:rsidR="00B227C8" w:rsidRDefault="00B227C8" w:rsidP="00A709BD">
      <w:pPr>
        <w:jc w:val="both"/>
        <w:rPr>
          <w:rFonts w:eastAsia="Calibri"/>
          <w:color w:val="000000" w:themeColor="text1"/>
        </w:rPr>
      </w:pPr>
    </w:p>
    <w:p w14:paraId="4F15336D" w14:textId="502DB508" w:rsidR="00B227C8" w:rsidRDefault="009920AD" w:rsidP="00A709BD">
      <w:pPr>
        <w:jc w:val="both"/>
        <w:rPr>
          <w:rFonts w:eastAsia="Calibri"/>
          <w:color w:val="000000" w:themeColor="text1"/>
        </w:rPr>
      </w:pPr>
      <w:r>
        <w:rPr>
          <w:rFonts w:eastAsia="Calibri"/>
          <w:color w:val="000000" w:themeColor="text1"/>
        </w:rPr>
        <w:t xml:space="preserve">Despite women’s soccer research being comparatively under-researched relative to male soccer </w:t>
      </w:r>
      <w:r>
        <w:rPr>
          <w:rFonts w:eastAsia="Calibri"/>
          <w:color w:val="000000" w:themeColor="text1"/>
        </w:rPr>
        <w:fldChar w:fldCharType="begin"/>
      </w:r>
      <w:r>
        <w:rPr>
          <w:rFonts w:eastAsia="Calibri"/>
          <w:color w:val="000000" w:themeColor="text1"/>
        </w:rPr>
        <w:instrText xml:space="preserve"> ADDIN ZOTERO_ITEM CSL_CITATION {"citationID":"UX9d4Dmg","properties":{"formattedCitation":"(12)","plainCitation":"(12)","noteIndex":0},"citationItems":[{"id":27,"uris":["http://zotero.org/users/local/AE0gAnhG/items/24DB2FVY"],"uri":["http://zotero.org/users/local/AE0gAnhG/items/24DB2FVY"],"itemData":{"id":27,"type":"article-journal","abstract":"Methods: Five databases were searched on the 15/12/2019. Studies were included when containing original research published in apeer-reviewed journal around female competitive football of any level, any age and on any subject. Author, journal, title and abstract of all included studies were scoped. Population assessed number of participants, level of play, age level of football and publication theme(s) were extracted.\nResults: A total of 1,634 articles were scoped. The oldest publication dated back to 1939, whilst atotal of 202 studies were gathered from 2019. The publication theme most frequently researched was sports medicine (N = 521) followed by strength and conditioning (N = 331) and sociology (N = 299). The majority of studies has focussed on elite (N = 442), senior (N = 977) players.\nConclusion: A continuous growth in research attention has been seen. However, the numbers are not comparable to current research output levels in men’s football. This study represents an essential rst step in alarger ‘research agenda-setting’ project to determine research priorities for women’s football during the next 10 years.","container-title":"Science and Medicine in Football","DOI":"10.1080/24733938.2020.1868560","ISSN":"2473-3938, 2473-4446","journalAbbreviation":"Science and Medicine in Football","language":"en","page":"1-10","source":"DOI.org (Crossref)","title":"Research on women’s football: a scoping review","title-short":"Research on women’s football","author":[{"family":"Okholm Kryger","given":"Katrine"},{"family":"Wang","given":"Albert"},{"family":"Mehta","given":"Ritan"},{"family":"Impellizzeri","given":"Franco M."},{"family":"Massey","given":"Andrew"},{"family":"McCall","given":"Alan"}],"issued":{"date-parts":[["2021",1,8]]}}}],"schema":"https://github.com/citation-style-language/schema/raw/master/csl-citation.json"}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(12)</w:t>
      </w:r>
      <w:r>
        <w:rPr>
          <w:rFonts w:eastAsia="Calibri"/>
          <w:color w:val="000000" w:themeColor="text1"/>
        </w:rPr>
        <w:fldChar w:fldCharType="end"/>
      </w:r>
      <w:r>
        <w:rPr>
          <w:rFonts w:eastAsia="Calibri"/>
          <w:color w:val="000000" w:themeColor="text1"/>
        </w:rPr>
        <w:t xml:space="preserve">, the area of physical performance testing has received moderate attention </w:t>
      </w:r>
      <w:r>
        <w:rPr>
          <w:rFonts w:eastAsia="Calibri"/>
          <w:color w:val="000000" w:themeColor="text1"/>
        </w:rPr>
        <w:fldChar w:fldCharType="begin"/>
      </w:r>
      <w:r>
        <w:rPr>
          <w:rFonts w:eastAsia="Calibri"/>
          <w:color w:val="000000" w:themeColor="text1"/>
        </w:rPr>
        <w:instrText xml:space="preserve"> ADDIN ZOTERO_ITEM CSL_CITATION {"citationID":"83grTKNc","properties":{"formattedCitation":"(13)","plainCitation":"(13)","noteIndex":0},"citationItems":[{"id":29,"uris":["http://zotero.org/users/local/AE0gAnhG/items/F3QQ2QZX"],"uri":["http://zotero.org/users/local/AE0gAnhG/items/F3QQ2QZX"],"itemData":{"id":29,"type":"article-journal","container-title":"Sports Medicine","DOI":"10.1007/s40279-014-0199-1","ISSN":"0112-1642, 1179-2035","issue":"9","journalAbbreviation":"Sports Med","language":"en","page":"1225-1240","source":"DOI.org (Crossref)","title":"Applied Physiology of Female Soccer: An Update","title-short":"Applied Physiology of Female Soccer","volume":"44","author":[{"family":"Datson","given":"Naomi"},{"family":"Hulton","given":"Andrew"},{"family":"Andersson","given":"Helena"},{"family":"Lewis","given":"Tracy"},{"family":"Weston","given":"Matthew"},{"family":"Drust","given":"Barry"},{"family":"Gregson","given":"Warren"}],"issued":{"date-parts":[["2014",9]]}}}],"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(13)</w:t>
      </w:r>
      <w:r>
        <w:rPr>
          <w:rFonts w:eastAsia="Calibri"/>
          <w:color w:val="000000" w:themeColor="text1"/>
        </w:rPr>
        <w:fldChar w:fldCharType="end"/>
      </w:r>
      <w:r>
        <w:rPr>
          <w:rFonts w:eastAsia="Calibri"/>
          <w:color w:val="000000" w:themeColor="text1"/>
        </w:rPr>
        <w:t xml:space="preserve">, with a focus on exploring </w:t>
      </w:r>
      <w:r w:rsidR="00A566AC">
        <w:rPr>
          <w:rFonts w:eastAsia="Calibri"/>
          <w:color w:val="000000" w:themeColor="text1"/>
        </w:rPr>
        <w:t xml:space="preserve">age group </w:t>
      </w:r>
      <w:r>
        <w:rPr>
          <w:rFonts w:eastAsia="Calibri"/>
          <w:color w:val="000000" w:themeColor="text1"/>
        </w:rPr>
        <w:t xml:space="preserve">differences </w:t>
      </w:r>
      <w:r>
        <w:rPr>
          <w:rFonts w:eastAsia="Calibri"/>
          <w:color w:val="000000" w:themeColor="text1"/>
        </w:rPr>
        <w:fldChar w:fldCharType="begin"/>
      </w:r>
      <w:r>
        <w:rPr>
          <w:rFonts w:eastAsia="Calibri"/>
          <w:color w:val="000000" w:themeColor="text1"/>
        </w:rPr>
        <w:instrText xml:space="preserve"> ADDIN ZOTERO_ITEM CSL_CITATION {"citationID":"dalK8Zav","properties":{"formattedCitation":"(2,14)","plainCitation":"(2,14)","noteIndex":0},"citationItems":[{"id":4,"uris":["http://zotero.org/users/local/AE0gAnhG/items/X5CI53EL"],"uri":["http://zotero.org/users/local/AE0gAnhG/items/X5CI53EL"],"itemData":{"id":4,"type":"article-journal","abstract":"Manson, SA, Brughelli, M, and Harris, NK. Physiological characteristics of international female soccer players. J Strength Cond Res 28(2): 308–318, 2014—The purpose of this study was to investigate the physiological characteristics of Fe´de´ ration Internationale de Football Association (FIFA) eligible international female soccer players aged 14–36 years and to determine if measures were signiﬁcantly different for players selected (i.e., starters) to the starting line up for an FIFA tournament as compared with those not selected (i.e., nonstarters). Fifty-one (N = 18 Under 17; N = 18 Under 20; N = 15 Senior) international female soccer players participated in this study. The subjects underwent measurements of anthropometry (height and body mass), lower body strength (isokinetic testing), sprint kinetics and kinematics (nonmotorized treadmill), leg power (unilateral jumping), and maximal aerobic velocity (30:15 intermittent ﬁtness test) during the ﬁnal preparatory stage for an FIFA event. Outcomes of the age group data indicate that differences in physiological capacities are evident for the Under 17 players as compared with those for the Under 20 and Senior capped international players, suggesting a plateau in the acquisition of physical qualities as players mature. Starters tended to be faster (effect size [ES] = 0.55–1.0, p , 0.05) and have a higher maximal aerobic velocity (ES = 0.78–2.45, p , 0.05), along with greater eccentric leg strength (ES = 0.33–1.67, p , 0.05). Signiﬁcant differences were detected between starters and nonstarters for isokinetic leg strength (ES = 0.54–1.24, p , 0.05) and maximal aerobic velocity (ES = 0.87, p , 0.05) for Under 17 players, where maximal aerobic velocity was the primary difference between starters and nonstarters (ES = 0.83–2.45, p , 0.05) for the Under 20 and Senior players. Coaches should emphasize the development of speed, maximal aerobic velocity, and leg strength in developing female soccer players.","container-title":"Journal of Strength and Conditioning Research","DOI":"10.1519/JSC.0b013e31829b56b1","ISSN":"1064-8011","issue":"2","language":"en","page":"308-318","source":"DOI.org (Crossref)","title":"Physiological Characteristics of International Female Soccer Players","volume":"28","author":[{"family":"Manson","given":"Sarah A."},{"family":"Brughelli","given":"Matt"},{"family":"Harris","given":"Nigel K."}],"issued":{"date-parts":[["2014",2]]}}},{"id":31,"uris":["http://zotero.org/users/local/AE0gAnhG/items/2AJU4EEN"],"uri":["http://zotero.org/users/local/AE0gAnhG/items/2AJU4EEN"],"itemData":{"id":31,"type":"article-journal","abstract":"Ramos, GP, Nakamura, FY, Penna, EM, Mendes, TT, Mahseredjian, F, Lima, AM, Garcia, ES, Prado, LS, and Coimbra, CC. Comparison of physical fitness and anthropometrical profiles among Brazilian female soccer national teams from U15 to senior categories. J Strength Cond Res XX(X): 000–000, 2019—This study aimed to compare anthropometric and physical fitness of Brazilian female national team soccer players from the U15 to senior categories, and to compare the physical performance between selected and nonselected players. Subjects included 231 athletes (U15, n 5 46, U17, n 5 49, U20, n 5 98, and Senior, n 5 38). Body mass, height, sum of skinfolds, squat jump (SJ), countermovement jump (CMJ), 20-m linear sprint, and Yo-Yo IR1 were assessed. The U15 players were shorter than all other groups (p , 0.01) and lighter than U20 players (p , 0.01). Regarding physical tests, Senior athletes presented higher SJ compared with U20, and both showed higher CMJ and SJ compared with the U15 and U17 (p , 0.05). Senior athletes were also faster than players of all other categories in 20-m sprint (p , 0.01) and covered the greatest distance in the Yo-Yo IR1 (p , 0.05). U20 were better in the Yo-Yo IR1 than the younger groups (p , 0.05). When comparing selected and nonselected players, no differences were identified in anthropometric measures (p . 0.05). However, selected players from U17, U20, and Senior teams showed better performance in Yo-Yo IR1 than nonselected ones (p , 0.05). Finally, selected senior athletes also presented higher CMJ and SJ than nonselected players (p , 0.05). These results suggest that, although there is a tendency for maintenance in anthropometric measures from the age of 15 years, there are substantial improvements in speed, lower-body power, and aerobic capacity from U20 age group. In addition, it seems that intermittent aerobic fitness contributes to the selection of players to international tournaments in national teams.","container-title":"Journal of Strength and Conditioning Research","DOI":"10.1519/JSC.0000000000003140","ISSN":"1064-8011","issue":"8","language":"en","page":"2302-2308","source":"DOI.org (Crossref)","title":"Comparison of Physical Fitness and Anthropometrical Profiles Among Brazilian Female Soccer National Teams From U15 to Senior Categories","volume":"35","author":[{"family":"Ramos","given":"Guilherme P."},{"family":"Nakamura","given":"Fabio Y."},{"family":"Penna","given":"Eduardo M."},{"family":"Mendes","given":"Thiago T."},{"family":"Mahseredjian","given":"Fábio"},{"family":"Lima","given":"Andre M."},{"family":"Garcia","given":"Emerson S."},{"family":"Prado","given":"Luciano S."},{"family":"Coimbra","given":"Cândido C."}],"issued":{"date-parts":[["2021",8]]}}}],"schema":"https://github.com/citation-style-language/schema/raw/master/csl-citation.json"}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(2,14)</w:t>
      </w:r>
      <w:r>
        <w:rPr>
          <w:rFonts w:eastAsia="Calibri"/>
          <w:color w:val="000000" w:themeColor="text1"/>
        </w:rPr>
        <w:fldChar w:fldCharType="end"/>
      </w:r>
      <w:r>
        <w:rPr>
          <w:rFonts w:eastAsia="Calibri"/>
          <w:color w:val="000000" w:themeColor="text1"/>
        </w:rPr>
        <w:t xml:space="preserve">. Previous research has shown high-intensity endurance capacity to differentiate between age groups with national team senior players achieving higher scores than their U15, U17 and U20 counterparts </w:t>
      </w:r>
      <w:r>
        <w:rPr>
          <w:rFonts w:eastAsia="Calibri"/>
          <w:color w:val="000000" w:themeColor="text1"/>
        </w:rPr>
        <w:fldChar w:fldCharType="begin"/>
      </w:r>
      <w:r>
        <w:rPr>
          <w:rFonts w:eastAsia="Calibri"/>
          <w:color w:val="000000" w:themeColor="text1"/>
        </w:rPr>
        <w:instrText xml:space="preserve"> ADDIN ZOTERO_ITEM CSL_CITATION {"citationID":"t5NltfA2","properties":{"formattedCitation":"(2,14,15)","plainCitation":"(2,14,15)","noteIndex":0},"citationItems":[{"id":4,"uris":["http://zotero.org/users/local/AE0gAnhG/items/X5CI53EL"],"uri":["http://zotero.org/users/local/AE0gAnhG/items/X5CI53EL"],"itemData":{"id":4,"type":"article-journal","abstract":"Manson, SA, Brughelli, M, and Harris, NK. Physiological characteristics of international female soccer players. J Strength Cond Res 28(2): 308–318, 2014—The purpose of this study was to investigate the physiological characteristics of Fe´de´ ration Internationale de Football Association (FIFA) eligible international female soccer players aged 14–36 years and to determine if measures were signiﬁcantly different for players selected (i.e., starters) to the starting line up for an FIFA tournament as compared with those not selected (i.e., nonstarters). Fifty-one (N = 18 Under 17; N = 18 Under 20; N = 15 Senior) international female soccer players participated in this study. The subjects underwent measurements of anthropometry (height and body mass), lower body strength (isokinetic testing), sprint kinetics and kinematics (nonmotorized treadmill), leg power (unilateral jumping), and maximal aerobic velocity (30:15 intermittent ﬁtness test) during the ﬁnal preparatory stage for an FIFA event. Outcomes of the age group data indicate that differences in physiological capacities are evident for the Under 17 players as compared with those for the Under 20 and Senior capped international players, suggesting a plateau in the acquisition of physical qualities as players mature. Starters tended to be faster (effect size [ES] = 0.55–1.0, p , 0.05) and have a higher maximal aerobic velocity (ES = 0.78–2.45, p , 0.05), along with greater eccentric leg strength (ES = 0.33–1.67, p , 0.05). Signiﬁcant differences were detected between starters and nonstarters for isokinetic leg strength (ES = 0.54–1.24, p , 0.05) and maximal aerobic velocity (ES = 0.87, p , 0.05) for Under 17 players, where maximal aerobic velocity was the primary difference between starters and nonstarters (ES = 0.83–2.45, p , 0.05) for the Under 20 and Senior players. Coaches should emphasize the development of speed, maximal aerobic velocity, and leg strength in developing female soccer players.","container-title":"Journal of Strength and Conditioning Research","DOI":"10.1519/JSC.0b013e31829b56b1","ISSN":"1064-8011","issue":"2","language":"en","page":"308-318","source":"DOI.org (Crossref)","title":"Physiological Characteristics of International Female Soccer Players","volume":"28","author":[{"family":"Manson","given":"Sarah A."},{"family":"Brughelli","given":"Matt"},{"family":"Harris","given":"Nigel K."}],"issued":{"date-parts":[["2014",2]]}}},{"id":31,"uris":["http://zotero.org/users/local/AE0gAnhG/items/2AJU4EEN"],"uri":["http://zotero.org/users/local/AE0gAnhG/items/2AJU4EEN"],"itemData":{"id":31,"type":"article-journal","abstract":"Ramos, GP, Nakamura, FY, Penna, EM, Mendes, TT, Mahseredjian, F, Lima, AM, Garcia, ES, Prado, LS, and Coimbra, CC. Comparison of physical fitness and anthropometrical profiles among Brazilian female soccer national teams from U15 to senior categories. J Strength Cond Res XX(X): 000–000, 2019—This study aimed to compare anthropometric and physical fitness of Brazilian female national team soccer players from the U15 to senior categories, and to compare the physical performance between selected and nonselected players. Subjects included 231 athletes (U15, n 5 46, U17, n 5 49, U20, n 5 98, and Senior, n 5 38). Body mass, height, sum of skinfolds, squat jump (SJ), countermovement jump (CMJ), 20-m linear sprint, and Yo-Yo IR1 were assessed. The U15 players were shorter than all other groups (p , 0.01) and lighter than U20 players (p , 0.01). Regarding physical tests, Senior athletes presented higher SJ compared with U20, and both showed higher CMJ and SJ compared with the U15 and U17 (p , 0.05). Senior athletes were also faster than players of all other categories in 20-m sprint (p , 0.01) and covered the greatest distance in the Yo-Yo IR1 (p , 0.05). U20 were better in the Yo-Yo IR1 than the younger groups (p , 0.05). When comparing selected and nonselected players, no differences were identified in anthropometric measures (p . 0.05). However, selected players from U17, U20, and Senior teams showed better performance in Yo-Yo IR1 than nonselected ones (p , 0.05). Finally, selected senior athletes also presented higher CMJ and SJ than nonselected players (p , 0.05). These results suggest that, although there is a tendency for maintenance in anthropometric measures from the age of 15 years, there are substantial improvements in speed, lower-body power, and aerobic capacity from U20 age group. In addition, it seems that intermittent aerobic fitness contributes to the selection of players to international tournaments in national teams.","container-title":"Journal of Strength and Conditioning Research","DOI":"10.1519/JSC.0000000000003140","ISSN":"1064-8011","issue":"8","language":"en","page":"2302-2308","source":"DOI.org (Crossref)","title":"Comparison of Physical Fitness and Anthropometrical Profiles Among Brazilian Female Soccer National Teams From U15 to Senior Categories","volume":"35","author":[{"family":"Ramos","given":"Guilherme P."},{"family":"Nakamura","given":"Fabio Y."},{"family":"Penna","given":"Eduardo M."},{"family":"Mendes","given":"Thiago T."},{"family":"Mahseredjian","given":"Fábio"},{"family":"Lima","given":"Andre M."},{"family":"Garcia","given":"Emerson S."},{"family":"Prado","given":"Luciano S."},{"family":"Coimbra","given":"Cândido C."}],"issued":{"date-parts":[["2021",8]]}}},{"id":33,"uris":["http://zotero.org/users/local/AE0gAnhG/items/7HLGW2VL"],"uri":["http://zotero.org/users/local/AE0gAnhG/items/7HLGW2VL"],"itemData":{"id":33,"type":"article-journal","container-title":"Scandinavian Journal of Medicine &amp; Science in Sports","DOI":"10.1111/j.1600-0838.2012.01483.x","ISSN":"09057188","issue":"1","journalAbbreviation":"Scand J Med Sci Sports","language":"en","page":"43-54","source":"DOI.org (Crossref)","title":"The Application of the Yo-Yo Intermittent Endurance Level 2 Test to Elite Female Soccer Populations: Yo-Yo IE2 testing in female soccer players","title-short":"The Application of the Yo-Yo Intermittent Endurance Level 2 Test to Elite Female Soccer Populations","volume":"24","author":[{"family":"Bradley","given":"P. S."},{"family":"Bendiksen","given":"M."},{"family":"Dellal","given":"A."},{"family":"Mohr","given":"M."},{"family":"Wilkie","given":"A."},{"family":"Datson","given":"N."},{"family":"Orntoft","given":"C."},{"family":"Zebis","given":"M."},{"family":"Gomez-Diaz","given":"A."},{"family":"Bangsbo","given":"J."},{"family":"Krustrup","given":"P."}],"issued":{"date-parts":[["2014",2]]}}}],"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(2,14,15)</w:t>
      </w:r>
      <w:r>
        <w:rPr>
          <w:rFonts w:eastAsia="Calibri"/>
          <w:color w:val="000000" w:themeColor="text1"/>
        </w:rPr>
        <w:fldChar w:fldCharType="end"/>
      </w:r>
      <w:r>
        <w:rPr>
          <w:rFonts w:eastAsia="Calibri"/>
          <w:color w:val="000000" w:themeColor="text1"/>
        </w:rPr>
        <w:t>. Similarly, a general improvement in linear speed performance has been demonstrated through adolescence to the age of 23 years in national team players</w:t>
      </w:r>
      <w:r w:rsidR="00D3048A">
        <w:rPr>
          <w:rFonts w:eastAsia="Calibri"/>
          <w:color w:val="000000" w:themeColor="text1"/>
        </w:rPr>
        <w:t xml:space="preserve"> </w:t>
      </w:r>
      <w:r w:rsidR="00D3048A">
        <w:rPr>
          <w:rFonts w:eastAsia="Calibri"/>
          <w:color w:val="000000" w:themeColor="text1"/>
        </w:rPr>
        <w:fldChar w:fldCharType="begin"/>
      </w:r>
      <w:r w:rsidR="00D3048A">
        <w:rPr>
          <w:rFonts w:eastAsia="Calibri"/>
          <w:color w:val="000000" w:themeColor="text1"/>
        </w:rPr>
        <w:instrText xml:space="preserve"> ADDIN ZOTERO_ITEM CSL_CITATION {"citationID":"GOm8HwkJ","properties":{"formattedCitation":"(16)","plainCitation":"(16)","noteIndex":0},"citationItems":[{"id":35,"uris":["http://zotero.org/users/local/AE0gAnhG/items/PY849LYP"],"uri":["http://zotero.org/users/local/AE0gAnhG/items/PY849LYP"],"itemData":{"id":35,"type":"article-journal","abstract":"Objectives: Signiﬁcant resources are invested in maximizing player performance without extensive knowledge of the athletic progression of elite female soccer players during their career. The aim of the current study was therefore to investigate the change in physical performance characteristics in 12- to 34-year-old female soccer players in a national team program. Design: Mixed-longitudinal study.\nMethods: Physical performance was assessed across ﬁve years and 657 testing occasions (n = 143) using anthropometrics, 40 m sprint (10 m split), broad jump, countermovement jump, squat jump, and 30-15 intermittent ﬁtness test (IFT).\nResults: Using a Gaussian mixture model, Youth and Senior groups were bifurcated at approximately 23 years old. Subsequent linear mixed models for each group and variable identiﬁed signiﬁcant improvements in the Youth group in maximal speed (30−40 m split), broad jump, countermovement jump, and ﬁnal velocity30−15IFT (p ≤ 0.002), and a decrease in squat jump height with increasing age (p = 0.04). The Senior group recorded slower 10 m sprint time and a decrease in squat jump height with increasing age (p &lt; 0.001). Body mass increased from 12 to 34 years old (Youth and Senior: p ≤ 0.001). The Youth group signiﬁcantly differed in the rate of change compared to the Senior group in body mass, 10 m sprint time, countermovement jump, squat jump, and ﬁnal velocity30-15IFT (p ≤ 0.001).\nConclusions: This information can be used to identify average rates of physical performance improvement and decay to help guide optimal physical training and maximize the longevity of a female soccer players’ career.","container-title":"Journal of Science and Medicine in Sport","DOI":"10.1016/j.jsams.2020.12.009","ISSN":"14402440","issue":"6","journalAbbreviation":"Journal of Science and Medicine in Sport","language":"en","page":"597-602","source":"DOI.org (Crossref)","title":"Physical performance development in a female national team soccer program","volume":"24","author":[{"family":"Poehling","given":"Robert A."},{"family":"Tsai","given":"Ming-Chang"},{"family":"Manson","given":"Sarah A."},{"family":"Koehle","given":"Michael S."},{"family":"Meylan","given":"Cesar M.P."}],"issued":{"date-parts":[["2021",6]]}}}],"schema":"https://github.com/citation-style-language/schema/raw/master/csl-citation.json"} </w:instrText>
      </w:r>
      <w:r w:rsidR="00D3048A">
        <w:rPr>
          <w:rFonts w:eastAsia="Calibri"/>
          <w:color w:val="000000" w:themeColor="text1"/>
        </w:rPr>
        <w:fldChar w:fldCharType="separate"/>
      </w:r>
      <w:r w:rsidR="00A709BD">
        <w:rPr>
          <w:rFonts w:eastAsia="Calibri"/>
          <w:noProof/>
          <w:color w:val="000000" w:themeColor="text1"/>
        </w:rPr>
        <w:t>(16)</w:t>
      </w:r>
      <w:r w:rsidR="00D3048A">
        <w:rPr>
          <w:rFonts w:eastAsia="Calibri"/>
          <w:color w:val="000000" w:themeColor="text1"/>
        </w:rPr>
        <w:fldChar w:fldCharType="end"/>
      </w:r>
      <w:r w:rsidR="00D3048A">
        <w:rPr>
          <w:rFonts w:eastAsia="Calibri"/>
          <w:color w:val="000000" w:themeColor="text1"/>
        </w:rPr>
        <w:t xml:space="preserve">, with senior players also exhibiting faster 20 m linear speed times compared to U15, U17 and U20 national team players </w:t>
      </w:r>
      <w:r w:rsidR="00D3048A">
        <w:rPr>
          <w:rFonts w:eastAsia="Calibri"/>
          <w:color w:val="000000" w:themeColor="text1"/>
        </w:rPr>
        <w:fldChar w:fldCharType="begin"/>
      </w:r>
      <w:r w:rsidR="00D3048A">
        <w:rPr>
          <w:rFonts w:eastAsia="Calibri"/>
          <w:color w:val="000000" w:themeColor="text1"/>
        </w:rPr>
        <w:instrText xml:space="preserve"> ADDIN ZOTERO_ITEM CSL_CITATION {"citationID":"OAI8qJ0V","properties":{"formattedCitation":"(14)","plainCitation":"(14)","noteIndex":0},"citationItems":[{"id":31,"uris":["http://zotero.org/users/local/AE0gAnhG/items/2AJU4EEN"],"uri":["http://zotero.org/users/local/AE0gAnhG/items/2AJU4EEN"],"itemData":{"id":31,"type":"article-journal","abstract":"Ramos, GP, Nakamura, FY, Penna, EM, Mendes, TT, Mahseredjian, F, Lima, AM, Garcia, ES, Prado, LS, and Coimbra, CC. Comparison of physical fitness and anthropometrical profiles among Brazilian female soccer national teams from U15 to senior categories. J Strength Cond Res XX(X): 000–000, 2019—This study aimed to compare anthropometric and physical fitness of Brazilian female national team soccer players from the U15 to senior categories, and to compare the physical performance between selected and nonselected players. Subjects included 231 athletes (U15, n 5 46, U17, n 5 49, U20, n 5 98, and Senior, n 5 38). Body mass, height, sum of skinfolds, squat jump (SJ), countermovement jump (CMJ), 20-m linear sprint, and Yo-Yo IR1 were assessed. The U15 players were shorter than all other groups (p , 0.01) and lighter than U20 players (p , 0.01). Regarding physical tests, Senior athletes presented higher SJ compared with U20, and both showed higher CMJ and SJ compared with the U15 and U17 (p , 0.05). Senior athletes were also faster than players of all other categories in 20-m sprint (p , 0.01) and covered the greatest distance in the Yo-Yo IR1 (p , 0.05). U20 were better in the Yo-Yo IR1 than the younger groups (p , 0.05). When comparing selected and nonselected players, no differences were identified in anthropometric measures (p . 0.05). However, selected players from U17, U20, and Senior teams showed better performance in Yo-Yo IR1 than nonselected ones (p , 0.05). Finally, selected senior athletes also presented higher CMJ and SJ than nonselected players (p , 0.05). These results suggest that, although there is a tendency for maintenance in anthropometric measures from the age of 15 years, there are substantial improvements in speed, lower-body power, and aerobic capacity from U20 age group. In addition, it seems that intermittent aerobic fitness contributes to the selection of players to international tournaments in national teams.","container-title":"Journal of Strength and Conditioning Research","DOI":"10.1519/JSC.0000000000003140","ISSN":"1064-8011","issue":"8","language":"en","page":"2302-2308","source":"DOI.org (Crossref)","title":"Comparison of Physical Fitness and Anthropometrical Profiles Among Brazilian Female Soccer National Teams From U15 to Senior Categories","volume":"35","author":[{"family":"Ramos","given":"Guilherme P."},{"family":"Nakamura","given":"Fabio Y."},{"family":"Penna","given":"Eduardo M."},{"family":"Mendes","given":"Thiago T."},{"family":"Mahseredjian","given":"Fábio"},{"family":"Lima","given":"Andre M."},{"family":"Garcia","given":"Emerson S."},{"family":"Prado","given":"Luciano S."},{"family":"Coimbra","given":"Cândido C."}],"issued":{"date-parts":[["2021",8]]}}}],"schema":"https://github.com/citation-style-language/schema/raw/master/csl-citation.json"} </w:instrText>
      </w:r>
      <w:r w:rsidR="00D3048A">
        <w:rPr>
          <w:rFonts w:eastAsia="Calibri"/>
          <w:color w:val="000000" w:themeColor="text1"/>
        </w:rPr>
        <w:fldChar w:fldCharType="separate"/>
      </w:r>
      <w:r w:rsidR="00A709BD">
        <w:rPr>
          <w:rFonts w:eastAsia="Calibri"/>
          <w:noProof/>
          <w:color w:val="000000" w:themeColor="text1"/>
        </w:rPr>
        <w:t>(14)</w:t>
      </w:r>
      <w:r w:rsidR="00D3048A">
        <w:rPr>
          <w:rFonts w:eastAsia="Calibri"/>
          <w:color w:val="000000" w:themeColor="text1"/>
        </w:rPr>
        <w:fldChar w:fldCharType="end"/>
      </w:r>
      <w:r w:rsidR="00D3048A">
        <w:rPr>
          <w:rFonts w:eastAsia="Calibri"/>
          <w:color w:val="000000" w:themeColor="text1"/>
        </w:rPr>
        <w:t xml:space="preserve">. However, 40 m linear speed was consistent in elite players from U18 to &gt; 25 years </w:t>
      </w:r>
      <w:r w:rsidR="00D3048A">
        <w:rPr>
          <w:rFonts w:eastAsia="Calibri"/>
          <w:color w:val="000000" w:themeColor="text1"/>
        </w:rPr>
        <w:fldChar w:fldCharType="begin"/>
      </w:r>
      <w:r w:rsidR="00D3048A">
        <w:rPr>
          <w:rFonts w:eastAsia="Calibri"/>
          <w:color w:val="000000" w:themeColor="text1"/>
        </w:rPr>
        <w:instrText xml:space="preserve"> ADDIN ZOTERO_ITEM CSL_CITATION {"citationID":"TheXPw9E","properties":{"formattedCitation":"(17)","plainCitation":"(17)","noteIndex":0},"citationItems":[{"id":37,"uris":["http://zotero.org/users/local/AE0gAnhG/items/IJGFMXFN"],"uri":["http://zotero.org/users/local/AE0gAnhG/items/IJGFMXFN"],"itemData":{"id":37,"type":"article-journal","abstract":"Purpose:\n              The purpose of this investigation was to compare sprint and countermovement-jump (CMJ) performance among female competitive soccer players as a function of performance level, field position, and age. In addition, the authors wanted to quantify the evolution of these physical characteristics among elite players over a 15-y period.\n            \n            \n              Methods:\n              194 female elite players (22± 4.1 y, 63 ± 5.6 kg), including an Olympic winning squad, tested 40-m sprint with electronic timing and CMJ on a force platform at the Norwegian Olympic training center from 1995 to 2010.\n            \n            \n              Results:\n              \n                Moderate to large velocity differences across performance levels and positions were observed. National-team players were 2% faster than 1st-division players (\n                P\n                = .027,\n                d\n                = 0.5) and 5% faster than 2nd-division players (\n                P\n                &lt; .001,\n                d\n                = 1.3) over 0–20 m. National-team players jumped 8–9% higher than 1st-division players (\n                P\n                = .001,\n                d\n                = 0.6) and junior elite players (\n                P\n                = .023,\n                d\n                = 0.5). Forwards were 3–4% faster than midfielders (\n                P\n                &lt; .001,\n                d\n                = 0.8) and goalkeepers (\n                P\n                = .003,\n                d\n                = 0.9) over 0–20 m. No differences in velocity or CMJ height were observed among the age categories. Players from 2006–2010 were 2% faster (\n                P\n                &lt; .05,\n                d\n                = 0.6) than players from 1995–1999 over 20 m, whereas no differences in 20- to 40-m velocity or CMJ performance were observed.\n              \n            \n            \n              Conclusions:\n              This study provides effect-magnitude estimates for the influence of performance level, age, and player position on sprint and CMJ performance in female soccer players. While 20- to 40-m velocity and CMJ performance have remained stable over the time, there has been a moderate but positive development in 0- to 20-m velocity among elite performers.","container-title":"International Journal of Sports Physiology and Performance","DOI":"10.1123/ijspp.7.4.340","ISSN":"1555-0265, 1555-0273","issue":"4","language":"en","page":"340-349","source":"DOI.org (Crossref)","title":"Speed and Countermovement-Jump Characteristics of Elite Female Soccer Players, 1995–2010","volume":"7","author":[{"family":"Haugen","given":"Thomas A."},{"family":"Tønnessen","given":"Espen"},{"family":"Seiler","given":"Stephen"}],"issued":{"date-parts":[["2012",12]]}}}],"schema":"https://github.com/citation-style-language/schema/raw/master/csl-citation.json"} </w:instrText>
      </w:r>
      <w:r w:rsidR="00D3048A">
        <w:rPr>
          <w:rFonts w:eastAsia="Calibri"/>
          <w:color w:val="000000" w:themeColor="text1"/>
        </w:rPr>
        <w:fldChar w:fldCharType="separate"/>
      </w:r>
      <w:r w:rsidR="00A709BD">
        <w:rPr>
          <w:rFonts w:eastAsia="Calibri"/>
          <w:noProof/>
          <w:color w:val="000000" w:themeColor="text1"/>
        </w:rPr>
        <w:t>(17)</w:t>
      </w:r>
      <w:r w:rsidR="00D3048A">
        <w:rPr>
          <w:rFonts w:eastAsia="Calibri"/>
          <w:color w:val="000000" w:themeColor="text1"/>
        </w:rPr>
        <w:fldChar w:fldCharType="end"/>
      </w:r>
      <w:r w:rsidR="00D3048A">
        <w:rPr>
          <w:rFonts w:eastAsia="Calibri"/>
          <w:color w:val="000000" w:themeColor="text1"/>
        </w:rPr>
        <w:t xml:space="preserve">. Jumping performance has also been shown to increase through adolescence in high-level </w:t>
      </w:r>
      <w:r w:rsidR="00D3048A">
        <w:rPr>
          <w:rFonts w:eastAsia="Calibri"/>
          <w:color w:val="000000" w:themeColor="text1"/>
        </w:rPr>
        <w:fldChar w:fldCharType="begin"/>
      </w:r>
      <w:r w:rsidR="00D3048A">
        <w:rPr>
          <w:rFonts w:eastAsia="Calibri"/>
          <w:color w:val="000000" w:themeColor="text1"/>
        </w:rPr>
        <w:instrText xml:space="preserve"> ADDIN ZOTERO_ITEM CSL_CITATION {"citationID":"QMYcbDgi","properties":{"formattedCitation":"(18)","plainCitation":"(18)","noteIndex":0},"citationItems":[{"id":39,"uris":["http://zotero.org/users/local/AE0gAnhG/items/BTHRG6IX"],"uri":["http://zotero.org/users/local/AE0gAnhG/items/BTHRG6IX"],"itemData":{"id":39,"type":"article-journal","container-title":"Scandinavian Journal of Medicine &amp; Science in Sports","DOI":"10.1111/j.1600-0838.2009.01081.x","ISSN":"09057188","issue":"5","language":"en","page":"670-678","source":"DOI.org (Crossref)","title":"Physical performance characteristics of high-level female soccer players 12-21 years of age: Performance characteristics of female soccer players","title-short":"Physical performance characteristics of high-level female soccer players 12-21 years of age","volume":"21","author":[{"family":"Vescovi","given":"J. D."},{"family":"Rupf","given":"R."},{"family":"Brown","given":"T. D."},{"family":"Marques","given":"M. C."}],"issued":{"date-parts":[["2011",10]]}}}],"schema":"https://github.com/citation-style-language/schema/raw/master/csl-citation.json"} </w:instrText>
      </w:r>
      <w:r w:rsidR="00D3048A">
        <w:rPr>
          <w:rFonts w:eastAsia="Calibri"/>
          <w:color w:val="000000" w:themeColor="text1"/>
        </w:rPr>
        <w:fldChar w:fldCharType="separate"/>
      </w:r>
      <w:r w:rsidR="00A709BD">
        <w:rPr>
          <w:rFonts w:eastAsia="Calibri"/>
          <w:noProof/>
          <w:color w:val="000000" w:themeColor="text1"/>
        </w:rPr>
        <w:t>(18)</w:t>
      </w:r>
      <w:r w:rsidR="00D3048A">
        <w:rPr>
          <w:rFonts w:eastAsia="Calibri"/>
          <w:color w:val="000000" w:themeColor="text1"/>
        </w:rPr>
        <w:fldChar w:fldCharType="end"/>
      </w:r>
      <w:r w:rsidR="00D3048A">
        <w:rPr>
          <w:rFonts w:eastAsia="Calibri"/>
          <w:color w:val="000000" w:themeColor="text1"/>
        </w:rPr>
        <w:t xml:space="preserve"> and elite </w:t>
      </w:r>
      <w:r w:rsidR="00D3048A">
        <w:rPr>
          <w:rFonts w:eastAsia="Calibri"/>
          <w:color w:val="000000" w:themeColor="text1"/>
        </w:rPr>
        <w:fldChar w:fldCharType="begin"/>
      </w:r>
      <w:r w:rsidR="00D3048A">
        <w:rPr>
          <w:rFonts w:eastAsia="Calibri"/>
          <w:color w:val="000000" w:themeColor="text1"/>
        </w:rPr>
        <w:instrText xml:space="preserve"> ADDIN ZOTERO_ITEM CSL_CITATION {"citationID":"u0xgUByi","properties":{"formattedCitation":"(19)","plainCitation":"(19)","noteIndex":0},"citationItems":[{"id":41,"uris":["http://zotero.org/users/local/AE0gAnhG/items/3VBQQJGR"],"uri":["http://zotero.org/users/local/AE0gAnhG/items/3VBQQJGR"],"itemData":{"id":41,"type":"article-journal","abstract":"Castagna, C and Castellini, E. Vertical jump performance in Italian male and female national team soccer players. J Strength Cond Res 27(4): 1156–1161, 2013—The aim of this study was to examine the validity of vertical jump (VJ) performance variables in elite-standard male and female Italian soccer players. One hundred eighteen national team soccer players (n = 56 men and n = 62 women) were tested for countermovement (CMJ) and squatting jump (SJ) heights. The stretch-shortening cycle efﬁciency (SSCE) was assessed as percentage of CMJ gain over SJ (∆CMJ-SJ), difference (CMJ-SJ), and ratio (CMJ:SJ). Results showed signiﬁcant sex difference in SJ and CMJ. Differences in SSCE were mainly in the absolute variables between sexes. Cutoff values for CMJ and SJ using sex as construct were 34.4 and 32.9 cm, respectively. No competitive level differences in VJ performance were detected in the male players. Female national team players showed VJ performance higher than the under 17 counterpart. The results of this study showed that VJ performance could not discriminate between competitive levels in male national team–selected soccer players. However, the use of CMJ and SJ normative data may help strength and conditioning coaches in prescribing lower limb explosive strength training in elite soccer players. In this, variations in VJ performance in the range of approximately 1 cm may be regarded as of interest in tracking noncasual variation in elite-standard soccer players.","container-title":"Journal of Strength and Conditioning Research","DOI":"10.1519/JSC.0b013e3182610999","ISSN":"1064-8011","issue":"4","language":"en","page":"1156-1161","source":"DOI.org (Crossref)","title":"Vertical Jump Performance in Italian Male and Female National Team Soccer Players","volume":"27","author":[{"family":"Castagna","given":"Carlo"},{"family":"Castellini","given":"Elena"}],"issued":{"date-parts":[["2013",4]]}}}],"schema":"https://github.com/citation-style-language/schema/raw/master/csl-citation.json"} </w:instrText>
      </w:r>
      <w:r w:rsidR="00D3048A">
        <w:rPr>
          <w:rFonts w:eastAsia="Calibri"/>
          <w:color w:val="000000" w:themeColor="text1"/>
        </w:rPr>
        <w:fldChar w:fldCharType="separate"/>
      </w:r>
      <w:r w:rsidR="00A709BD">
        <w:rPr>
          <w:rFonts w:eastAsia="Calibri"/>
          <w:noProof/>
          <w:color w:val="000000" w:themeColor="text1"/>
        </w:rPr>
        <w:t>(19)</w:t>
      </w:r>
      <w:r w:rsidR="00D3048A">
        <w:rPr>
          <w:rFonts w:eastAsia="Calibri"/>
          <w:color w:val="000000" w:themeColor="text1"/>
        </w:rPr>
        <w:fldChar w:fldCharType="end"/>
      </w:r>
      <w:r w:rsidR="00D3048A">
        <w:rPr>
          <w:rFonts w:eastAsia="Calibri"/>
          <w:color w:val="000000" w:themeColor="text1"/>
        </w:rPr>
        <w:t xml:space="preserve"> female players with higher values reported in senior national team players compared to youth (U15 and U17) players </w:t>
      </w:r>
      <w:r w:rsidR="00D3048A">
        <w:rPr>
          <w:rFonts w:eastAsia="Calibri"/>
          <w:color w:val="000000" w:themeColor="text1"/>
        </w:rPr>
        <w:fldChar w:fldCharType="begin"/>
      </w:r>
      <w:r w:rsidR="00D3048A">
        <w:rPr>
          <w:rFonts w:eastAsia="Calibri"/>
          <w:color w:val="000000" w:themeColor="text1"/>
        </w:rPr>
        <w:instrText xml:space="preserve"> ADDIN ZOTERO_ITEM CSL_CITATION {"citationID":"qVIbPbe6","properties":{"formattedCitation":"(2,14)","plainCitation":"(2,14)","noteIndex":0},"citationItems":[{"id":4,"uris":["http://zotero.org/users/local/AE0gAnhG/items/X5CI53EL"],"uri":["http://zotero.org/users/local/AE0gAnhG/items/X5CI53EL"],"itemData":{"id":4,"type":"article-journal","abstract":"Manson, SA, Brughelli, M, and Harris, NK. Physiological characteristics of international female soccer players. J Strength Cond Res 28(2): 308–318, 2014—The purpose of this study was to investigate the physiological characteristics of Fe´de´ ration Internationale de Football Association (FIFA) eligible international female soccer players aged 14–36 years and to determine if measures were signiﬁcantly different for players selected (i.e., starters) to the starting line up for an FIFA tournament as compared with those not selected (i.e., nonstarters). Fifty-one (N = 18 Under 17; N = 18 Under 20; N = 15 Senior) international female soccer players participated in this study. The subjects underwent measurements of anthropometry (height and body mass), lower body strength (isokinetic testing), sprint kinetics and kinematics (nonmotorized treadmill), leg power (unilateral jumping), and maximal aerobic velocity (30:15 intermittent ﬁtness test) during the ﬁnal preparatory stage for an FIFA event. Outcomes of the age group data indicate that differences in physiological capacities are evident for the Under 17 players as compared with those for the Under 20 and Senior capped international players, suggesting a plateau in the acquisition of physical qualities as players mature. Starters tended to be faster (effect size [ES] = 0.55–1.0, p , 0.05) and have a higher maximal aerobic velocity (ES = 0.78–2.45, p , 0.05), along with greater eccentric leg strength (ES = 0.33–1.67, p , 0.05). Signiﬁcant differences were detected between starters and nonstarters for isokinetic leg strength (ES = 0.54–1.24, p , 0.05) and maximal aerobic velocity (ES = 0.87, p , 0.05) for Under 17 players, where maximal aerobic velocity was the primary difference between starters and nonstarters (ES = 0.83–2.45, p , 0.05) for the Under 20 and Senior players. Coaches should emphasize the development of speed, maximal aerobic velocity, and leg strength in developing female soccer players.","container-title":"Journal of Strength and Conditioning Research","DOI":"10.1519/JSC.0b013e31829b56b1","ISSN":"1064-8011","issue":"2","language":"en","page":"308-318","source":"DOI.org (Crossref)","title":"Physiological Characteristics of International Female Soccer Players","volume":"28","author":[{"family":"Manson","given":"Sarah A."},{"family":"Brughelli","given":"Matt"},{"family":"Harris","given":"Nigel K."}],"issued":{"date-parts":[["2014",2]]}}},{"id":31,"uris":["http://zotero.org/users/local/AE0gAnhG/items/2AJU4EEN"],"uri":["http://zotero.org/users/local/AE0gAnhG/items/2AJU4EEN"],"itemData":{"id":31,"type":"article-journal","abstract":"Ramos, GP, Nakamura, FY, Penna, EM, Mendes, TT, Mahseredjian, F, Lima, AM, Garcia, ES, Prado, LS, and Coimbra, CC. Comparison of physical fitness and anthropometrical profiles among Brazilian female soccer national teams from U15 to senior categories. J Strength Cond Res XX(X): 000–000, 2019—This study aimed to compare anthropometric and physical fitness of Brazilian female national team soccer players from the U15 to senior categories, and to compare the physical performance between selected and nonselected players. Subjects included 231 athletes (U15, n 5 46, U17, n 5 49, U20, n 5 98, and Senior, n 5 38). Body mass, height, sum of skinfolds, squat jump (SJ), countermovement jump (CMJ), 20-m linear sprint, and Yo-Yo IR1 were assessed. The U15 players were shorter than all other groups (p , 0.01) and lighter than U20 players (p , 0.01). Regarding physical tests, Senior athletes presented higher SJ compared with U20, and both showed higher CMJ and SJ compared with the U15 and U17 (p , 0.05). Senior athletes were also faster than players of all other categories in 20-m sprint (p , 0.01) and covered the greatest distance in the Yo-Yo IR1 (p , 0.05). U20 were better in the Yo-Yo IR1 than the younger groups (p , 0.05). When comparing selected and nonselected players, no differences were identified in anthropometric measures (p . 0.05). However, selected players from U17, U20, and Senior teams showed better performance in Yo-Yo IR1 than nonselected ones (p , 0.05). Finally, selected senior athletes also presented higher CMJ and SJ than nonselected players (p , 0.05). These results suggest that, although there is a tendency for maintenance in anthropometric measures from the age of 15 years, there are substantial improvements in speed, lower-body power, and aerobic capacity from U20 age group. In addition, it seems that intermittent aerobic fitness contributes to the selection of players to international tournaments in national teams.","container-title":"Journal of Strength and Conditioning Research","DOI":"10.1519/JSC.0000000000003140","ISSN":"1064-8011","issue":"8","language":"en","page":"2302-2308","source":"DOI.org (Crossref)","title":"Comparison of Physical Fitness and Anthropometrical Profiles Among Brazilian Female Soccer National Teams From U15 to Senior Categories","volume":"35","author":[{"family":"Ramos","given":"Guilherme P."},{"family":"Nakamura","given":"Fabio Y."},{"family":"Penna","given":"Eduardo M."},{"family":"Mendes","given":"Thiago T."},{"family":"Mahseredjian","given":"Fábio"},{"family":"Lima","given":"Andre M."},{"family":"Garcia","given":"Emerson S."},{"family":"Prado","given":"Luciano S."},{"family":"Coimbra","given":"Cândido C."}],"issued":{"date-parts":[["2021",8]]}}}],"schema":"https://github.com/citation-style-language/schema/raw/master/csl-citation.json"} </w:instrText>
      </w:r>
      <w:r w:rsidR="00D3048A">
        <w:rPr>
          <w:rFonts w:eastAsia="Calibri"/>
          <w:color w:val="000000" w:themeColor="text1"/>
        </w:rPr>
        <w:fldChar w:fldCharType="separate"/>
      </w:r>
      <w:r w:rsidR="00A709BD">
        <w:rPr>
          <w:rFonts w:eastAsia="Calibri"/>
          <w:noProof/>
          <w:color w:val="000000" w:themeColor="text1"/>
        </w:rPr>
        <w:t>(2,14)</w:t>
      </w:r>
      <w:r w:rsidR="00D3048A">
        <w:rPr>
          <w:rFonts w:eastAsia="Calibri"/>
          <w:color w:val="000000" w:themeColor="text1"/>
        </w:rPr>
        <w:fldChar w:fldCharType="end"/>
      </w:r>
      <w:r w:rsidR="00D3048A">
        <w:rPr>
          <w:rFonts w:eastAsia="Calibri"/>
          <w:color w:val="000000" w:themeColor="text1"/>
        </w:rPr>
        <w:t xml:space="preserve">. However, these observations are not consistent as countermovement jump (CMJ) performance did not differ in elite players from U18 to &gt; 25 years </w:t>
      </w:r>
      <w:r w:rsidR="00D3048A">
        <w:rPr>
          <w:rFonts w:eastAsia="Calibri"/>
          <w:color w:val="000000" w:themeColor="text1"/>
        </w:rPr>
        <w:fldChar w:fldCharType="begin"/>
      </w:r>
      <w:r w:rsidR="00D3048A">
        <w:rPr>
          <w:rFonts w:eastAsia="Calibri"/>
          <w:color w:val="000000" w:themeColor="text1"/>
        </w:rPr>
        <w:instrText xml:space="preserve"> ADDIN ZOTERO_ITEM CSL_CITATION {"citationID":"B6HOGDog","properties":{"formattedCitation":"(17)","plainCitation":"(17)","noteIndex":0},"citationItems":[{"id":37,"uris":["http://zotero.org/users/local/AE0gAnhG/items/IJGFMXFN"],"uri":["http://zotero.org/users/local/AE0gAnhG/items/IJGFMXFN"],"itemData":{"id":37,"type":"article-journal","abstract":"Purpose:\n              The purpose of this investigation was to compare sprint and countermovement-jump (CMJ) performance among female competitive soccer players as a function of performance level, field position, and age. In addition, the authors wanted to quantify the evolution of these physical characteristics among elite players over a 15-y period.\n            \n            \n              Methods:\n              194 female elite players (22± 4.1 y, 63 ± 5.6 kg), including an Olympic winning squad, tested 40-m sprint with electronic timing and CMJ on a force platform at the Norwegian Olympic training center from 1995 to 2010.\n            \n            \n              Results:\n              \n                Moderate to large velocity differences across performance levels and positions were observed. National-team players were 2% faster than 1st-division players (\n                P\n                = .027,\n                d\n                = 0.5) and 5% faster than 2nd-division players (\n                P\n                &lt; .001,\n                d\n                = 1.3) over 0–20 m. National-team players jumped 8–9% higher than 1st-division players (\n                P\n                = .001,\n                d\n                = 0.6) and junior elite players (\n                P\n                = .023,\n                d\n                = 0.5). Forwards were 3–4% faster than midfielders (\n                P\n                &lt; .001,\n                d\n                = 0.8) and goalkeepers (\n                P\n                = .003,\n                d\n                = 0.9) over 0–20 m. No differences in velocity or CMJ height were observed among the age categories. Players from 2006–2010 were 2% faster (\n                P\n                &lt; .05,\n                d\n                = 0.6) than players from 1995–1999 over 20 m, whereas no differences in 20- to 40-m velocity or CMJ performance were observed.\n              \n            \n            \n              Conclusions:\n              This study provides effect-magnitude estimates for the influence of performance level, age, and player position on sprint and CMJ performance in female soccer players. While 20- to 40-m velocity and CMJ performance have remained stable over the time, there has been a moderate but positive development in 0- to 20-m velocity among elite performers.","container-title":"International Journal of Sports Physiology and Performance","DOI":"10.1123/ijspp.7.4.340","ISSN":"1555-0265, 1555-0273","issue":"4","language":"en","page":"340-349","source":"DOI.org (Crossref)","title":"Speed and Countermovement-Jump Characteristics of Elite Female Soccer Players, 1995–2010","volume":"7","author":[{"family":"Haugen","given":"Thomas A."},{"family":"Tønnessen","given":"Espen"},{"family":"Seiler","given":"Stephen"}],"issued":{"date-parts":[["2012",12]]}}}],"schema":"https://github.com/citation-style-language/schema/raw/master/csl-citation.json"} </w:instrText>
      </w:r>
      <w:r w:rsidR="00D3048A">
        <w:rPr>
          <w:rFonts w:eastAsia="Calibri"/>
          <w:color w:val="000000" w:themeColor="text1"/>
        </w:rPr>
        <w:fldChar w:fldCharType="separate"/>
      </w:r>
      <w:r w:rsidR="00A709BD">
        <w:rPr>
          <w:rFonts w:eastAsia="Calibri"/>
          <w:noProof/>
          <w:color w:val="000000" w:themeColor="text1"/>
        </w:rPr>
        <w:t>(17)</w:t>
      </w:r>
      <w:r w:rsidR="00D3048A">
        <w:rPr>
          <w:rFonts w:eastAsia="Calibri"/>
          <w:color w:val="000000" w:themeColor="text1"/>
        </w:rPr>
        <w:fldChar w:fldCharType="end"/>
      </w:r>
      <w:r w:rsidR="00D3048A">
        <w:rPr>
          <w:rFonts w:eastAsia="Calibri"/>
          <w:color w:val="000000" w:themeColor="text1"/>
        </w:rPr>
        <w:t xml:space="preserve"> and U19 national team players jumped higher than senior players </w:t>
      </w:r>
      <w:r w:rsidR="00D3048A">
        <w:rPr>
          <w:rFonts w:eastAsia="Calibri"/>
          <w:color w:val="000000" w:themeColor="text1"/>
        </w:rPr>
        <w:fldChar w:fldCharType="begin"/>
      </w:r>
      <w:r w:rsidR="00D3048A">
        <w:rPr>
          <w:rFonts w:eastAsia="Calibri"/>
          <w:color w:val="000000" w:themeColor="text1"/>
        </w:rPr>
        <w:instrText xml:space="preserve"> ADDIN ZOTERO_ITEM CSL_CITATION {"citationID":"nzUVBuPl","properties":{"formattedCitation":"(19)","plainCitation":"(19)","noteIndex":0},"citationItems":[{"id":41,"uris":["http://zotero.org/users/local/AE0gAnhG/items/3VBQQJGR"],"uri":["http://zotero.org/users/local/AE0gAnhG/items/3VBQQJGR"],"itemData":{"id":41,"type":"article-journal","abstract":"Castagna, C and Castellini, E. Vertical jump performance in Italian male and female national team soccer players. J Strength Cond Res 27(4): 1156–1161, 2013—The aim of this study was to examine the validity of vertical jump (VJ) performance variables in elite-standard male and female Italian soccer players. One hundred eighteen national team soccer players (n = 56 men and n = 62 women) were tested for countermovement (CMJ) and squatting jump (SJ) heights. The stretch-shortening cycle efﬁciency (SSCE) was assessed as percentage of CMJ gain over SJ (∆CMJ-SJ), difference (CMJ-SJ), and ratio (CMJ:SJ). Results showed signiﬁcant sex difference in SJ and CMJ. Differences in SSCE were mainly in the absolute variables between sexes. Cutoff values for CMJ and SJ using sex as construct were 34.4 and 32.9 cm, respectively. No competitive level differences in VJ performance were detected in the male players. Female national team players showed VJ performance higher than the under 17 counterpart. The results of this study showed that VJ performance could not discriminate between competitive levels in male national team–selected soccer players. However, the use of CMJ and SJ normative data may help strength and conditioning coaches in prescribing lower limb explosive strength training in elite soccer players. In this, variations in VJ performance in the range of approximately 1 cm may be regarded as of interest in tracking noncasual variation in elite-standard soccer players.","container-title":"Journal of Strength and Conditioning Research","DOI":"10.1519/JSC.0b013e3182610999","ISSN":"1064-8011","issue":"4","language":"en","page":"1156-1161","source":"DOI.org (Crossref)","title":"Vertical Jump Performance in Italian Male and Female National Team Soccer Players","volume":"27","author":[{"family":"Castagna","given":"Carlo"},{"family":"Castellini","given":"Elena"}],"issued":{"date-parts":[["2013",4]]}}}],"schema":"https://github.com/citation-style-language/schema/raw/master/csl-citation.json"} </w:instrText>
      </w:r>
      <w:r w:rsidR="00D3048A">
        <w:rPr>
          <w:rFonts w:eastAsia="Calibri"/>
          <w:color w:val="000000" w:themeColor="text1"/>
        </w:rPr>
        <w:fldChar w:fldCharType="separate"/>
      </w:r>
      <w:r w:rsidR="00A709BD">
        <w:rPr>
          <w:rFonts w:eastAsia="Calibri"/>
          <w:noProof/>
          <w:color w:val="000000" w:themeColor="text1"/>
        </w:rPr>
        <w:t>(19)</w:t>
      </w:r>
      <w:r w:rsidR="00D3048A">
        <w:rPr>
          <w:rFonts w:eastAsia="Calibri"/>
          <w:color w:val="000000" w:themeColor="text1"/>
        </w:rPr>
        <w:fldChar w:fldCharType="end"/>
      </w:r>
      <w:r w:rsidR="00D3048A">
        <w:rPr>
          <w:rFonts w:eastAsia="Calibri"/>
          <w:color w:val="000000" w:themeColor="text1"/>
        </w:rPr>
        <w:t>.</w:t>
      </w:r>
    </w:p>
    <w:p w14:paraId="0C715820" w14:textId="734E8A34" w:rsidR="00D3048A" w:rsidRDefault="00D3048A" w:rsidP="00A709BD">
      <w:pPr>
        <w:jc w:val="both"/>
        <w:rPr>
          <w:rFonts w:eastAsia="Calibri"/>
          <w:color w:val="000000" w:themeColor="text1"/>
        </w:rPr>
      </w:pPr>
    </w:p>
    <w:p w14:paraId="2718F124" w14:textId="19125245" w:rsidR="00D3048A" w:rsidRDefault="00D3048A" w:rsidP="00A709BD">
      <w:pPr>
        <w:jc w:val="both"/>
        <w:rPr>
          <w:rFonts w:eastAsia="Calibri"/>
          <w:color w:val="000000" w:themeColor="text1"/>
          <w:lang w:val="en-US"/>
        </w:rPr>
      </w:pPr>
      <w:r>
        <w:rPr>
          <w:rFonts w:eastAsia="Calibri"/>
          <w:color w:val="000000" w:themeColor="text1"/>
        </w:rPr>
        <w:t xml:space="preserve">Previous literature has largely </w:t>
      </w:r>
      <w:r w:rsidRPr="002422C8">
        <w:rPr>
          <w:rFonts w:eastAsia="Calibri"/>
          <w:color w:val="000000" w:themeColor="text1"/>
          <w:lang w:val="en-US"/>
        </w:rPr>
        <w:t>focus</w:t>
      </w:r>
      <w:r>
        <w:rPr>
          <w:rFonts w:eastAsia="Calibri"/>
          <w:color w:val="000000" w:themeColor="text1"/>
          <w:lang w:val="en-US"/>
        </w:rPr>
        <w:t>ed</w:t>
      </w:r>
      <w:r w:rsidRPr="002422C8">
        <w:rPr>
          <w:rFonts w:eastAsia="Calibri"/>
          <w:color w:val="000000" w:themeColor="text1"/>
          <w:lang w:val="en-US"/>
        </w:rPr>
        <w:t xml:space="preserve"> on </w:t>
      </w:r>
      <w:r w:rsidR="00455DD0">
        <w:rPr>
          <w:rFonts w:eastAsia="Calibri"/>
          <w:color w:val="000000" w:themeColor="text1"/>
          <w:lang w:val="en-US"/>
        </w:rPr>
        <w:t xml:space="preserve">relatively </w:t>
      </w:r>
      <w:r>
        <w:rPr>
          <w:rFonts w:eastAsia="Calibri"/>
          <w:color w:val="000000" w:themeColor="text1"/>
        </w:rPr>
        <w:t>small samples</w:t>
      </w:r>
      <w:r w:rsidR="00DD406E">
        <w:rPr>
          <w:rFonts w:eastAsia="Calibri"/>
          <w:color w:val="000000" w:themeColor="text1"/>
        </w:rPr>
        <w:t xml:space="preserve"> </w:t>
      </w:r>
      <w:r>
        <w:rPr>
          <w:rFonts w:eastAsia="Calibri"/>
          <w:color w:val="000000" w:themeColor="text1"/>
        </w:rPr>
        <w:t xml:space="preserve">of sub-elite </w:t>
      </w:r>
      <w:r>
        <w:rPr>
          <w:rFonts w:eastAsia="Calibri"/>
          <w:color w:val="000000" w:themeColor="text1"/>
        </w:rPr>
        <w:fldChar w:fldCharType="begin"/>
      </w:r>
      <w:r>
        <w:rPr>
          <w:rFonts w:eastAsia="Calibri"/>
          <w:color w:val="000000" w:themeColor="text1"/>
        </w:rPr>
        <w:instrText xml:space="preserve"> ADDIN ZOTERO_ITEM CSL_CITATION {"citationID":"RD2nbkc0","properties":{"formattedCitation":"(20,21)","plainCitation":"(20,21)","noteIndex":0},"citationItems":[{"id":43,"uris":["http://zotero.org/users/local/AE0gAnhG/items/YFKZB9TD"],"uri":["http://zotero.org/users/local/AE0gAnhG/items/YFKZB9TD"],"itemData":{"id":43,"type":"article-journal","abstract":"The purpose of this study was to investigate the relationships between absolute and relative lower-body strength on predictors of athletic performance among Division II collegiate women’s soccer players. Archived pre-season testing data for seventeen (n = 17) female National Collegiate Athletics Association (NCAA) Division II soccer players were analyzed, including: vertical jump, 3RM back squat, 505-agility, modiﬁed T-test, 10 m and 30 m sprint, and 20 m multistage ﬁtness test (20 m MSFT). Relative strength was calculated based on the estimated 1RM back squat divided by the athlete’s body mass. Signiﬁcant correlations were discovered between absolute lower-body strength and 505-agility (Right: r = −0.51, p &lt; 0.05; Left: r = −0.59, p &lt; 0.05), modiﬁed T-test (r = −0.55, p &lt; 0.05), 10 m and 30 m (r = −0.59, p &lt; 0.05; r = −0.54, p &lt; 0.05), and sprint performance. Relative lower-body strength showed signiﬁcant correlations with vertical jump (r = 0.54, p &lt; 0.05), 505-agility (Right: r = −0.58, p &lt; 0.05; Left: r = −0.67, p &lt; 0.01), modiﬁed T-test (r = −0.75, p &lt; 0.01), 10 m and 30 m (r = −0.59 p &lt; 0.05; r = −0.67, p &lt; 0.01), and the 20 m MSFT (r = 0.58, p &lt; 0.05). These results indicate that strength and conditioning coaches should emphasize the development of absolute and relative lower-body strength with their players to improve power, agility, and speed performance.","container-title":"Sports","DOI":"10.3390/sports6040106","ISSN":"2075-4663","issue":"4","journalAbbreviation":"Sports","language":"en","page":"106","source":"DOI.org (Crossref)","title":"Relationship of Absolute and Relative Lower-Body Strength to Predictors of Athletic Performance in Collegiate Women Soccer Players","volume":"6","author":[{"family":"Andersen","given":"Emily"},{"family":"Lockie","given":"Robert"},{"family":"Dawes","given":"J."}],"issued":{"date-parts":[["2018",9,29]]}}},{"id":45,"uris":["http://zotero.org/users/local/AE0gAnhG/items/7VYAZ3HA"],"uri":["http://zotero.org/users/local/AE0gAnhG/items/7VYAZ3HA"],"itemData":{"id":45,"type":"article-journal","container-title":"Frontiers in Physiology","DOI":"10.3389/fphys.2018.00934","ISSN":"1664-042X","journalAbbreviation":"Front. Physiol.","language":"en","page":"934","source":"DOI.org (Crossref)","title":"Effects of Different Plyometric Training Frequencies on Components of Physical Fitness in Amateur Female Soccer Players","volume":"9","author":[{"family":"Ramirez-Campillo","given":"Rodrigo"},{"family":"García-Pinillos","given":"Felipe"},{"family":"García-Ramos","given":"Amador"},{"family":"Yanci","given":"Javier"},{"family":"Gentil","given":"Paulo"},{"family":"Chaabene","given":"Helmi"},{"family":"Granacher","given":"Urs"}],"issued":{"date-parts":[["2018",7,17]]}}}],"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(20,21)</w:t>
      </w:r>
      <w:r>
        <w:rPr>
          <w:rFonts w:eastAsia="Calibri"/>
          <w:color w:val="000000" w:themeColor="text1"/>
        </w:rPr>
        <w:fldChar w:fldCharType="end"/>
      </w:r>
      <w:r>
        <w:rPr>
          <w:rFonts w:eastAsia="Calibri"/>
          <w:color w:val="000000" w:themeColor="text1"/>
        </w:rPr>
        <w:t xml:space="preserve">, elite youth </w:t>
      </w:r>
      <w:r>
        <w:rPr>
          <w:rFonts w:eastAsia="Calibri"/>
          <w:color w:val="000000" w:themeColor="text1"/>
        </w:rPr>
        <w:fldChar w:fldCharType="begin"/>
      </w:r>
      <w:r>
        <w:rPr>
          <w:rFonts w:eastAsia="Calibri"/>
          <w:color w:val="000000" w:themeColor="text1"/>
        </w:rPr>
        <w:instrText xml:space="preserve"> ADDIN ZOTERO_ITEM CSL_CITATION {"citationID":"lsib4r89","properties":{"formattedCitation":"(22,23)","plainCitation":"(22,23)","noteIndex":0},"citationItems":[{"id":47,"uris":["http://zotero.org/users/local/AE0gAnhG/items/2FSEJKNW"],"uri":["http://zotero.org/users/local/AE0gAnhG/items/2FSEJKNW"],"itemData":{"id":47,"type":"article-journal","abstract":"Emmonds, S, Sawczuk, T, Scantlebury, S, Till, K, and Jones, B. Seasonal changes in the physical performance of elite youth female soccer players. J Strength Cond Res XX(X): 000–000, 2018—This study investigated the seasonal change in physical performance of 113 (Under 10: U10 [n = 20], U12 [n = 30], U14 [n = 31], and U16 [n = 32]) elite youth female soccer players. Players completed testing pre-, mid-, and post-season, including speed (10- and 30-m sprint), change of direction (CoD; 505 test), power (countermovement jump [CMJ]), strength (isometric midthigh pull), and aerobic capacity (Yo-Yo intermittent recovery test level 1 [YYIRL1]). A general linear model was used to evaluate the change in physical characteristics and the inﬂuence of covariates (baseline performance; change in maturity status) on each characteristic across the season. U10’s speed and CoD performance decreased from pre-post season, whereas relative strength likely improved. U12’s relative strength very likely improved; however, 10-m sprint performance decreased. Relative strength likely decreased, whereas 30-m sprint and CoD time very likely improved in U14’s. U16’s likely improved relative strength, CMJ, and 10-m sprint, and very likely improved 30-m sprint and CoD from pre-post season. U12–U16’s improved YYIRL1 performance pre-post season. Strength and conditioning coaches working with U10–U12 players should look to develop speed, lower-body power, and CoD ability as part of structured strength and conditioning sessions as well as within warm-ups before pitch-based sessions. With U14–U16 players’ manipulation of small-sided games combined with short-duration highintensity running drills may provide an efﬁcient training stimulus to develop the aerobic system while concurrently developing technical/tactical skills. Findings of this study provide a basis for the implementation of strategies to enhance the long-term athletic development of youth female soccer players.","container-title":"Journal of Strength and Conditioning Research","DOI":"10.1519/JSC.0000000000002943","ISSN":"1064-8011","issue":"9","language":"en","page":"2636-2643","source":"DOI.org (Crossref)","title":"Seasonal Changes in the Physical Performance of Elite Youth Female Soccer Players","volume":"34","author":[{"family":"Emmonds","given":"Stacey"},{"family":"Sawczuk","given":"Tom"},{"family":"Scantlebury","given":"Sean"},{"family":"Till","given":"Kev"},{"family":"Jones","given":"Ben"}],"issued":{"date-parts":[["2020",9]]}}},{"id":49,"uris":["http://zotero.org/users/local/AE0gAnhG/items/ZTHZADIH"],"uri":["http://zotero.org/users/local/AE0gAnhG/items/ZTHZADIH"],"itemData":{"id":49,"type":"article-journal","container-title":"Journal of Strength and Conditioning Research","DOI":"10.1519/JSC.0000000000002055","ISSN":"1064-8011","issue":"3","language":"en","page":"793-800","source":"DOI.org (Crossref)","title":"Changes in Sprint-Related Outcomes During a Period of Systematic Training in a Girls' Soccer Academy","volume":"33","author":[{"family":"Wright","given":"Matthew D."},{"family":"Atkinson","given":"Greg"}],"issued":{"date-parts":[["2019",3]]}}}],"schema":"https://github.com/citation-style-language/schema/raw/master/csl-citation.json"}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(22,23)</w:t>
      </w:r>
      <w:r>
        <w:rPr>
          <w:rFonts w:eastAsia="Calibri"/>
          <w:color w:val="000000" w:themeColor="text1"/>
        </w:rPr>
        <w:fldChar w:fldCharType="end"/>
      </w:r>
      <w:r>
        <w:rPr>
          <w:rFonts w:eastAsia="Calibri"/>
          <w:color w:val="000000" w:themeColor="text1"/>
        </w:rPr>
        <w:t xml:space="preserve"> or players competing in governing body age categories, i.e., U17, U20 and seniors </w:t>
      </w:r>
      <w:r>
        <w:rPr>
          <w:rFonts w:eastAsia="Calibri"/>
          <w:color w:val="000000" w:themeColor="text1"/>
        </w:rPr>
        <w:fldChar w:fldCharType="begin"/>
      </w:r>
      <w:r>
        <w:rPr>
          <w:rFonts w:eastAsia="Calibri"/>
          <w:color w:val="000000" w:themeColor="text1"/>
        </w:rPr>
        <w:instrText xml:space="preserve"> ADDIN ZOTERO_ITEM CSL_CITATION {"citationID":"oSD7fd78","properties":{"formattedCitation":"(2,14,19)","plainCitation":"(2,14,19)","noteIndex":0},"citationItems":[{"id":4,"uris":["http://zotero.org/users/local/AE0gAnhG/items/X5CI53EL"],"uri":["http://zotero.org/users/local/AE0gAnhG/items/X5CI53EL"],"itemData":{"id":4,"type":"article-journal","abstract":"Manson, SA, Brughelli, M, and Harris, NK. Physiological characteristics of international female soccer players. J Strength Cond Res 28(2): 308–318, 2014—The purpose of this study was to investigate the physiological characteristics of Fe´de´ ration Internationale de Football Association (FIFA) eligible international female soccer players aged 14–36 years and to determine if measures were signiﬁcantly different for players selected (i.e., starters) to the starting line up for an FIFA tournament as compared with those not selected (i.e., nonstarters). Fifty-one (N = 18 Under 17; N = 18 Under 20; N = 15 Senior) international female soccer players participated in this study. The subjects underwent measurements of anthropometry (height and body mass), lower body strength (isokinetic testing), sprint kinetics and kinematics (nonmotorized treadmill), leg power (unilateral jumping), and maximal aerobic velocity (30:15 intermittent ﬁtness test) during the ﬁnal preparatory stage for an FIFA event. Outcomes of the age group data indicate that differences in physiological capacities are evident for the Under 17 players as compared with those for the Under 20 and Senior capped international players, suggesting a plateau in the acquisition of physical qualities as players mature. Starters tended to be faster (effect size [ES] = 0.55–1.0, p , 0.05) and have a higher maximal aerobic velocity (ES = 0.78–2.45, p , 0.05), along with greater eccentric leg strength (ES = 0.33–1.67, p , 0.05). Signiﬁcant differences were detected between starters and nonstarters for isokinetic leg strength (ES = 0.54–1.24, p , 0.05) and maximal aerobic velocity (ES = 0.87, p , 0.05) for Under 17 players, where maximal aerobic velocity was the primary difference between starters and nonstarters (ES = 0.83–2.45, p , 0.05) for the Under 20 and Senior players. Coaches should emphasize the development of speed, maximal aerobic velocity, and leg strength in developing female soccer players.","container-title":"Journal of Strength and Conditioning Research","DOI":"10.1519/JSC.0b013e31829b56b1","ISSN":"1064-8011","issue":"2","language":"en","page":"308-318","source":"DOI.org (Crossref)","title":"Physiological Characteristics of International Female Soccer Players","volume":"28","author":[{"family":"Manson","given":"Sarah A."},{"family":"Brughelli","given":"Matt"},{"family":"Harris","given":"Nigel K."}],"issued":{"date-parts":[["2014",2]]}}},{"id":31,"uris":["http://zotero.org/users/local/AE0gAnhG/items/2AJU4EEN"],"uri":["http://zotero.org/users/local/AE0gAnhG/items/2AJU4EEN"],"itemData":{"id":31,"type":"article-journal","abstract":"Ramos, GP, Nakamura, FY, Penna, EM, Mendes, TT, Mahseredjian, F, Lima, AM, Garcia, ES, Prado, LS, and Coimbra, CC. Comparison of physical fitness and anthropometrical profiles among Brazilian female soccer national teams from U15 to senior categories. J Strength Cond Res XX(X): 000–000, 2019—This study aimed to compare anthropometric and physical fitness of Brazilian female national team soccer players from the U15 to senior categories, and to compare the physical performance between selected and nonselected players. Subjects included 231 athletes (U15, n 5 46, U17, n 5 49, U20, n 5 98, and Senior, n 5 38). Body mass, height, sum of skinfolds, squat jump (SJ), countermovement jump (CMJ), 20-m linear sprint, and Yo-Yo IR1 were assessed. The U15 players were shorter than all other groups (p , 0.01) and lighter than U20 players (p , 0.01). Regarding physical tests, Senior athletes presented higher SJ compared with U20, and both showed higher CMJ and SJ compared with the U15 and U17 (p , 0.05). Senior athletes were also faster than players of all other categories in 20-m sprint (p , 0.01) and covered the greatest distance in the Yo-Yo IR1 (p , 0.05). U20 were better in the Yo-Yo IR1 than the younger groups (p , 0.05). When comparing selected and nonselected players, no differences were identified in anthropometric measures (p . 0.05). However, selected players from U17, U20, and Senior teams showed better performance in Yo-Yo IR1 than nonselected ones (p , 0.05). Finally, selected senior athletes also presented higher CMJ and SJ than nonselected players (p , 0.05). These results suggest that, although there is a tendency for maintenance in anthropometric measures from the age of 15 years, there are substantial improvements in speed, lower-body power, and aerobic capacity from U20 age group. In addition, it seems that intermittent aerobic fitness contributes to the selection of players to international tournaments in national teams.","container-title":"Journal of Strength and Conditioning Research","DOI":"10.1519/JSC.0000000000003140","ISSN":"1064-8011","issue":"8","language":"en","page":"2302-2308","source":"DOI.org (Crossref)","title":"Comparison of Physical Fitness and Anthropometrical Profiles Among Brazilian Female Soccer National Teams From U15 to Senior Categories","volume":"35","author":[{"family":"Ramos","given":"Guilherme P."},{"family":"Nakamura","given":"Fabio Y."},{"family":"Penna","given":"Eduardo M."},{"family":"Mendes","given":"Thiago T."},{"family":"Mahseredjian","given":"Fábio"},{"family":"Lima","given":"Andre M."},{"family":"Garcia","given":"Emerson S."},{"family":"Prado","given":"Luciano S."},{"family":"Coimbra","given":"Cândido C."}],"issued":{"date-parts":[["2021",8]]}}},{"id":41,"uris":["http://zotero.org/users/local/AE0gAnhG/items/3VBQQJGR"],"uri":["http://zotero.org/users/local/AE0gAnhG/items/3VBQQJGR"],"itemData":{"id":41,"type":"article-journal","abstract":"Castagna, C and Castellini, E. Vertical jump performance in Italian male and female national team soccer players. J Strength Cond Res 27(4): 1156–1161, 2013—The aim of this study was to examine the validity of vertical jump (VJ) performance variables in elite-standard male and female Italian soccer players. One hundred eighteen national team soccer players (n = 56 men and n = 62 women) were tested for countermovement (CMJ) and squatting jump (SJ) heights. The stretch-shortening cycle efﬁciency (SSCE) was assessed as percentage of CMJ gain over SJ (∆CMJ-SJ), difference (CMJ-SJ), and ratio (CMJ:SJ). Results showed signiﬁcant sex difference in SJ and CMJ. Differences in SSCE were mainly in the absolute variables between sexes. Cutoff values for CMJ and SJ using sex as construct were 34.4 and 32.9 cm, respectively. No competitive level differences in VJ performance were detected in the male players. Female national team players showed VJ performance higher than the under 17 counterpart. The results of this study showed that VJ performance could not discriminate between competitive levels in male national team–selected soccer players. However, the use of CMJ and SJ normative data may help strength and conditioning coaches in prescribing lower limb explosive strength training in elite soccer players. In this, variations in VJ performance in the range of approximately 1 cm may be regarded as of interest in tracking noncasual variation in elite-standard soccer players.","container-title":"Journal of Strength and Conditioning Research","DOI":"10.1519/JSC.0b013e3182610999","ISSN":"1064-8011","issue":"4","language":"en","page":"1156-1161","source":"DOI.org (Crossref)","title":"Vertical Jump Performance in Italian Male and Female National Team Soccer Players","volume":"27","author":[{"family":"Castagna","given":"Carlo"},{"family":"Castellini","given":"Elena"}],"issued":{"date-parts":[["2013",4]]}}}],"schema":"https://github.com/citation-style-language/schema/raw/master/csl-citation.json"}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(2,14,19)</w:t>
      </w:r>
      <w:r>
        <w:rPr>
          <w:rFonts w:eastAsia="Calibri"/>
          <w:color w:val="000000" w:themeColor="text1"/>
        </w:rPr>
        <w:fldChar w:fldCharType="end"/>
      </w:r>
      <w:r w:rsidR="00034CEF">
        <w:rPr>
          <w:rFonts w:eastAsia="Calibri"/>
          <w:color w:val="000000" w:themeColor="text1"/>
        </w:rPr>
        <w:t xml:space="preserve"> with the majority of studies being cross-sectional in </w:t>
      </w:r>
      <w:r w:rsidR="00323E18">
        <w:rPr>
          <w:rFonts w:eastAsia="Calibri"/>
          <w:color w:val="000000" w:themeColor="text1"/>
        </w:rPr>
        <w:t>n</w:t>
      </w:r>
      <w:r w:rsidR="00034CEF">
        <w:rPr>
          <w:rFonts w:eastAsia="Calibri"/>
          <w:color w:val="000000" w:themeColor="text1"/>
        </w:rPr>
        <w:t>ature</w:t>
      </w:r>
      <w:r>
        <w:rPr>
          <w:rFonts w:eastAsia="Calibri"/>
          <w:color w:val="000000" w:themeColor="text1"/>
        </w:rPr>
        <w:t xml:space="preserve">. </w:t>
      </w:r>
      <w:r w:rsidR="00034CEF">
        <w:rPr>
          <w:rFonts w:eastAsia="Calibri"/>
          <w:color w:val="000000" w:themeColor="text1"/>
        </w:rPr>
        <w:t xml:space="preserve">Cross sectional </w:t>
      </w:r>
      <w:r w:rsidR="00034CEF">
        <w:rPr>
          <w:rFonts w:eastAsia="Calibri"/>
          <w:color w:val="000000" w:themeColor="text1"/>
        </w:rPr>
        <w:lastRenderedPageBreak/>
        <w:t xml:space="preserve">studies lack temporality and therefore the information </w:t>
      </w:r>
      <w:r>
        <w:rPr>
          <w:rFonts w:eastAsia="Calibri"/>
          <w:color w:val="000000" w:themeColor="text1"/>
        </w:rPr>
        <w:t xml:space="preserve">provided across these broad age categories does not allow for specific year by year progressions to be considered </w:t>
      </w:r>
      <w:r>
        <w:rPr>
          <w:rFonts w:eastAsia="Calibri"/>
          <w:color w:val="000000" w:themeColor="text1"/>
        </w:rPr>
        <w:fldChar w:fldCharType="begin"/>
      </w:r>
      <w:r>
        <w:rPr>
          <w:rFonts w:eastAsia="Calibri"/>
          <w:color w:val="000000" w:themeColor="text1"/>
        </w:rPr>
        <w:instrText xml:space="preserve"> ADDIN ZOTERO_ITEM CSL_CITATION {"citationID":"4UT0k6wO","properties":{"formattedCitation":"(16)","plainCitation":"(16)","noteIndex":0},"citationItems":[{"id":35,"uris":["http://zotero.org/users/local/AE0gAnhG/items/PY849LYP"],"uri":["http://zotero.org/users/local/AE0gAnhG/items/PY849LYP"],"itemData":{"id":35,"type":"article-journal","abstract":"Objectives: Signiﬁcant resources are invested in maximizing player performance without extensive knowledge of the athletic progression of elite female soccer players during their career. The aim of the current study was therefore to investigate the change in physical performance characteristics in 12- to 34-year-old female soccer players in a national team program. Design: Mixed-longitudinal study.\nMethods: Physical performance was assessed across ﬁve years and 657 testing occasions (n = 143) using anthropometrics, 40 m sprint (10 m split), broad jump, countermovement jump, squat jump, and 30-15 intermittent ﬁtness test (IFT).\nResults: Using a Gaussian mixture model, Youth and Senior groups were bifurcated at approximately 23 years old. Subsequent linear mixed models for each group and variable identiﬁed signiﬁcant improvements in the Youth group in maximal speed (30−40 m split), broad jump, countermovement jump, and ﬁnal velocity30−15IFT (p ≤ 0.002), and a decrease in squat jump height with increasing age (p = 0.04). The Senior group recorded slower 10 m sprint time and a decrease in squat jump height with increasing age (p &lt; 0.001). Body mass increased from 12 to 34 years old (Youth and Senior: p ≤ 0.001). The Youth group signiﬁcantly differed in the rate of change compared to the Senior group in body mass, 10 m sprint time, countermovement jump, squat jump, and ﬁnal velocity30-15IFT (p ≤ 0.001).\nConclusions: This information can be used to identify average rates of physical performance improvement and decay to help guide optimal physical training and maximize the longevity of a female soccer players’ career.","container-title":"Journal of Science and Medicine in Sport","DOI":"10.1016/j.jsams.2020.12.009","ISSN":"14402440","issue":"6","journalAbbreviation":"Journal of Science and Medicine in Sport","language":"en","page":"597-602","source":"DOI.org (Crossref)","title":"Physical performance development in a female national team soccer program","volume":"24","author":[{"family":"Poehling","given":"Robert A."},{"family":"Tsai","given":"Ming-Chang"},{"family":"Manson","given":"Sarah A."},{"family":"Koehle","given":"Michael S."},{"family":"Meylan","given":"Cesar M.P."}],"issued":{"date-parts":[["2021",6]]}}}],"schema":"https://github.com/citation-style-language/schema/raw/master/csl-citation.json"}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(16)</w:t>
      </w:r>
      <w:r>
        <w:rPr>
          <w:rFonts w:eastAsia="Calibri"/>
          <w:color w:val="000000" w:themeColor="text1"/>
        </w:rPr>
        <w:fldChar w:fldCharType="end"/>
      </w:r>
      <w:r>
        <w:rPr>
          <w:rFonts w:eastAsia="Calibri"/>
          <w:color w:val="000000" w:themeColor="text1"/>
        </w:rPr>
        <w:t xml:space="preserve">. While recent research </w:t>
      </w:r>
      <w:r>
        <w:rPr>
          <w:rFonts w:eastAsia="Calibri"/>
          <w:color w:val="000000" w:themeColor="text1"/>
        </w:rPr>
        <w:fldChar w:fldCharType="begin"/>
      </w:r>
      <w:r>
        <w:rPr>
          <w:rFonts w:eastAsia="Calibri"/>
          <w:color w:val="000000" w:themeColor="text1"/>
        </w:rPr>
        <w:instrText xml:space="preserve"> ADDIN ZOTERO_ITEM CSL_CITATION {"citationID":"nXqRB8ZC","properties":{"formattedCitation":"(16)","plainCitation":"(16)","noteIndex":0},"citationItems":[{"id":35,"uris":["http://zotero.org/users/local/AE0gAnhG/items/PY849LYP"],"uri":["http://zotero.org/users/local/AE0gAnhG/items/PY849LYP"],"itemData":{"id":35,"type":"article-journal","abstract":"Objectives: Signiﬁcant resources are invested in maximizing player performance without extensive knowledge of the athletic progression of elite female soccer players during their career. The aim of the current study was therefore to investigate the change in physical performance characteristics in 12- to 34-year-old female soccer players in a national team program. Design: Mixed-longitudinal study.\nMethods: Physical performance was assessed across ﬁve years and 657 testing occasions (n = 143) using anthropometrics, 40 m sprint (10 m split), broad jump, countermovement jump, squat jump, and 30-15 intermittent ﬁtness test (IFT).\nResults: Using a Gaussian mixture model, Youth and Senior groups were bifurcated at approximately 23 years old. Subsequent linear mixed models for each group and variable identiﬁed signiﬁcant improvements in the Youth group in maximal speed (30−40 m split), broad jump, countermovement jump, and ﬁnal velocity30−15IFT (p ≤ 0.002), and a decrease in squat jump height with increasing age (p = 0.04). The Senior group recorded slower 10 m sprint time and a decrease in squat jump height with increasing age (p &lt; 0.001). Body mass increased from 12 to 34 years old (Youth and Senior: p ≤ 0.001). The Youth group signiﬁcantly differed in the rate of change compared to the Senior group in body mass, 10 m sprint time, countermovement jump, squat jump, and ﬁnal velocity30-15IFT (p ≤ 0.001).\nConclusions: This information can be used to identify average rates of physical performance improvement and decay to help guide optimal physical training and maximize the longevity of a female soccer players’ career.","container-title":"Journal of Science and Medicine in Sport","DOI":"10.1016/j.jsams.2020.12.009","ISSN":"14402440","issue":"6","journalAbbreviation":"Journal of Science and Medicine in Sport","language":"en","page":"597-602","source":"DOI.org (Crossref)","title":"Physical performance development in a female national team soccer program","volume":"24","author":[{"family":"Poehling","given":"Robert A."},{"family":"Tsai","given":"Ming-Chang"},{"family":"Manson","given":"Sarah A."},{"family":"Koehle","given":"Michael S."},{"family":"Meylan","given":"Cesar M.P."}],"issued":{"date-parts":[["2021",6]]}}}],"schema":"https://github.com/citation-style-language/schema/raw/master/csl-citation.json"} </w:instrText>
      </w:r>
      <w:r>
        <w:rPr>
          <w:rFonts w:eastAsia="Calibri"/>
          <w:color w:val="000000" w:themeColor="text1"/>
        </w:rPr>
        <w:fldChar w:fldCharType="separate"/>
      </w:r>
      <w:r w:rsidR="00A709BD">
        <w:rPr>
          <w:rFonts w:eastAsia="Calibri"/>
          <w:noProof/>
          <w:color w:val="000000" w:themeColor="text1"/>
        </w:rPr>
        <w:t>(16)</w:t>
      </w:r>
      <w:r>
        <w:rPr>
          <w:rFonts w:eastAsia="Calibri"/>
          <w:color w:val="000000" w:themeColor="text1"/>
        </w:rPr>
        <w:fldChar w:fldCharType="end"/>
      </w:r>
      <w:r>
        <w:rPr>
          <w:rFonts w:eastAsia="Calibri"/>
          <w:color w:val="000000" w:themeColor="text1"/>
        </w:rPr>
        <w:t xml:space="preserve"> explored trends in physical test performance at different ages in  female soccer players from Canada (age range: 12 – 34 years), there are no reference centiles </w:t>
      </w:r>
      <w:r w:rsidR="00FB2001">
        <w:rPr>
          <w:rFonts w:eastAsia="Calibri"/>
          <w:color w:val="000000" w:themeColor="text1"/>
        </w:rPr>
        <w:t xml:space="preserve">values </w:t>
      </w:r>
      <w:r>
        <w:rPr>
          <w:rFonts w:eastAsia="Calibri"/>
          <w:color w:val="000000" w:themeColor="text1"/>
        </w:rPr>
        <w:t xml:space="preserve">available </w:t>
      </w:r>
      <w:r>
        <w:rPr>
          <w:rFonts w:eastAsia="Calibri"/>
          <w:color w:val="000000" w:themeColor="text1"/>
          <w:lang w:val="en-US"/>
        </w:rPr>
        <w:t xml:space="preserve">for benchmarking physical test performance of the elite female soccer player. Reference centiles are commonly used in clinical settings </w:t>
      </w:r>
      <w:r>
        <w:t>as a tool to understand changes in function and relative standing</w:t>
      </w:r>
      <w:r w:rsidR="00680723">
        <w:t xml:space="preserve"> </w:t>
      </w:r>
      <w:r w:rsidR="00680723">
        <w:fldChar w:fldCharType="begin"/>
      </w:r>
      <w:r w:rsidR="00680723">
        <w:instrText xml:space="preserve"> ADDIN ZOTERO_ITEM CSL_CITATION {"citationID":"s5WbZHmV","properties":{"formattedCitation":"(24,25)","plainCitation":"(24,25)","noteIndex":0},"citationItems":[{"id":52,"uris":["http://zotero.org/users/local/AE0gAnhG/items/I6UUXVTW"],"uri":["http://zotero.org/users/local/AE0gAnhG/items/I6UUXVTW"],"itemData":{"id":52,"type":"article-journal","abstract":"Objective: To provide a brief history of (i) anthropometry, i.e. growth measurements; (ii) growth references, the statistical summary of anthropometry and (iii) growth charts, the visual representation of growth references for clinical use.\nMethods: The major contributors in the three categories over the past 200 years were identiﬁed and their historical contributionsput in context with more recent developments.\nResults: Anthropometry was originally collected for administrative or public health purposes, its medical role emerging at the end of the 19th century. Growth reference data were collected in earnest from the 19th century, during which time the familiar statistical summary statistics—mean, SD, centiles—were developed. More advanced statistical methods emerged much later. Growth charts ﬁrst appeared in the late 19th century and Tanner and Whitehouse later popularized the concepts of velocity and conditional references for growth in puberty. An important recent reference is the WHO growth standard, which documents optimal growth and has been adopted by many countries including the UK. Arising from it, the UK-WHO charts have pioneered many design features to improve usability and accuracy.\nConclusion: Growth charts have developed considerably in 200 years and they represent an impressive synthesis of anthropometry, statistical summary and chart design.","container-title":"Annals of Human Biology","DOI":"10.3109/03014460.2012.694475","ISSN":"0301-4460, 1464-5033","issue":"5","journalAbbreviation":"Annals of Human Biology","language":"en","page":"382-394","source":"DOI.org (Crossref)","title":"The development of growth references and growth charts","volume":"39","author":[{"family":"Cole","given":"T.J."}],"issued":{"date-parts":[["2012",9]]}}},{"id":53,"uris":["http://zotero.org/users/local/AE0gAnhG/items/MT5F6BKL"],"uri":["http://zotero.org/users/local/AE0gAnhG/items/MT5F6BKL"],"itemData":{"id":53,"type":"article-journal","abstract":"Age-related reference ranges are useful for assessing growth in children. The LMS method is a popular technique for constructing growth charts that model the age-changing distribution of the measurement in terms of the median, coefﬁcient of variation and skewness. Here the methodology is extended to references that depend on body size as well as age, by exploiting the ﬂexibility of the generalised additive models for location, scale and shape (GAMLSS) technique. GAMLSS offers general linear predictors for each moment parameter and a choice of error distributions, which can handle kurtosis as well as skewness. A key question with such references is the nature of the age-size adjustment, additive or multiplicative, which is explored by comparing the identity link and log link for the median predictor.","container-title":"Statistics in Medicine","DOI":"10.1002/sim.3504","ISSN":"02776715, 10970258","issue":"5","journalAbbreviation":"Statist. Med.","language":"en","page":"880-898","source":"DOI.org (Crossref)","title":"Age- and size-related reference ranges: A case study of spirometry through childhood and adulthood","title-short":"Age- and size-related reference ranges","volume":"28","author":[{"family":"Cole","given":"T. J."},{"family":"Stanojevic","given":"S."},{"family":"Stocks","given":"J."},{"family":"Coates","given":"A. L."},{"family":"Hankinson","given":"J. L."},{"family":"Wade","given":"A. M."}],"issued":{"date-parts":[["2009",2,28]]}}}],"schema":"https://github.com/citation-style-language/schema/raw/master/csl-citation.json"} </w:instrText>
      </w:r>
      <w:r w:rsidR="00680723">
        <w:fldChar w:fldCharType="separate"/>
      </w:r>
      <w:r w:rsidR="00A709BD">
        <w:rPr>
          <w:noProof/>
        </w:rPr>
        <w:t>(24,25)</w:t>
      </w:r>
      <w:r w:rsidR="00680723">
        <w:fldChar w:fldCharType="end"/>
      </w:r>
      <w:r w:rsidR="00680723">
        <w:t xml:space="preserve">. In </w:t>
      </w:r>
      <w:r w:rsidR="00C72F7C">
        <w:t>elite sport</w:t>
      </w:r>
      <w:r w:rsidR="00680723">
        <w:t xml:space="preserve">, information from reference values can </w:t>
      </w:r>
      <w:r w:rsidR="00680723">
        <w:rPr>
          <w:rFonts w:eastAsia="Calibri"/>
          <w:color w:val="000000" w:themeColor="text1"/>
          <w:lang w:val="en-US"/>
        </w:rPr>
        <w:t>assist practitioners when interpreting physical test performance data by</w:t>
      </w:r>
      <w:r w:rsidR="00680723">
        <w:t xml:space="preserve"> </w:t>
      </w:r>
      <w:r w:rsidR="00680723">
        <w:rPr>
          <w:rFonts w:eastAsia="Calibri"/>
          <w:color w:val="000000" w:themeColor="text1"/>
          <w:lang w:val="en-US"/>
        </w:rPr>
        <w:t>indicating</w:t>
      </w:r>
      <w:r w:rsidR="00680723" w:rsidRPr="0001130D">
        <w:rPr>
          <w:rFonts w:eastAsia="Calibri"/>
          <w:color w:val="000000" w:themeColor="text1"/>
          <w:lang w:val="en-US"/>
        </w:rPr>
        <w:t xml:space="preserve"> </w:t>
      </w:r>
      <w:r w:rsidR="00680723">
        <w:rPr>
          <w:rFonts w:eastAsia="Calibri"/>
          <w:color w:val="000000" w:themeColor="text1"/>
          <w:lang w:val="en-US"/>
        </w:rPr>
        <w:t>the player</w:t>
      </w:r>
      <w:r w:rsidR="00680723" w:rsidRPr="0001130D">
        <w:rPr>
          <w:rFonts w:eastAsia="Calibri"/>
          <w:color w:val="000000" w:themeColor="text1"/>
          <w:lang w:val="en-US"/>
        </w:rPr>
        <w:t xml:space="preserve"> performance level at a given chronological age</w:t>
      </w:r>
      <w:r w:rsidR="00680723">
        <w:rPr>
          <w:rFonts w:eastAsia="Calibri"/>
          <w:color w:val="000000" w:themeColor="text1"/>
          <w:lang w:val="en-US"/>
        </w:rPr>
        <w:t xml:space="preserve"> </w:t>
      </w:r>
      <w:r w:rsidR="00680723">
        <w:rPr>
          <w:rFonts w:eastAsia="Calibri"/>
          <w:color w:val="000000" w:themeColor="text1"/>
          <w:lang w:val="en-US"/>
        </w:rPr>
        <w:fldChar w:fldCharType="begin"/>
      </w:r>
      <w:r w:rsidR="00680723">
        <w:rPr>
          <w:rFonts w:eastAsia="Calibri"/>
          <w:color w:val="000000" w:themeColor="text1"/>
          <w:lang w:val="en-US"/>
        </w:rPr>
        <w:instrText xml:space="preserve"> ADDIN ZOTERO_ITEM CSL_CITATION {"citationID":"nA7409R3","properties":{"formattedCitation":"(24)","plainCitation":"(24)","noteIndex":0},"citationItems":[{"id":52,"uris":["http://zotero.org/users/local/AE0gAnhG/items/I6UUXVTW"],"uri":["http://zotero.org/users/local/AE0gAnhG/items/I6UUXVTW"],"itemData":{"id":52,"type":"article-journal","abstract":"Objective: To provide a brief history of (i) anthropometry, i.e. growth measurements; (ii) growth references, the statistical summary of anthropometry and (iii) growth charts, the visual representation of growth references for clinical use.\nMethods: The major contributors in the three categories over the past 200 years were identiﬁed and their historical contributionsput in context with more recent developments.\nResults: Anthropometry was originally collected for administrative or public health purposes, its medical role emerging at the end of the 19th century. Growth reference data were collected in earnest from the 19th century, during which time the familiar statistical summary statistics—mean, SD, centiles—were developed. More advanced statistical methods emerged much later. Growth charts ﬁrst appeared in the late 19th century and Tanner and Whitehouse later popularized the concepts of velocity and conditional references for growth in puberty. An important recent reference is the WHO growth standard, which documents optimal growth and has been adopted by many countries including the UK. Arising from it, the UK-WHO charts have pioneered many design features to improve usability and accuracy.\nConclusion: Growth charts have developed considerably in 200 years and they represent an impressive synthesis of anthropometry, statistical summary and chart design.","container-title":"Annals of Human Biology","DOI":"10.3109/03014460.2012.694475","ISSN":"0301-4460, 1464-5033","issue":"5","journalAbbreviation":"Annals of Human Biology","language":"en","page":"382-394","source":"DOI.org (Crossref)","title":"The development of growth references and growth charts","volume":"39","author":[{"family":"Cole","given":"T.J."}],"issued":{"date-parts":[["2012",9]]}}}],"schema":"https://github.com/citation-style-language/schema/raw/master/csl-citation.json"} </w:instrText>
      </w:r>
      <w:r w:rsidR="00680723">
        <w:rPr>
          <w:rFonts w:eastAsia="Calibri"/>
          <w:color w:val="000000" w:themeColor="text1"/>
          <w:lang w:val="en-US"/>
        </w:rPr>
        <w:fldChar w:fldCharType="separate"/>
      </w:r>
      <w:r w:rsidR="00A709BD">
        <w:rPr>
          <w:rFonts w:eastAsia="Calibri"/>
          <w:noProof/>
          <w:color w:val="000000" w:themeColor="text1"/>
          <w:lang w:val="en-US"/>
        </w:rPr>
        <w:t>(24)</w:t>
      </w:r>
      <w:r w:rsidR="00680723">
        <w:rPr>
          <w:rFonts w:eastAsia="Calibri"/>
          <w:color w:val="000000" w:themeColor="text1"/>
          <w:lang w:val="en-US"/>
        </w:rPr>
        <w:fldChar w:fldCharType="end"/>
      </w:r>
      <w:r w:rsidR="00034CEF">
        <w:rPr>
          <w:rFonts w:eastAsia="Calibri"/>
          <w:color w:val="000000" w:themeColor="text1"/>
          <w:lang w:val="en-US"/>
        </w:rPr>
        <w:t xml:space="preserve">. </w:t>
      </w:r>
      <w:r w:rsidR="00680723">
        <w:rPr>
          <w:rFonts w:eastAsia="Calibri"/>
          <w:color w:val="000000" w:themeColor="text1"/>
          <w:lang w:val="en-US"/>
        </w:rPr>
        <w:t>The purpose of this study, therefore, was to develop age-</w:t>
      </w:r>
      <w:r w:rsidR="0024629A">
        <w:rPr>
          <w:rFonts w:eastAsia="Calibri"/>
          <w:color w:val="000000" w:themeColor="text1"/>
          <w:lang w:val="en-US"/>
        </w:rPr>
        <w:t xml:space="preserve">related </w:t>
      </w:r>
      <w:r w:rsidR="00680723">
        <w:rPr>
          <w:rFonts w:eastAsia="Calibri"/>
          <w:color w:val="000000" w:themeColor="text1"/>
          <w:lang w:val="en-US"/>
        </w:rPr>
        <w:t>reference centiles for physical performance variables relevant to elite female soccer players.</w:t>
      </w:r>
    </w:p>
    <w:p w14:paraId="46649603" w14:textId="77777777" w:rsidR="00B424AA" w:rsidRDefault="00B424AA" w:rsidP="00A709BD">
      <w:pPr>
        <w:jc w:val="both"/>
        <w:rPr>
          <w:rFonts w:eastAsia="Calibri"/>
          <w:color w:val="000000" w:themeColor="text1"/>
          <w:lang w:val="en-US"/>
        </w:rPr>
      </w:pPr>
    </w:p>
    <w:p w14:paraId="412482C5" w14:textId="77777777" w:rsidR="004025DF" w:rsidRDefault="004025DF" w:rsidP="00A709BD">
      <w:pPr>
        <w:jc w:val="both"/>
        <w:rPr>
          <w:b/>
          <w:bCs/>
        </w:rPr>
      </w:pPr>
      <w:r w:rsidRPr="003D5C92">
        <w:rPr>
          <w:b/>
          <w:bCs/>
        </w:rPr>
        <w:t>Methods</w:t>
      </w:r>
    </w:p>
    <w:p w14:paraId="30B99330" w14:textId="77777777" w:rsidR="004025DF" w:rsidRDefault="004025DF" w:rsidP="00A709BD">
      <w:pPr>
        <w:jc w:val="both"/>
        <w:rPr>
          <w:b/>
          <w:bCs/>
        </w:rPr>
      </w:pPr>
    </w:p>
    <w:p w14:paraId="5A506730" w14:textId="77777777" w:rsidR="004025DF" w:rsidRDefault="004025DF" w:rsidP="00A709BD">
      <w:pPr>
        <w:jc w:val="both"/>
        <w:rPr>
          <w:b/>
          <w:bCs/>
        </w:rPr>
      </w:pPr>
      <w:r>
        <w:rPr>
          <w:b/>
          <w:bCs/>
        </w:rPr>
        <w:t>Design</w:t>
      </w:r>
    </w:p>
    <w:p w14:paraId="6540DAD8" w14:textId="5DE616D0" w:rsidR="000C553E" w:rsidRPr="00E32CD7" w:rsidRDefault="004025DF" w:rsidP="00A709BD">
      <w:pPr>
        <w:jc w:val="both"/>
        <w:rPr>
          <w:color w:val="000000" w:themeColor="text1"/>
          <w:lang w:val="en-US"/>
        </w:rPr>
      </w:pPr>
      <w:r>
        <w:rPr>
          <w:color w:val="000000" w:themeColor="text1"/>
          <w:lang w:val="en-US"/>
        </w:rPr>
        <w:t>Mixed-longitudinal field-based p</w:t>
      </w:r>
      <w:r w:rsidRPr="00A4035D">
        <w:rPr>
          <w:color w:val="000000" w:themeColor="text1"/>
          <w:lang w:val="en-US"/>
        </w:rPr>
        <w:t xml:space="preserve">hysical performance </w:t>
      </w:r>
      <w:r>
        <w:rPr>
          <w:color w:val="000000" w:themeColor="text1"/>
          <w:lang w:val="en-US"/>
        </w:rPr>
        <w:t xml:space="preserve">testing data were collected from elite youth and senior soccer players as part of the English Football Association’s national development </w:t>
      </w:r>
      <w:proofErr w:type="spellStart"/>
      <w:r>
        <w:rPr>
          <w:color w:val="000000" w:themeColor="text1"/>
          <w:lang w:val="en-US"/>
        </w:rPr>
        <w:t>programme</w:t>
      </w:r>
      <w:proofErr w:type="spellEnd"/>
      <w:r>
        <w:rPr>
          <w:color w:val="000000" w:themeColor="text1"/>
          <w:lang w:val="en-US"/>
        </w:rPr>
        <w:t xml:space="preserve">. </w:t>
      </w:r>
      <w:r w:rsidR="002938B6">
        <w:rPr>
          <w:color w:val="000000" w:themeColor="text1"/>
          <w:lang w:val="en-US"/>
        </w:rPr>
        <w:t xml:space="preserve">Players from this development </w:t>
      </w:r>
      <w:proofErr w:type="spellStart"/>
      <w:r w:rsidR="002938B6">
        <w:rPr>
          <w:color w:val="000000" w:themeColor="text1"/>
          <w:lang w:val="en-US"/>
        </w:rPr>
        <w:t>programme</w:t>
      </w:r>
      <w:proofErr w:type="spellEnd"/>
      <w:r w:rsidR="002938B6">
        <w:rPr>
          <w:color w:val="000000" w:themeColor="text1"/>
          <w:lang w:val="en-US"/>
        </w:rPr>
        <w:t xml:space="preserve"> were selected to represent England at all age groups (seniors and youth squads). </w:t>
      </w:r>
      <w:r w:rsidR="009F3668" w:rsidRPr="000503F5">
        <w:rPr>
          <w:rFonts w:eastAsiaTheme="minorHAnsi"/>
          <w:lang w:val="en-US"/>
        </w:rPr>
        <w:t xml:space="preserve">Data were collected from 479 female soccer players covering the youth-to-senior spectrum </w:t>
      </w:r>
      <w:r w:rsidR="009F3668">
        <w:rPr>
          <w:rFonts w:eastAsiaTheme="minorHAnsi"/>
          <w:lang w:val="en-US"/>
        </w:rPr>
        <w:t>(</w:t>
      </w:r>
      <w:r w:rsidR="009F3668" w:rsidRPr="000503F5">
        <w:rPr>
          <w:rFonts w:eastAsiaTheme="minorHAnsi"/>
          <w:lang w:val="en-US"/>
        </w:rPr>
        <w:t>age range: 1</w:t>
      </w:r>
      <w:r w:rsidR="009F3668">
        <w:rPr>
          <w:rFonts w:eastAsiaTheme="minorHAnsi"/>
          <w:lang w:val="en-US"/>
        </w:rPr>
        <w:t>2.7</w:t>
      </w:r>
      <w:r w:rsidR="009F3668" w:rsidRPr="000503F5">
        <w:rPr>
          <w:rFonts w:eastAsiaTheme="minorHAnsi"/>
          <w:lang w:val="en-US"/>
        </w:rPr>
        <w:t xml:space="preserve"> to 36</w:t>
      </w:r>
      <w:r w:rsidR="009F3668">
        <w:rPr>
          <w:rFonts w:eastAsiaTheme="minorHAnsi"/>
          <w:lang w:val="en-US"/>
        </w:rPr>
        <w:t>.0</w:t>
      </w:r>
      <w:r w:rsidR="009F3668" w:rsidRPr="000503F5">
        <w:rPr>
          <w:rFonts w:eastAsiaTheme="minorHAnsi"/>
          <w:lang w:val="en-US"/>
        </w:rPr>
        <w:t xml:space="preserve"> years)</w:t>
      </w:r>
      <w:r w:rsidR="009F3668">
        <w:rPr>
          <w:rFonts w:eastAsiaTheme="minorHAnsi"/>
          <w:lang w:val="en-US"/>
        </w:rPr>
        <w:t xml:space="preserve"> and </w:t>
      </w:r>
      <w:proofErr w:type="spellStart"/>
      <w:r w:rsidR="009F3668">
        <w:rPr>
          <w:rFonts w:eastAsiaTheme="minorHAnsi"/>
          <w:lang w:val="en-US"/>
        </w:rPr>
        <w:t>analysed</w:t>
      </w:r>
      <w:proofErr w:type="spellEnd"/>
      <w:r w:rsidR="009F3668">
        <w:rPr>
          <w:rFonts w:eastAsiaTheme="minorHAnsi"/>
          <w:lang w:val="en-US"/>
        </w:rPr>
        <w:t xml:space="preserve"> retrospectively. </w:t>
      </w:r>
      <w:r w:rsidR="00155E73">
        <w:rPr>
          <w:color w:val="000000" w:themeColor="text1"/>
        </w:rPr>
        <w:t xml:space="preserve">With </w:t>
      </w:r>
      <w:r w:rsidR="002B06BC">
        <w:rPr>
          <w:color w:val="000000" w:themeColor="text1"/>
        </w:rPr>
        <w:t xml:space="preserve">some </w:t>
      </w:r>
      <w:r w:rsidR="00155E73">
        <w:rPr>
          <w:color w:val="000000" w:themeColor="text1"/>
        </w:rPr>
        <w:t xml:space="preserve">players measured once and others more than once (range: 1 to 12 assessments), the </w:t>
      </w:r>
      <w:r w:rsidR="00155E73">
        <w:rPr>
          <w:rFonts w:eastAsiaTheme="minorHAnsi"/>
          <w:lang w:val="en-US"/>
        </w:rPr>
        <w:t>present study sample included goalkeepers and outfield p</w:t>
      </w:r>
      <w:r w:rsidR="00155E73" w:rsidRPr="000503F5">
        <w:rPr>
          <w:rFonts w:eastAsiaTheme="minorHAnsi"/>
          <w:lang w:val="en-US"/>
        </w:rPr>
        <w:t>layers tested at multiple time points</w:t>
      </w:r>
      <w:r w:rsidR="00155E73">
        <w:rPr>
          <w:rFonts w:eastAsiaTheme="minorHAnsi"/>
          <w:lang w:val="en-US"/>
        </w:rPr>
        <w:t xml:space="preserve"> across four seasons </w:t>
      </w:r>
      <w:r w:rsidR="00155E73" w:rsidRPr="000503F5">
        <w:rPr>
          <w:rFonts w:eastAsiaTheme="minorHAnsi"/>
          <w:lang w:val="en-US"/>
        </w:rPr>
        <w:t>for a total of 1715 individual observations.</w:t>
      </w:r>
      <w:r w:rsidR="00CE78E7">
        <w:rPr>
          <w:rFonts w:eastAsiaTheme="minorHAnsi"/>
          <w:lang w:val="en-US"/>
        </w:rPr>
        <w:t xml:space="preserve"> </w:t>
      </w:r>
      <w:r>
        <w:rPr>
          <w:color w:val="000000" w:themeColor="text1"/>
          <w:lang w:val="en-US"/>
        </w:rPr>
        <w:t>Performance tests were</w:t>
      </w:r>
      <w:r w:rsidRPr="00A4035D">
        <w:rPr>
          <w:color w:val="000000" w:themeColor="text1"/>
          <w:lang w:val="en-US"/>
        </w:rPr>
        <w:t xml:space="preserve"> </w:t>
      </w:r>
      <w:r>
        <w:rPr>
          <w:color w:val="000000" w:themeColor="text1"/>
          <w:lang w:val="en-US"/>
        </w:rPr>
        <w:t>conducted at three time points (start</w:t>
      </w:r>
      <w:r w:rsidR="000C553E">
        <w:rPr>
          <w:color w:val="000000" w:themeColor="text1"/>
          <w:lang w:val="en-US"/>
        </w:rPr>
        <w:t xml:space="preserve"> (September)</w:t>
      </w:r>
      <w:r>
        <w:rPr>
          <w:color w:val="000000" w:themeColor="text1"/>
          <w:lang w:val="en-US"/>
        </w:rPr>
        <w:t>, middle</w:t>
      </w:r>
      <w:r w:rsidR="000C553E">
        <w:rPr>
          <w:color w:val="000000" w:themeColor="text1"/>
          <w:lang w:val="en-US"/>
        </w:rPr>
        <w:t xml:space="preserve"> (January)</w:t>
      </w:r>
      <w:r>
        <w:rPr>
          <w:color w:val="000000" w:themeColor="text1"/>
          <w:lang w:val="en-US"/>
        </w:rPr>
        <w:t xml:space="preserve"> and end of season</w:t>
      </w:r>
      <w:r w:rsidR="000C553E">
        <w:rPr>
          <w:color w:val="000000" w:themeColor="text1"/>
          <w:lang w:val="en-US"/>
        </w:rPr>
        <w:t xml:space="preserve"> April)</w:t>
      </w:r>
      <w:r>
        <w:rPr>
          <w:color w:val="000000" w:themeColor="text1"/>
          <w:lang w:val="en-US"/>
        </w:rPr>
        <w:t>) throughout the year.</w:t>
      </w:r>
      <w:r w:rsidR="009F3668">
        <w:rPr>
          <w:color w:val="000000" w:themeColor="text1"/>
          <w:lang w:val="en-US"/>
        </w:rPr>
        <w:t xml:space="preserve"> </w:t>
      </w:r>
      <w:r w:rsidR="002938B6">
        <w:rPr>
          <w:color w:val="000000" w:themeColor="text1"/>
          <w:lang w:val="en-US"/>
        </w:rPr>
        <w:t xml:space="preserve">Performance </w:t>
      </w:r>
      <w:r w:rsidR="002938B6">
        <w:rPr>
          <w:color w:val="000000" w:themeColor="text1"/>
        </w:rPr>
        <w:t>d</w:t>
      </w:r>
      <w:r w:rsidR="00637CB5">
        <w:rPr>
          <w:color w:val="000000" w:themeColor="text1"/>
        </w:rPr>
        <w:t>ata w</w:t>
      </w:r>
      <w:r w:rsidR="002938B6">
        <w:rPr>
          <w:color w:val="000000" w:themeColor="text1"/>
        </w:rPr>
        <w:t>ere</w:t>
      </w:r>
      <w:r w:rsidR="00637CB5">
        <w:rPr>
          <w:color w:val="000000" w:themeColor="text1"/>
        </w:rPr>
        <w:t xml:space="preserve"> collected as </w:t>
      </w:r>
      <w:r w:rsidRPr="00A4035D">
        <w:rPr>
          <w:color w:val="000000" w:themeColor="text1"/>
        </w:rPr>
        <w:t xml:space="preserve">a condition of employment in which player </w:t>
      </w:r>
      <w:r>
        <w:rPr>
          <w:color w:val="000000" w:themeColor="text1"/>
        </w:rPr>
        <w:t xml:space="preserve">physical </w:t>
      </w:r>
      <w:r w:rsidRPr="00A4035D">
        <w:rPr>
          <w:color w:val="000000" w:themeColor="text1"/>
        </w:rPr>
        <w:t xml:space="preserve">performance is routinely </w:t>
      </w:r>
      <w:r>
        <w:rPr>
          <w:color w:val="000000" w:themeColor="text1"/>
        </w:rPr>
        <w:t xml:space="preserve">assessed </w:t>
      </w:r>
      <w:r>
        <w:rPr>
          <w:color w:val="000000" w:themeColor="text1"/>
        </w:rPr>
        <w:fldChar w:fldCharType="begin"/>
      </w:r>
      <w:r>
        <w:rPr>
          <w:color w:val="000000" w:themeColor="text1"/>
        </w:rPr>
        <w:instrText xml:space="preserve"> ADDIN ZOTERO_ITEM CSL_CITATION {"citationID":"ajWRoaxB","properties":{"formattedCitation":"(26)","plainCitation":"(26)","noteIndex":0},"citationItems":[{"id":55,"uris":["http://zotero.org/users/local/AE0gAnhG/items/R7RYH8D9"],"uri":["http://zotero.org/users/local/AE0gAnhG/items/R7RYH8D9"],"itemData":{"id":55,"type":"article-journal","container-title":"Journal of Sports Sciences","DOI":"10.1080/02640410903178344","ISSN":"0264-0414, 1466-447X","issue":"10","journalAbbreviation":"Journal of Sports Sciences","language":"en","page":"985-985","source":"DOI.org (Crossref)","title":"Requirements for ethics approvals","volume":"27","author":[{"family":"Winter","given":"Edward M."},{"family":"Maughan","given":"Ronald J."}],"issued":{"date-parts":[["2009",8]]}}}],"schema":"https://github.com/citation-style-language/schema/raw/master/csl-citation.json"} </w:instrText>
      </w:r>
      <w:r>
        <w:rPr>
          <w:color w:val="000000" w:themeColor="text1"/>
        </w:rPr>
        <w:fldChar w:fldCharType="separate"/>
      </w:r>
      <w:r w:rsidR="00A709BD">
        <w:rPr>
          <w:noProof/>
          <w:color w:val="000000" w:themeColor="text1"/>
        </w:rPr>
        <w:t>(26)</w:t>
      </w:r>
      <w:r>
        <w:rPr>
          <w:color w:val="000000" w:themeColor="text1"/>
        </w:rPr>
        <w:fldChar w:fldCharType="end"/>
      </w:r>
      <w:r w:rsidR="002B06BC">
        <w:rPr>
          <w:color w:val="000000" w:themeColor="text1"/>
        </w:rPr>
        <w:t>. A</w:t>
      </w:r>
      <w:r w:rsidR="000D425B">
        <w:rPr>
          <w:color w:val="000000" w:themeColor="text1"/>
        </w:rPr>
        <w:t>ll data were anonymised prior to analysis to ensure player confidentiality and a</w:t>
      </w:r>
      <w:r w:rsidR="002938B6">
        <w:rPr>
          <w:color w:val="000000" w:themeColor="text1"/>
        </w:rPr>
        <w:t>ppropriate institutional ethics committee approval was granted.</w:t>
      </w:r>
      <w:r w:rsidR="002938B6">
        <w:rPr>
          <w:color w:val="000000" w:themeColor="text1"/>
          <w:lang w:val="en-US"/>
        </w:rPr>
        <w:t xml:space="preserve"> </w:t>
      </w:r>
      <w:r w:rsidR="00637CB5">
        <w:rPr>
          <w:rFonts w:eastAsiaTheme="minorHAnsi"/>
          <w:lang w:val="en-US"/>
        </w:rPr>
        <w:t xml:space="preserve">At the time of testing, </w:t>
      </w:r>
      <w:r w:rsidR="000C553E">
        <w:rPr>
          <w:color w:val="000000" w:themeColor="text1"/>
          <w:lang w:val="en-US"/>
        </w:rPr>
        <w:t xml:space="preserve">an average training week for the senior players consisted of 4-6 pitch-based training sessions, 2-3 strength sessions and </w:t>
      </w:r>
      <w:r w:rsidR="00637CB5">
        <w:rPr>
          <w:color w:val="000000" w:themeColor="text1"/>
          <w:lang w:val="en-US"/>
        </w:rPr>
        <w:t>1-2</w:t>
      </w:r>
      <w:r w:rsidR="000C553E">
        <w:rPr>
          <w:color w:val="000000" w:themeColor="text1"/>
          <w:lang w:val="en-US"/>
        </w:rPr>
        <w:t xml:space="preserve"> competitive match</w:t>
      </w:r>
      <w:r w:rsidR="00637CB5">
        <w:rPr>
          <w:color w:val="000000" w:themeColor="text1"/>
          <w:lang w:val="en-US"/>
        </w:rPr>
        <w:t>es, whereas U15 players completed 2-3 pitch-based training sessions, 1 strength session and 1 match per week.</w:t>
      </w:r>
    </w:p>
    <w:p w14:paraId="0C01D0E1" w14:textId="3CB6F25F" w:rsidR="004025DF" w:rsidRDefault="004025DF" w:rsidP="00A709BD">
      <w:pPr>
        <w:jc w:val="both"/>
        <w:rPr>
          <w:rFonts w:eastAsiaTheme="minorHAnsi"/>
          <w:lang w:val="en-US"/>
        </w:rPr>
      </w:pPr>
    </w:p>
    <w:p w14:paraId="458B96F6" w14:textId="77777777" w:rsidR="004025DF" w:rsidRPr="00A4035D" w:rsidRDefault="004025DF" w:rsidP="00A709BD">
      <w:pPr>
        <w:pStyle w:val="NormalWeb"/>
        <w:spacing w:before="0" w:beforeAutospacing="0" w:after="0" w:afterAutospacing="0"/>
        <w:jc w:val="both"/>
        <w:outlineLvl w:val="0"/>
        <w:rPr>
          <w:b/>
          <w:bCs/>
          <w:color w:val="000000" w:themeColor="text1"/>
        </w:rPr>
      </w:pPr>
      <w:r w:rsidRPr="00A4035D">
        <w:rPr>
          <w:b/>
          <w:bCs/>
          <w:color w:val="000000" w:themeColor="text1"/>
        </w:rPr>
        <w:t>Procedures</w:t>
      </w:r>
    </w:p>
    <w:p w14:paraId="1771BF70" w14:textId="13F3C568" w:rsidR="00C54AF8" w:rsidRDefault="004025DF" w:rsidP="00A709BD">
      <w:pPr>
        <w:pStyle w:val="NormalWeb"/>
        <w:spacing w:before="0" w:beforeAutospacing="0" w:after="0" w:afterAutospacing="0"/>
        <w:jc w:val="both"/>
        <w:rPr>
          <w:color w:val="000000" w:themeColor="text1"/>
          <w:lang w:val="en-US"/>
        </w:rPr>
      </w:pPr>
      <w:r>
        <w:rPr>
          <w:color w:val="000000" w:themeColor="text1"/>
        </w:rPr>
        <w:t>A</w:t>
      </w:r>
      <w:r w:rsidRPr="00A4035D">
        <w:rPr>
          <w:color w:val="000000" w:themeColor="text1"/>
        </w:rPr>
        <w:t xml:space="preserve"> standardised warm-up was completed, consisting of generic warm-up activity</w:t>
      </w:r>
      <w:r>
        <w:rPr>
          <w:color w:val="000000" w:themeColor="text1"/>
        </w:rPr>
        <w:t xml:space="preserve"> p</w:t>
      </w:r>
      <w:r w:rsidRPr="00A4035D">
        <w:rPr>
          <w:color w:val="000000" w:themeColor="text1"/>
        </w:rPr>
        <w:t>rior to commencing the physical performance tests. Specific warm-ups were also completed prior to each of the performance tests. To ensure consistency between testing occasions, National federation staff coached the warm-up activity.</w:t>
      </w:r>
      <w:r>
        <w:rPr>
          <w:color w:val="000000" w:themeColor="text1"/>
        </w:rPr>
        <w:t xml:space="preserve"> Prior to assessment, all players had previously completed each test on at least one occasion. All performance tests were performed on third generation turf (indoor arena). Tests were completed in a single session and in the same order on each test occasion</w:t>
      </w:r>
      <w:r w:rsidR="003B47E8">
        <w:rPr>
          <w:color w:val="000000" w:themeColor="text1"/>
        </w:rPr>
        <w:t xml:space="preserve">. Countermovement jump (CMJ) was completed first, followed by linear speed and finally the </w:t>
      </w:r>
      <w:r w:rsidR="003B47E8">
        <w:rPr>
          <w:color w:val="000000" w:themeColor="text1"/>
          <w:lang w:val="en-US"/>
        </w:rPr>
        <w:t>Yo-Yo Intermittent Recovery Test Level 1 (</w:t>
      </w:r>
      <w:r w:rsidR="003B47E8" w:rsidRPr="00A4035D">
        <w:rPr>
          <w:color w:val="000000" w:themeColor="text1"/>
          <w:lang w:val="en-US"/>
        </w:rPr>
        <w:t>Y</w:t>
      </w:r>
      <w:r w:rsidR="003B47E8">
        <w:rPr>
          <w:color w:val="000000" w:themeColor="text1"/>
          <w:lang w:val="en-US"/>
        </w:rPr>
        <w:t>o-</w:t>
      </w:r>
      <w:r w:rsidR="003B47E8" w:rsidRPr="00A4035D">
        <w:rPr>
          <w:color w:val="000000" w:themeColor="text1"/>
          <w:lang w:val="en-US"/>
        </w:rPr>
        <w:t>Y</w:t>
      </w:r>
      <w:r w:rsidR="003B47E8">
        <w:rPr>
          <w:color w:val="000000" w:themeColor="text1"/>
          <w:lang w:val="en-US"/>
        </w:rPr>
        <w:t xml:space="preserve">o </w:t>
      </w:r>
      <w:r w:rsidR="003B47E8" w:rsidRPr="00A4035D">
        <w:rPr>
          <w:color w:val="000000" w:themeColor="text1"/>
          <w:lang w:val="en-US"/>
        </w:rPr>
        <w:t>IR1</w:t>
      </w:r>
      <w:r w:rsidR="003B47E8">
        <w:rPr>
          <w:color w:val="000000" w:themeColor="text1"/>
          <w:lang w:val="en-US"/>
        </w:rPr>
        <w:t>)</w:t>
      </w:r>
      <w:r w:rsidR="003B47E8" w:rsidRPr="00A4035D">
        <w:rPr>
          <w:color w:val="000000" w:themeColor="text1"/>
          <w:lang w:val="en-US"/>
        </w:rPr>
        <w:t>.</w:t>
      </w:r>
      <w:r w:rsidR="00AF3CC9">
        <w:rPr>
          <w:color w:val="000000" w:themeColor="text1"/>
          <w:lang w:val="en-US"/>
        </w:rPr>
        <w:t xml:space="preserve"> </w:t>
      </w:r>
      <w:r w:rsidR="00C54AF8">
        <w:rPr>
          <w:color w:val="000000" w:themeColor="text1"/>
          <w:lang w:val="en-US"/>
        </w:rPr>
        <w:t xml:space="preserve">Reliability assessments were undertaken, with 140 players completing physical performance testing on two separate occasions separated by seven days (27). </w:t>
      </w:r>
    </w:p>
    <w:p w14:paraId="3A8E4865" w14:textId="77777777" w:rsidR="00C54AF8" w:rsidRDefault="00C54AF8" w:rsidP="00A709BD">
      <w:pPr>
        <w:pStyle w:val="NormalWeb"/>
        <w:spacing w:before="0" w:beforeAutospacing="0" w:after="0" w:afterAutospacing="0"/>
        <w:jc w:val="both"/>
        <w:rPr>
          <w:color w:val="000000" w:themeColor="text1"/>
          <w:lang w:val="en-US"/>
        </w:rPr>
      </w:pPr>
    </w:p>
    <w:p w14:paraId="6D07420E" w14:textId="77777777" w:rsidR="004025DF" w:rsidRDefault="004025DF" w:rsidP="00A709BD">
      <w:pPr>
        <w:pStyle w:val="PhDHeading"/>
        <w:spacing w:line="240" w:lineRule="auto"/>
        <w:ind w:left="0"/>
        <w:jc w:val="both"/>
        <w:rPr>
          <w:color w:val="000000" w:themeColor="text1"/>
        </w:rPr>
      </w:pPr>
    </w:p>
    <w:p w14:paraId="4A7E13F6" w14:textId="77777777" w:rsidR="004025DF" w:rsidRPr="00A4035D" w:rsidRDefault="004025DF" w:rsidP="00A709BD">
      <w:pPr>
        <w:pStyle w:val="PhDHeading"/>
        <w:spacing w:line="240" w:lineRule="auto"/>
        <w:ind w:left="0"/>
        <w:jc w:val="both"/>
        <w:rPr>
          <w:color w:val="000000" w:themeColor="text1"/>
        </w:rPr>
      </w:pPr>
      <w:r w:rsidRPr="00A4035D">
        <w:rPr>
          <w:color w:val="000000" w:themeColor="text1"/>
        </w:rPr>
        <w:t xml:space="preserve">Countermovement </w:t>
      </w:r>
      <w:r>
        <w:rPr>
          <w:color w:val="000000" w:themeColor="text1"/>
        </w:rPr>
        <w:t>j</w:t>
      </w:r>
      <w:r w:rsidRPr="00A4035D">
        <w:rPr>
          <w:color w:val="000000" w:themeColor="text1"/>
        </w:rPr>
        <w:t>ump</w:t>
      </w:r>
    </w:p>
    <w:p w14:paraId="517D0DE9" w14:textId="38129726" w:rsidR="004025DF" w:rsidRDefault="004025DF" w:rsidP="00A709BD">
      <w:pPr>
        <w:jc w:val="both"/>
        <w:rPr>
          <w:color w:val="000000"/>
          <w:lang w:eastAsia="en-GB"/>
        </w:rPr>
      </w:pPr>
      <w:r w:rsidRPr="00A4035D">
        <w:rPr>
          <w:color w:val="000000" w:themeColor="text1"/>
          <w:lang w:val="en-US"/>
        </w:rPr>
        <w:t xml:space="preserve">Estimations of player’s lower limb muscular power were assessed via a </w:t>
      </w:r>
      <w:r>
        <w:rPr>
          <w:color w:val="000000" w:themeColor="text1"/>
          <w:lang w:val="en-US"/>
        </w:rPr>
        <w:t>CMJ</w:t>
      </w:r>
      <w:r w:rsidRPr="00A4035D">
        <w:rPr>
          <w:color w:val="000000" w:themeColor="text1"/>
          <w:lang w:val="en-US"/>
        </w:rPr>
        <w:t xml:space="preserve"> on a jump mat (KMS Innervations, Australia). The jump mat was placed on a firm, concrete surface at the edge of the </w:t>
      </w:r>
      <w:r w:rsidRPr="00A4035D">
        <w:rPr>
          <w:rFonts w:eastAsiaTheme="minorHAnsi"/>
          <w:color w:val="000000" w:themeColor="text1"/>
          <w:lang w:val="en-US"/>
        </w:rPr>
        <w:t xml:space="preserve">third-generation turf (indoor arena). Following the generic and jump-specific warm-up activity, the player was permitted an additional practice jump on the mat before </w:t>
      </w:r>
      <w:r w:rsidRPr="00A4035D">
        <w:rPr>
          <w:rFonts w:eastAsiaTheme="minorHAnsi"/>
          <w:color w:val="000000" w:themeColor="text1"/>
          <w:lang w:val="en-US"/>
        </w:rPr>
        <w:lastRenderedPageBreak/>
        <w:t>performing three recorded trials. The player was instructed to step on to the mat and place their feet in the middle of the mat (a comfortable distance apart) with their hands on their hips. The player started from an upright position</w:t>
      </w:r>
      <w:r w:rsidR="00832930">
        <w:rPr>
          <w:rFonts w:eastAsiaTheme="minorHAnsi"/>
          <w:color w:val="000000" w:themeColor="text1"/>
          <w:lang w:val="en-US"/>
        </w:rPr>
        <w:t xml:space="preserve"> </w:t>
      </w:r>
      <w:r w:rsidRPr="00A4035D">
        <w:rPr>
          <w:rFonts w:eastAsiaTheme="minorHAnsi"/>
          <w:color w:val="000000" w:themeColor="text1"/>
          <w:lang w:val="en-US"/>
        </w:rPr>
        <w:t xml:space="preserve">and </w:t>
      </w:r>
      <w:r>
        <w:rPr>
          <w:rFonts w:eastAsiaTheme="minorHAnsi"/>
          <w:color w:val="000000" w:themeColor="text1"/>
          <w:lang w:val="en-US"/>
        </w:rPr>
        <w:t xml:space="preserve">was </w:t>
      </w:r>
      <w:r w:rsidRPr="00A4035D">
        <w:rPr>
          <w:rFonts w:eastAsiaTheme="minorHAnsi"/>
          <w:color w:val="000000" w:themeColor="text1"/>
          <w:lang w:val="en-US"/>
        </w:rPr>
        <w:t xml:space="preserve">instructed to </w:t>
      </w:r>
      <w:r w:rsidRPr="00A4035D">
        <w:rPr>
          <w:color w:val="000000" w:themeColor="text1"/>
          <w:lang w:val="en-US"/>
        </w:rPr>
        <w:t>jump as high as possible whil</w:t>
      </w:r>
      <w:r>
        <w:rPr>
          <w:color w:val="000000" w:themeColor="text1"/>
          <w:lang w:val="en-US"/>
        </w:rPr>
        <w:t>e</w:t>
      </w:r>
      <w:r w:rsidRPr="00A4035D">
        <w:rPr>
          <w:color w:val="000000" w:themeColor="text1"/>
          <w:lang w:val="en-US"/>
        </w:rPr>
        <w:t xml:space="preserve"> keeping their hands on their hips. Players </w:t>
      </w:r>
      <w:r w:rsidR="00832930">
        <w:rPr>
          <w:color w:val="000000" w:themeColor="text1"/>
          <w:lang w:val="en-US"/>
        </w:rPr>
        <w:t xml:space="preserve">self-selected the depth of flexion prior to take off and </w:t>
      </w:r>
      <w:r w:rsidRPr="00A4035D">
        <w:rPr>
          <w:color w:val="000000" w:themeColor="text1"/>
          <w:lang w:val="en-US"/>
        </w:rPr>
        <w:t>were instructed to keep their legs straight whilst in the air and refrain from bringing their legs into a pike position or flicking their heels. The highest jump height recorded to the nearest 0.1 cm was used as the criterion measure of performance.</w:t>
      </w:r>
      <w:r>
        <w:rPr>
          <w:color w:val="000000" w:themeColor="text1"/>
          <w:lang w:val="en-US"/>
        </w:rPr>
        <w:t xml:space="preserve"> The estimated standard error of the measurement (SEM) for this test was </w:t>
      </w:r>
      <w:r>
        <w:rPr>
          <w:color w:val="000000"/>
          <w:lang w:eastAsia="en-GB"/>
        </w:rPr>
        <w:t>1.1</w:t>
      </w:r>
      <w:r w:rsidRPr="007C7130">
        <w:rPr>
          <w:color w:val="000000"/>
          <w:lang w:eastAsia="en-GB"/>
        </w:rPr>
        <w:t xml:space="preserve"> cm (95%CI, </w:t>
      </w:r>
      <w:r>
        <w:rPr>
          <w:color w:val="000000"/>
          <w:lang w:eastAsia="en-GB"/>
        </w:rPr>
        <w:t>0.9</w:t>
      </w:r>
      <w:r w:rsidRPr="007C7130">
        <w:rPr>
          <w:color w:val="000000"/>
          <w:lang w:eastAsia="en-GB"/>
        </w:rPr>
        <w:t xml:space="preserve"> cm to </w:t>
      </w:r>
      <w:r>
        <w:rPr>
          <w:color w:val="000000"/>
          <w:lang w:eastAsia="en-GB"/>
        </w:rPr>
        <w:t>1</w:t>
      </w:r>
      <w:r w:rsidRPr="007C7130">
        <w:rPr>
          <w:color w:val="000000"/>
          <w:lang w:eastAsia="en-GB"/>
        </w:rPr>
        <w:t>.2 cm</w:t>
      </w:r>
      <w:r>
        <w:rPr>
          <w:color w:val="000000"/>
          <w:lang w:eastAsia="en-GB"/>
        </w:rPr>
        <w:t>)</w:t>
      </w:r>
      <w:r w:rsidR="003B47E8">
        <w:rPr>
          <w:color w:val="000000"/>
          <w:lang w:eastAsia="en-GB"/>
        </w:rPr>
        <w:t xml:space="preserve"> and the coefficient of variation (CV) was 3.9%</w:t>
      </w:r>
      <w:r>
        <w:rPr>
          <w:color w:val="000000"/>
          <w:lang w:eastAsia="en-GB"/>
        </w:rPr>
        <w:t xml:space="preserve"> </w:t>
      </w:r>
      <w:r w:rsidR="00AF3CC9">
        <w:rPr>
          <w:color w:val="000000"/>
          <w:lang w:eastAsia="en-GB"/>
        </w:rPr>
        <w:t xml:space="preserve">(95%CI, 3.4% to 4.3%) </w:t>
      </w:r>
      <w:r>
        <w:rPr>
          <w:color w:val="000000"/>
          <w:lang w:eastAsia="en-GB"/>
        </w:rPr>
        <w:fldChar w:fldCharType="begin"/>
      </w:r>
      <w:r>
        <w:rPr>
          <w:color w:val="000000"/>
          <w:lang w:eastAsia="en-GB"/>
        </w:rPr>
        <w:instrText xml:space="preserve"> ADDIN ZOTERO_ITEM CSL_CITATION {"citationID":"onusWl8j","properties":{"formattedCitation":"(27)","plainCitation":"(27)","noteIndex":0},"citationItems":[{"id":57,"uris":["http://zotero.org/users/local/AE0gAnhG/items/34YWIND8"],"uri":["http://zotero.org/users/local/AE0gAnhG/items/34YWIND8"],"itemData":{"id":57,"type":"article-journal","abstract":"Introduction: Valid and informed interpretations of changes in physical performance test data are important within athletic development programmes. At present, there is a lack of consensus regarding a suitable method for deeming whether a change in physical performance is practically relevant or not.\nMethods: We compared true population variance in mean test scores between those derived from evidence synthesis of observational studies to those derived from practioner opinion (n = 30), and to those derived from a measurement error (minimal detectable change) quanti cation (n = 140). All these methods can help to obtain ‘target’ change score values for performance variables.\nResults: We found that the conventional ‘blanket’ target change of 0.2 (between-subjects SD) systematically underestimated practically relevant and more informed changes derived for 5-m sprinting, 30-m sprinting, CMJ, and Yo-Yo Intermittent Recovery Level 1 (IR1) tests in elite female soccer players.\nConclusions: For the rst time in the eld of sport and exercise sciences, we have illustrated the use of a principled approach for comparing di erent methods for the de nition of changes in physical performance test variables that are practically relevant. Our between-method comparison approach provides preliminary guidance for arriving at target change values that may be useful for research purposes and tracking of individual female soccer player’s physical performance.","container-title":"Science and Medicine in Football","DOI":"10.1080/24733938.2021.1942538","ISSN":"2473-3938, 2473-4446","journalAbbreviation":"Science and Medicine in Football","language":"en","page":"1-14","source":"DOI.org (Crossref)","title":"Inter-methodological quantification of the target change for performance test outcomes relevant to elite female soccer players","author":[{"family":"Datson","given":"Naomi"},{"family":"Lolli","given":"Lorenzo"},{"family":"Drust","given":"Barry"},{"family":"Atkinson","given":"Greg"},{"family":"Weston","given":"Matthew"},{"family":"Gregson","given":"Warren"}],"issued":{"date-parts":[["2021",6,27]]}}}],"schema":"https://github.com/citation-style-language/schema/raw/master/csl-citation.json"} </w:instrText>
      </w:r>
      <w:r>
        <w:rPr>
          <w:color w:val="000000"/>
          <w:lang w:eastAsia="en-GB"/>
        </w:rPr>
        <w:fldChar w:fldCharType="separate"/>
      </w:r>
      <w:r w:rsidR="00A709BD">
        <w:rPr>
          <w:noProof/>
          <w:color w:val="000000"/>
          <w:lang w:eastAsia="en-GB"/>
        </w:rPr>
        <w:t>(27)</w:t>
      </w:r>
      <w:r>
        <w:rPr>
          <w:color w:val="000000"/>
          <w:lang w:eastAsia="en-GB"/>
        </w:rPr>
        <w:fldChar w:fldCharType="end"/>
      </w:r>
      <w:r>
        <w:rPr>
          <w:color w:val="000000"/>
          <w:lang w:eastAsia="en-GB"/>
        </w:rPr>
        <w:t>.</w:t>
      </w:r>
    </w:p>
    <w:p w14:paraId="4132F6B6" w14:textId="5B2F7CFB" w:rsidR="004025DF" w:rsidRDefault="004025DF" w:rsidP="00A709BD">
      <w:pPr>
        <w:jc w:val="both"/>
        <w:rPr>
          <w:color w:val="000000"/>
          <w:lang w:eastAsia="en-GB"/>
        </w:rPr>
      </w:pPr>
    </w:p>
    <w:p w14:paraId="2753F2A9" w14:textId="77777777" w:rsidR="004025DF" w:rsidRPr="00A4035D" w:rsidRDefault="004025DF" w:rsidP="00A709BD">
      <w:pPr>
        <w:pStyle w:val="PhDHeading"/>
        <w:spacing w:line="240" w:lineRule="auto"/>
        <w:ind w:left="0"/>
        <w:jc w:val="both"/>
        <w:rPr>
          <w:color w:val="000000" w:themeColor="text1"/>
        </w:rPr>
      </w:pPr>
      <w:r w:rsidRPr="00A4035D">
        <w:rPr>
          <w:color w:val="000000" w:themeColor="text1"/>
        </w:rPr>
        <w:t xml:space="preserve">Linear </w:t>
      </w:r>
      <w:r>
        <w:rPr>
          <w:color w:val="000000" w:themeColor="text1"/>
        </w:rPr>
        <w:t>s</w:t>
      </w:r>
      <w:r w:rsidRPr="00A4035D">
        <w:rPr>
          <w:color w:val="000000" w:themeColor="text1"/>
        </w:rPr>
        <w:t>peed</w:t>
      </w:r>
    </w:p>
    <w:p w14:paraId="47DA935B" w14:textId="7F49D80B" w:rsidR="004025DF" w:rsidRPr="00E32CD7" w:rsidRDefault="004025DF" w:rsidP="00A709BD">
      <w:pPr>
        <w:jc w:val="both"/>
        <w:rPr>
          <w:color w:val="000000"/>
          <w:lang w:eastAsia="en-GB"/>
        </w:rPr>
      </w:pPr>
      <w:r w:rsidRPr="00A4035D">
        <w:rPr>
          <w:color w:val="000000" w:themeColor="text1"/>
          <w:lang w:val="en-US"/>
        </w:rPr>
        <w:t>Player’s linear speed times were evaluated using electronic timing gates (Brower TC Timing System, USA) over distances of</w:t>
      </w:r>
      <w:r w:rsidR="00FB74C0">
        <w:rPr>
          <w:color w:val="000000" w:themeColor="text1"/>
          <w:lang w:val="en-US"/>
        </w:rPr>
        <w:t xml:space="preserve"> 5-m and </w:t>
      </w:r>
      <w:r w:rsidRPr="00A4035D">
        <w:rPr>
          <w:color w:val="000000" w:themeColor="text1"/>
          <w:lang w:val="en-US"/>
        </w:rPr>
        <w:t>30</w:t>
      </w:r>
      <w:r w:rsidR="00FB74C0">
        <w:rPr>
          <w:color w:val="000000" w:themeColor="text1"/>
          <w:lang w:val="en-US"/>
        </w:rPr>
        <w:t>-</w:t>
      </w:r>
      <w:r w:rsidRPr="00A4035D">
        <w:rPr>
          <w:color w:val="000000" w:themeColor="text1"/>
          <w:lang w:val="en-US"/>
        </w:rPr>
        <w:t>m. A 50 m steel tape measure (Stanley, UK) was used to measure the 30 m distance and markers were placed at 0, 5 m and 30 m, in addition, a marker was placed 1 m behind the zero line. Tripods were placed directly over each marker at a height of 0.87 m above ground level and a timing gate (transmitter) was fitted to each tripod. Opposite each tripod, at a distance of 2 m, another tripod and timing gate (receiver) was positioned. Following the generic and speed-specific warm-up activity, the player was permitted an additional practice sprint through the course before performing three recorded trials. Each sprint was separated by a 3-min recovery period. The player commenced each sprint with their preferred foot on a line 1 m behind the first timing gate. The fastest time at each distance to the nearest 0.01 s was used as the criterion measure of performance.</w:t>
      </w:r>
      <w:r>
        <w:rPr>
          <w:color w:val="000000" w:themeColor="text1"/>
          <w:lang w:val="en-US"/>
        </w:rPr>
        <w:t xml:space="preserve"> The estimated SEM was </w:t>
      </w:r>
      <w:r w:rsidRPr="007C7130">
        <w:rPr>
          <w:color w:val="000000"/>
          <w:lang w:eastAsia="en-GB"/>
        </w:rPr>
        <w:t>0.0</w:t>
      </w:r>
      <w:r>
        <w:rPr>
          <w:color w:val="000000"/>
          <w:lang w:eastAsia="en-GB"/>
        </w:rPr>
        <w:t>24</w:t>
      </w:r>
      <w:r w:rsidRPr="007C7130">
        <w:rPr>
          <w:color w:val="000000"/>
          <w:lang w:eastAsia="en-GB"/>
        </w:rPr>
        <w:t xml:space="preserve"> </w:t>
      </w:r>
      <w:r>
        <w:rPr>
          <w:color w:val="000000"/>
          <w:lang w:eastAsia="en-GB"/>
        </w:rPr>
        <w:t>s</w:t>
      </w:r>
      <w:r w:rsidRPr="007C7130">
        <w:rPr>
          <w:color w:val="000000"/>
          <w:lang w:eastAsia="en-GB"/>
        </w:rPr>
        <w:t xml:space="preserve"> (95%CI, 0.</w:t>
      </w:r>
      <w:r>
        <w:rPr>
          <w:color w:val="000000"/>
          <w:lang w:eastAsia="en-GB"/>
        </w:rPr>
        <w:t>021</w:t>
      </w:r>
      <w:r w:rsidRPr="007C7130">
        <w:rPr>
          <w:color w:val="000000"/>
          <w:lang w:eastAsia="en-GB"/>
        </w:rPr>
        <w:t xml:space="preserve"> </w:t>
      </w:r>
      <w:r>
        <w:rPr>
          <w:color w:val="000000"/>
          <w:lang w:eastAsia="en-GB"/>
        </w:rPr>
        <w:t>s</w:t>
      </w:r>
      <w:r w:rsidRPr="007C7130">
        <w:rPr>
          <w:color w:val="000000"/>
          <w:lang w:eastAsia="en-GB"/>
        </w:rPr>
        <w:t xml:space="preserve"> to 0.</w:t>
      </w:r>
      <w:r>
        <w:rPr>
          <w:color w:val="000000"/>
          <w:lang w:eastAsia="en-GB"/>
        </w:rPr>
        <w:t>027</w:t>
      </w:r>
      <w:r w:rsidRPr="007C7130">
        <w:rPr>
          <w:color w:val="000000"/>
          <w:lang w:eastAsia="en-GB"/>
        </w:rPr>
        <w:t xml:space="preserve"> </w:t>
      </w:r>
      <w:r>
        <w:rPr>
          <w:color w:val="000000"/>
          <w:lang w:eastAsia="en-GB"/>
        </w:rPr>
        <w:t>s) and 0.057 s (95%CI, 0.051 to 0.064 s) for 5</w:t>
      </w:r>
      <w:r w:rsidR="005130E0">
        <w:rPr>
          <w:color w:val="000000"/>
          <w:lang w:eastAsia="en-GB"/>
        </w:rPr>
        <w:t xml:space="preserve"> </w:t>
      </w:r>
      <w:r>
        <w:rPr>
          <w:color w:val="000000"/>
          <w:lang w:eastAsia="en-GB"/>
        </w:rPr>
        <w:t>m and 30 m linear sprinting respectively</w:t>
      </w:r>
      <w:r w:rsidR="00AF3CC9">
        <w:rPr>
          <w:color w:val="000000"/>
          <w:lang w:eastAsia="en-GB"/>
        </w:rPr>
        <w:t xml:space="preserve"> </w:t>
      </w:r>
      <w:r>
        <w:rPr>
          <w:color w:val="000000"/>
          <w:lang w:eastAsia="en-GB"/>
        </w:rPr>
        <w:fldChar w:fldCharType="begin"/>
      </w:r>
      <w:r>
        <w:rPr>
          <w:color w:val="000000"/>
          <w:lang w:eastAsia="en-GB"/>
        </w:rPr>
        <w:instrText xml:space="preserve"> ADDIN ZOTERO_ITEM CSL_CITATION {"citationID":"pnwpO2HP","properties":{"formattedCitation":"(27)","plainCitation":"(27)","noteIndex":0},"citationItems":[{"id":57,"uris":["http://zotero.org/users/local/AE0gAnhG/items/34YWIND8"],"uri":["http://zotero.org/users/local/AE0gAnhG/items/34YWIND8"],"itemData":{"id":57,"type":"article-journal","abstract":"Introduction: Valid and informed interpretations of changes in physical performance test data are important within athletic development programmes. At present, there is a lack of consensus regarding a suitable method for deeming whether a change in physical performance is practically relevant or not.\nMethods: We compared true population variance in mean test scores between those derived from evidence synthesis of observational studies to those derived from practioner opinion (n = 30), and to those derived from a measurement error (minimal detectable change) quanti cation (n = 140). All these methods can help to obtain ‘target’ change score values for performance variables.\nResults: We found that the conventional ‘blanket’ target change of 0.2 (between-subjects SD) systematically underestimated practically relevant and more informed changes derived for 5-m sprinting, 30-m sprinting, CMJ, and Yo-Yo Intermittent Recovery Level 1 (IR1) tests in elite female soccer players.\nConclusions: For the rst time in the eld of sport and exercise sciences, we have illustrated the use of a principled approach for comparing di erent methods for the de nition of changes in physical performance test variables that are practically relevant. Our between-method comparison approach provides preliminary guidance for arriving at target change values that may be useful for research purposes and tracking of individual female soccer player’s physical performance.","container-title":"Science and Medicine in Football","DOI":"10.1080/24733938.2021.1942538","ISSN":"2473-3938, 2473-4446","journalAbbreviation":"Science and Medicine in Football","language":"en","page":"1-14","source":"DOI.org (Crossref)","title":"Inter-methodological quantification of the target change for performance test outcomes relevant to elite female soccer players","author":[{"family":"Datson","given":"Naomi"},{"family":"Lolli","given":"Lorenzo"},{"family":"Drust","given":"Barry"},{"family":"Atkinson","given":"Greg"},{"family":"Weston","given":"Matthew"},{"family":"Gregson","given":"Warren"}],"issued":{"date-parts":[["2021",6,27]]}}}],"schema":"https://github.com/citation-style-language/schema/raw/master/csl-citation.json"} </w:instrText>
      </w:r>
      <w:r>
        <w:rPr>
          <w:color w:val="000000"/>
          <w:lang w:eastAsia="en-GB"/>
        </w:rPr>
        <w:fldChar w:fldCharType="separate"/>
      </w:r>
      <w:r w:rsidR="00A709BD">
        <w:rPr>
          <w:noProof/>
          <w:color w:val="000000"/>
          <w:lang w:eastAsia="en-GB"/>
        </w:rPr>
        <w:t>(27)</w:t>
      </w:r>
      <w:r>
        <w:rPr>
          <w:color w:val="000000"/>
          <w:lang w:eastAsia="en-GB"/>
        </w:rPr>
        <w:fldChar w:fldCharType="end"/>
      </w:r>
      <w:r>
        <w:rPr>
          <w:color w:val="000000"/>
          <w:lang w:eastAsia="en-GB"/>
        </w:rPr>
        <w:t>.</w:t>
      </w:r>
      <w:r w:rsidR="00AF3CC9">
        <w:rPr>
          <w:color w:val="000000"/>
          <w:lang w:eastAsia="en-GB"/>
        </w:rPr>
        <w:t xml:space="preserve"> The CV was 1.2% (95%CI, 1.1% to 1.4%) and 3.9% (95%CI, 3.4% to 4.3% for </w:t>
      </w:r>
      <w:r w:rsidR="00A11115">
        <w:rPr>
          <w:color w:val="000000"/>
          <w:lang w:eastAsia="en-GB"/>
        </w:rPr>
        <w:t xml:space="preserve">5-m and </w:t>
      </w:r>
      <w:r w:rsidR="00AF3CC9">
        <w:rPr>
          <w:color w:val="000000"/>
          <w:lang w:eastAsia="en-GB"/>
        </w:rPr>
        <w:t>30-m sprinting respectively (27).</w:t>
      </w:r>
    </w:p>
    <w:p w14:paraId="1448A083" w14:textId="6A141BD5" w:rsidR="00B227C8" w:rsidRDefault="00B227C8" w:rsidP="00A709BD">
      <w:pPr>
        <w:jc w:val="both"/>
        <w:rPr>
          <w:rFonts w:eastAsia="Calibri"/>
          <w:color w:val="000000" w:themeColor="text1"/>
        </w:rPr>
      </w:pPr>
    </w:p>
    <w:p w14:paraId="69E110E3" w14:textId="77777777" w:rsidR="004025DF" w:rsidRPr="00A4035D" w:rsidRDefault="004025DF" w:rsidP="00A709BD">
      <w:pPr>
        <w:pStyle w:val="PhDHeading"/>
        <w:spacing w:line="240" w:lineRule="auto"/>
        <w:ind w:left="0"/>
        <w:jc w:val="both"/>
        <w:rPr>
          <w:color w:val="000000" w:themeColor="text1"/>
        </w:rPr>
      </w:pPr>
      <w:r w:rsidRPr="00A4035D">
        <w:rPr>
          <w:color w:val="000000" w:themeColor="text1"/>
        </w:rPr>
        <w:t>Yo-Yo Intermittent Recovery Test Level 1</w:t>
      </w:r>
    </w:p>
    <w:p w14:paraId="207CAC0C" w14:textId="63B5C87A" w:rsidR="004025DF" w:rsidRDefault="004025DF" w:rsidP="00A709BD">
      <w:pPr>
        <w:jc w:val="both"/>
        <w:rPr>
          <w:color w:val="000000"/>
          <w:lang w:eastAsia="en-GB"/>
        </w:rPr>
      </w:pPr>
      <w:r w:rsidRPr="00A4035D">
        <w:rPr>
          <w:color w:val="000000" w:themeColor="text1"/>
          <w:lang w:val="en-US"/>
        </w:rPr>
        <w:t xml:space="preserve">Estimations of player’s high-intensity endurance capacity were assessed </w:t>
      </w:r>
      <w:r>
        <w:rPr>
          <w:color w:val="000000" w:themeColor="text1"/>
          <w:lang w:val="en-US"/>
        </w:rPr>
        <w:t>using the</w:t>
      </w:r>
      <w:r w:rsidRPr="00A4035D">
        <w:rPr>
          <w:color w:val="000000" w:themeColor="text1"/>
          <w:lang w:val="en-US"/>
        </w:rPr>
        <w:t xml:space="preserve"> Y</w:t>
      </w:r>
      <w:r>
        <w:rPr>
          <w:color w:val="000000" w:themeColor="text1"/>
          <w:lang w:val="en-US"/>
        </w:rPr>
        <w:t>o-</w:t>
      </w:r>
      <w:r w:rsidRPr="00A4035D">
        <w:rPr>
          <w:color w:val="000000" w:themeColor="text1"/>
          <w:lang w:val="en-US"/>
        </w:rPr>
        <w:t>Y</w:t>
      </w:r>
      <w:r>
        <w:rPr>
          <w:color w:val="000000" w:themeColor="text1"/>
          <w:lang w:val="en-US"/>
        </w:rPr>
        <w:t xml:space="preserve">o </w:t>
      </w:r>
      <w:r w:rsidRPr="00A4035D">
        <w:rPr>
          <w:color w:val="000000" w:themeColor="text1"/>
          <w:lang w:val="en-US"/>
        </w:rPr>
        <w:t>IR1. During the test, participants completed a series of repeated 20 m shuttle runs with a progressively increasing running speed (10-19 km</w:t>
      </w:r>
      <w:r w:rsidRPr="00F0538B">
        <w:rPr>
          <w:color w:val="000000" w:themeColor="text1"/>
          <w:vertAlign w:val="superscript"/>
          <w:lang w:val="en-US"/>
        </w:rPr>
        <w:t>.</w:t>
      </w:r>
      <w:r w:rsidRPr="00A4035D">
        <w:rPr>
          <w:color w:val="000000" w:themeColor="text1"/>
          <w:lang w:val="en-US"/>
        </w:rPr>
        <w:t>h</w:t>
      </w:r>
      <w:r w:rsidRPr="00A4035D">
        <w:rPr>
          <w:color w:val="000000" w:themeColor="text1"/>
          <w:vertAlign w:val="superscript"/>
          <w:lang w:val="en-US"/>
        </w:rPr>
        <w:t>-1</w:t>
      </w:r>
      <w:r w:rsidRPr="00A4035D">
        <w:rPr>
          <w:color w:val="000000" w:themeColor="text1"/>
          <w:lang w:val="en-US"/>
        </w:rPr>
        <w:t>) interspersed with 10 s rest intervals</w:t>
      </w:r>
      <w:r>
        <w:rPr>
          <w:color w:val="000000" w:themeColor="text1"/>
          <w:lang w:val="en-US"/>
        </w:rPr>
        <w:t xml:space="preserve"> </w:t>
      </w:r>
      <w:r>
        <w:rPr>
          <w:color w:val="000000" w:themeColor="text1"/>
          <w:lang w:val="en-US"/>
        </w:rPr>
        <w:fldChar w:fldCharType="begin"/>
      </w:r>
      <w:r>
        <w:rPr>
          <w:color w:val="000000" w:themeColor="text1"/>
          <w:lang w:val="en-US"/>
        </w:rPr>
        <w:instrText xml:space="preserve"> ADDIN ZOTERO_ITEM CSL_CITATION {"citationID":"sDIb4IEj","properties":{"formattedCitation":"(28)","plainCitation":"(28)","noteIndex":0},"citationItems":[{"id":59,"uris":["http://zotero.org/users/local/AE0gAnhG/items/IWAG7PTA"],"uri":["http://zotero.org/users/local/AE0gAnhG/items/IWAG7PTA"],"itemData":{"id":59,"type":"article-journal","container-title":"Medicine &amp; Science in Sports &amp; Exercise","DOI":"10.1249/01.MSS.0000058441.94520.32","ISSN":"0195-9131","issue":"4","journalAbbreviation":"Medicine &amp; Science in Sports &amp; Exercise","language":"en","page":"697-705","source":"DOI.org (Crossref)","title":"The Yo-Yo Intermittent Recovery Test: Physiological Response, Reliability, and Validity:","title-short":"The Yo-Yo Intermittent Recovery Test","volume":"35","author":[{"family":"Krustrup","given":"Peter"},{"family":"Mohr","given":"Magni"},{"family":"Amstrup","given":"Tommas"},{"family":"Rysgaard","given":"Torben"},{"family":"Johansen","given":"Johnny"},{"family":"Steensberg","given":"Adam"},{"family":"Pedersen","given":"Preben K."},{"family":"Bangsbo","given":"Jens"}],"issued":{"date-parts":[["2003",4]]}}}],"schema":"https://github.com/citation-style-language/schema/raw/master/csl-citation.json"} </w:instrText>
      </w:r>
      <w:r>
        <w:rPr>
          <w:color w:val="000000" w:themeColor="text1"/>
          <w:lang w:val="en-US"/>
        </w:rPr>
        <w:fldChar w:fldCharType="separate"/>
      </w:r>
      <w:r w:rsidR="00A709BD">
        <w:rPr>
          <w:noProof/>
          <w:color w:val="000000" w:themeColor="text1"/>
          <w:lang w:val="en-US"/>
        </w:rPr>
        <w:t>(28)</w:t>
      </w:r>
      <w:r>
        <w:rPr>
          <w:color w:val="000000" w:themeColor="text1"/>
          <w:lang w:val="en-US"/>
        </w:rPr>
        <w:fldChar w:fldCharType="end"/>
      </w:r>
      <w:r>
        <w:rPr>
          <w:color w:val="000000" w:themeColor="text1"/>
          <w:lang w:val="en-US"/>
        </w:rPr>
        <w:t>. The SEM for this test was 74 m</w:t>
      </w:r>
      <w:r w:rsidRPr="007C7130">
        <w:rPr>
          <w:color w:val="000000"/>
          <w:lang w:eastAsia="en-GB"/>
        </w:rPr>
        <w:t xml:space="preserve"> (95%CI, </w:t>
      </w:r>
      <w:r>
        <w:rPr>
          <w:color w:val="000000"/>
          <w:lang w:eastAsia="en-GB"/>
        </w:rPr>
        <w:t>67</w:t>
      </w:r>
      <w:r w:rsidRPr="007C7130">
        <w:rPr>
          <w:color w:val="000000"/>
          <w:lang w:eastAsia="en-GB"/>
        </w:rPr>
        <w:t xml:space="preserve"> m to </w:t>
      </w:r>
      <w:r>
        <w:rPr>
          <w:color w:val="000000"/>
          <w:lang w:eastAsia="en-GB"/>
        </w:rPr>
        <w:t>84</w:t>
      </w:r>
      <w:r w:rsidRPr="007C7130">
        <w:rPr>
          <w:color w:val="000000"/>
          <w:lang w:eastAsia="en-GB"/>
        </w:rPr>
        <w:t xml:space="preserve"> m</w:t>
      </w:r>
      <w:r>
        <w:rPr>
          <w:color w:val="000000"/>
          <w:lang w:eastAsia="en-GB"/>
        </w:rPr>
        <w:t>)</w:t>
      </w:r>
      <w:r w:rsidR="00AF3CC9">
        <w:rPr>
          <w:color w:val="000000"/>
          <w:lang w:eastAsia="en-GB"/>
        </w:rPr>
        <w:t xml:space="preserve"> and the CV was 7.2% (95%CI, 6.3% to 8.1%)</w:t>
      </w:r>
      <w:r>
        <w:rPr>
          <w:color w:val="000000"/>
          <w:lang w:eastAsia="en-GB"/>
        </w:rPr>
        <w:t xml:space="preserve"> </w:t>
      </w:r>
      <w:r>
        <w:rPr>
          <w:color w:val="000000"/>
          <w:lang w:eastAsia="en-GB"/>
        </w:rPr>
        <w:fldChar w:fldCharType="begin"/>
      </w:r>
      <w:r>
        <w:rPr>
          <w:color w:val="000000"/>
          <w:lang w:eastAsia="en-GB"/>
        </w:rPr>
        <w:instrText xml:space="preserve"> ADDIN ZOTERO_ITEM CSL_CITATION {"citationID":"s4RTt0E2","properties":{"formattedCitation":"(27)","plainCitation":"(27)","noteIndex":0},"citationItems":[{"id":57,"uris":["http://zotero.org/users/local/AE0gAnhG/items/34YWIND8"],"uri":["http://zotero.org/users/local/AE0gAnhG/items/34YWIND8"],"itemData":{"id":57,"type":"article-journal","abstract":"Introduction: Valid and informed interpretations of changes in physical performance test data are important within athletic development programmes. At present, there is a lack of consensus regarding a suitable method for deeming whether a change in physical performance is practically relevant or not.\nMethods: We compared true population variance in mean test scores between those derived from evidence synthesis of observational studies to those derived from practioner opinion (n = 30), and to those derived from a measurement error (minimal detectable change) quanti cation (n = 140). All these methods can help to obtain ‘target’ change score values for performance variables.\nResults: We found that the conventional ‘blanket’ target change of 0.2 (between-subjects SD) systematically underestimated practically relevant and more informed changes derived for 5-m sprinting, 30-m sprinting, CMJ, and Yo-Yo Intermittent Recovery Level 1 (IR1) tests in elite female soccer players.\nConclusions: For the rst time in the eld of sport and exercise sciences, we have illustrated the use of a principled approach for comparing di erent methods for the de nition of changes in physical performance test variables that are practically relevant. Our between-method comparison approach provides preliminary guidance for arriving at target change values that may be useful for research purposes and tracking of individual female soccer player’s physical performance.","container-title":"Science and Medicine in Football","DOI":"10.1080/24733938.2021.1942538","ISSN":"2473-3938, 2473-4446","journalAbbreviation":"Science and Medicine in Football","language":"en","page":"1-14","source":"DOI.org (Crossref)","title":"Inter-methodological quantification of the target change for performance test outcomes relevant to elite female soccer players","author":[{"family":"Datson","given":"Naomi"},{"family":"Lolli","given":"Lorenzo"},{"family":"Drust","given":"Barry"},{"family":"Atkinson","given":"Greg"},{"family":"Weston","given":"Matthew"},{"family":"Gregson","given":"Warren"}],"issued":{"date-parts":[["2021",6,27]]}}}],"schema":"https://github.com/citation-style-language/schema/raw/master/csl-citation.json"} </w:instrText>
      </w:r>
      <w:r>
        <w:rPr>
          <w:color w:val="000000"/>
          <w:lang w:eastAsia="en-GB"/>
        </w:rPr>
        <w:fldChar w:fldCharType="separate"/>
      </w:r>
      <w:r w:rsidR="00A709BD">
        <w:rPr>
          <w:noProof/>
          <w:color w:val="000000"/>
          <w:lang w:eastAsia="en-GB"/>
        </w:rPr>
        <w:t>(27)</w:t>
      </w:r>
      <w:r>
        <w:rPr>
          <w:color w:val="000000"/>
          <w:lang w:eastAsia="en-GB"/>
        </w:rPr>
        <w:fldChar w:fldCharType="end"/>
      </w:r>
      <w:r>
        <w:rPr>
          <w:color w:val="000000"/>
          <w:lang w:eastAsia="en-GB"/>
        </w:rPr>
        <w:t>.</w:t>
      </w:r>
    </w:p>
    <w:p w14:paraId="2243C587" w14:textId="1CFD85E4" w:rsidR="004025DF" w:rsidRDefault="004025DF" w:rsidP="00A709BD">
      <w:pPr>
        <w:jc w:val="both"/>
        <w:rPr>
          <w:color w:val="000000"/>
          <w:lang w:eastAsia="en-GB"/>
        </w:rPr>
      </w:pPr>
    </w:p>
    <w:p w14:paraId="1A9F0602" w14:textId="77777777" w:rsidR="004025DF" w:rsidRPr="00A4035D" w:rsidRDefault="004025DF" w:rsidP="00A709BD">
      <w:pPr>
        <w:pStyle w:val="NormalWeb"/>
        <w:spacing w:before="0" w:beforeAutospacing="0" w:after="0" w:afterAutospacing="0"/>
        <w:jc w:val="both"/>
        <w:outlineLvl w:val="0"/>
        <w:rPr>
          <w:b/>
          <w:bCs/>
          <w:color w:val="000000" w:themeColor="text1"/>
        </w:rPr>
      </w:pPr>
      <w:r w:rsidRPr="00A4035D">
        <w:rPr>
          <w:b/>
          <w:bCs/>
          <w:color w:val="000000" w:themeColor="text1"/>
        </w:rPr>
        <w:t>Statistical analysis</w:t>
      </w:r>
    </w:p>
    <w:p w14:paraId="450637FF" w14:textId="394B2530" w:rsidR="004025DF" w:rsidRDefault="004025DF" w:rsidP="00A709BD">
      <w:pPr>
        <w:jc w:val="both"/>
        <w:rPr>
          <w:color w:val="000000" w:themeColor="text1"/>
        </w:rPr>
      </w:pPr>
      <w:r w:rsidRPr="00D52111">
        <w:rPr>
          <w:color w:val="000000" w:themeColor="text1"/>
        </w:rPr>
        <w:t xml:space="preserve">Semi-parametric generalized additive models for location, scale and shape (GAMLSS) estimated </w:t>
      </w:r>
      <w:r>
        <w:rPr>
          <w:color w:val="000000" w:themeColor="text1"/>
        </w:rPr>
        <w:t xml:space="preserve">physical performance </w:t>
      </w:r>
      <w:r w:rsidRPr="00D52111">
        <w:rPr>
          <w:color w:val="000000" w:themeColor="text1"/>
        </w:rPr>
        <w:t>age-</w:t>
      </w:r>
      <w:r w:rsidR="0024629A">
        <w:rPr>
          <w:color w:val="000000" w:themeColor="text1"/>
        </w:rPr>
        <w:t>related</w:t>
      </w:r>
      <w:r w:rsidR="0024629A" w:rsidRPr="00D52111">
        <w:rPr>
          <w:color w:val="000000" w:themeColor="text1"/>
        </w:rPr>
        <w:t xml:space="preserve"> </w:t>
      </w:r>
      <w:r w:rsidRPr="00D52111">
        <w:rPr>
          <w:color w:val="000000" w:themeColor="text1"/>
        </w:rPr>
        <w:t>reference centiles</w:t>
      </w:r>
      <w:r>
        <w:rPr>
          <w:color w:val="000000" w:themeColor="text1"/>
        </w:rPr>
        <w:t xml:space="preserve"> </w:t>
      </w:r>
      <w:r>
        <w:rPr>
          <w:color w:val="000000" w:themeColor="text1"/>
        </w:rPr>
        <w:fldChar w:fldCharType="begin"/>
      </w:r>
      <w:r>
        <w:rPr>
          <w:color w:val="000000" w:themeColor="text1"/>
        </w:rPr>
        <w:instrText xml:space="preserve"> ADDIN ZOTERO_ITEM CSL_CITATION {"citationID":"i0JRrLyw","properties":{"formattedCitation":"(29)","plainCitation":"(29)","noteIndex":0},"citationItems":[{"id":61,"uris":["http://zotero.org/users/local/AE0gAnhG/items/Q32AZHZB"],"uri":["http://zotero.org/users/local/AE0gAnhG/items/Q32AZHZB"],"itemData":{"id":61,"type":"book","event-place":"S.l.","ISBN":"978-0-367-65806-9","language":"English","note":"OCLC: 1178636475","publisher":"Chapman and Hall","publisher-place":"S.l.","source":"Open WorldCat","title":"Flexible regression and smoothing: using gamlss in r.","title-short":"FLEXIBLE REGRESSION AND SMOOTHING","author":[{"family":"Stasinopoulos","given":"MD"},{"family":"Rigby","given":"RA"},{"family":"Heller","given":"GZ"},{"family":"Voudouris","given":"V"},{"family":"De Bastiani","given":"F"}],"issued":{"date-parts":[["2017"]]}}}],"schema":"https://github.com/citation-style-language/schema/raw/master/csl-citation.json"} </w:instrText>
      </w:r>
      <w:r>
        <w:rPr>
          <w:color w:val="000000" w:themeColor="text1"/>
        </w:rPr>
        <w:fldChar w:fldCharType="separate"/>
      </w:r>
      <w:r w:rsidR="00A709BD">
        <w:rPr>
          <w:noProof/>
          <w:color w:val="000000" w:themeColor="text1"/>
        </w:rPr>
        <w:t>(29)</w:t>
      </w:r>
      <w:r>
        <w:rPr>
          <w:color w:val="000000" w:themeColor="text1"/>
        </w:rPr>
        <w:fldChar w:fldCharType="end"/>
      </w:r>
      <w:r>
        <w:rPr>
          <w:color w:val="000000" w:themeColor="text1"/>
        </w:rPr>
        <w:t>. The</w:t>
      </w:r>
      <w:r w:rsidRPr="00D52111">
        <w:rPr>
          <w:color w:val="000000" w:themeColor="text1"/>
        </w:rPr>
        <w:t xml:space="preserve"> </w:t>
      </w:r>
      <w:proofErr w:type="spellStart"/>
      <w:r w:rsidRPr="00D52111">
        <w:rPr>
          <w:i/>
          <w:color w:val="000000" w:themeColor="text1"/>
        </w:rPr>
        <w:t>lms</w:t>
      </w:r>
      <w:proofErr w:type="spellEnd"/>
      <w:r>
        <w:rPr>
          <w:color w:val="000000" w:themeColor="text1"/>
        </w:rPr>
        <w:t xml:space="preserve"> </w:t>
      </w:r>
      <w:r w:rsidRPr="00D52111">
        <w:rPr>
          <w:color w:val="000000" w:themeColor="text1"/>
        </w:rPr>
        <w:t>function determined the smoothing degrees of freedom and the distribution of physical performance data based on the model minimising</w:t>
      </w:r>
      <w:r>
        <w:rPr>
          <w:color w:val="000000" w:themeColor="text1"/>
        </w:rPr>
        <w:t xml:space="preserve"> the</w:t>
      </w:r>
      <w:r w:rsidRPr="00D52111">
        <w:rPr>
          <w:color w:val="000000" w:themeColor="text1"/>
        </w:rPr>
        <w:t xml:space="preserve"> global deviance score</w:t>
      </w:r>
      <w:r>
        <w:rPr>
          <w:color w:val="000000" w:themeColor="text1"/>
        </w:rPr>
        <w:t xml:space="preserve"> </w:t>
      </w:r>
      <w:r>
        <w:rPr>
          <w:color w:val="000000" w:themeColor="text1"/>
        </w:rPr>
        <w:fldChar w:fldCharType="begin"/>
      </w:r>
      <w:r>
        <w:rPr>
          <w:color w:val="000000" w:themeColor="text1"/>
        </w:rPr>
        <w:instrText xml:space="preserve"> ADDIN ZOTERO_ITEM CSL_CITATION {"citationID":"UqdlHF7u","properties":{"formattedCitation":"(29)","plainCitation":"(29)","noteIndex":0},"citationItems":[{"id":61,"uris":["http://zotero.org/users/local/AE0gAnhG/items/Q32AZHZB"],"uri":["http://zotero.org/users/local/AE0gAnhG/items/Q32AZHZB"],"itemData":{"id":61,"type":"book","event-place":"S.l.","ISBN":"978-0-367-65806-9","language":"English","note":"OCLC: 1178636475","publisher":"Chapman and Hall","publisher-place":"S.l.","source":"Open WorldCat","title":"Flexible regression and smoothing: using gamlss in r.","title-short":"FLEXIBLE REGRESSION AND SMOOTHING","author":[{"family":"Stasinopoulos","given":"MD"},{"family":"Rigby","given":"RA"},{"family":"Heller","given":"GZ"},{"family":"Voudouris","given":"V"},{"family":"De Bastiani","given":"F"}],"issued":{"date-parts":[["2017"]]}}}],"schema":"https://github.com/citation-style-language/schema/raw/master/csl-citation.json"} </w:instrText>
      </w:r>
      <w:r>
        <w:rPr>
          <w:color w:val="000000" w:themeColor="text1"/>
        </w:rPr>
        <w:fldChar w:fldCharType="separate"/>
      </w:r>
      <w:r w:rsidR="00A709BD">
        <w:rPr>
          <w:noProof/>
          <w:color w:val="000000" w:themeColor="text1"/>
        </w:rPr>
        <w:t>(29)</w:t>
      </w:r>
      <w:r>
        <w:rPr>
          <w:color w:val="000000" w:themeColor="text1"/>
        </w:rPr>
        <w:fldChar w:fldCharType="end"/>
      </w:r>
      <w:r>
        <w:rPr>
          <w:color w:val="000000" w:themeColor="text1"/>
        </w:rPr>
        <w:t>. Models estimated</w:t>
      </w:r>
      <w:r w:rsidRPr="0037331D">
        <w:rPr>
          <w:color w:val="000000" w:themeColor="text1"/>
        </w:rPr>
        <w:t xml:space="preserve"> nine reference centiles </w:t>
      </w:r>
      <w:r>
        <w:rPr>
          <w:color w:val="000000" w:themeColor="text1"/>
        </w:rPr>
        <w:t>at</w:t>
      </w:r>
      <w:r w:rsidRPr="0037331D">
        <w:rPr>
          <w:color w:val="000000" w:themeColor="text1"/>
        </w:rPr>
        <w:t xml:space="preserve"> 0.38</w:t>
      </w:r>
      <w:r w:rsidRPr="0037331D">
        <w:rPr>
          <w:color w:val="000000" w:themeColor="text1"/>
          <w:vertAlign w:val="superscript"/>
        </w:rPr>
        <w:t>th</w:t>
      </w:r>
      <w:r w:rsidRPr="0037331D">
        <w:rPr>
          <w:color w:val="000000" w:themeColor="text1"/>
        </w:rPr>
        <w:t>, 2.27</w:t>
      </w:r>
      <w:r w:rsidRPr="0037331D">
        <w:rPr>
          <w:color w:val="000000" w:themeColor="text1"/>
          <w:vertAlign w:val="superscript"/>
        </w:rPr>
        <w:t>th</w:t>
      </w:r>
      <w:r w:rsidRPr="0037331D">
        <w:rPr>
          <w:color w:val="000000" w:themeColor="text1"/>
        </w:rPr>
        <w:t>, 9.12</w:t>
      </w:r>
      <w:r w:rsidRPr="0037331D">
        <w:rPr>
          <w:color w:val="000000" w:themeColor="text1"/>
          <w:vertAlign w:val="superscript"/>
        </w:rPr>
        <w:t>th</w:t>
      </w:r>
      <w:r w:rsidRPr="0037331D">
        <w:rPr>
          <w:color w:val="000000" w:themeColor="text1"/>
        </w:rPr>
        <w:t>, 25.25</w:t>
      </w:r>
      <w:r w:rsidRPr="0037331D">
        <w:rPr>
          <w:color w:val="000000" w:themeColor="text1"/>
          <w:vertAlign w:val="superscript"/>
        </w:rPr>
        <w:t>th</w:t>
      </w:r>
      <w:r w:rsidRPr="0037331D">
        <w:rPr>
          <w:color w:val="000000" w:themeColor="text1"/>
        </w:rPr>
        <w:t>, 50</w:t>
      </w:r>
      <w:r w:rsidRPr="0037331D">
        <w:rPr>
          <w:color w:val="000000" w:themeColor="text1"/>
          <w:vertAlign w:val="superscript"/>
        </w:rPr>
        <w:t>th</w:t>
      </w:r>
      <w:r w:rsidRPr="0037331D">
        <w:rPr>
          <w:color w:val="000000" w:themeColor="text1"/>
        </w:rPr>
        <w:t>, 74.75</w:t>
      </w:r>
      <w:r w:rsidRPr="0037331D">
        <w:rPr>
          <w:color w:val="000000" w:themeColor="text1"/>
          <w:vertAlign w:val="superscript"/>
        </w:rPr>
        <w:t>th</w:t>
      </w:r>
      <w:r w:rsidRPr="0037331D">
        <w:rPr>
          <w:color w:val="000000" w:themeColor="text1"/>
        </w:rPr>
        <w:t>, 90.88</w:t>
      </w:r>
      <w:r w:rsidRPr="0037331D">
        <w:rPr>
          <w:color w:val="000000" w:themeColor="text1"/>
          <w:vertAlign w:val="superscript"/>
        </w:rPr>
        <w:t>th</w:t>
      </w:r>
      <w:r w:rsidRPr="0037331D">
        <w:rPr>
          <w:color w:val="000000" w:themeColor="text1"/>
        </w:rPr>
        <w:t>, 97.72</w:t>
      </w:r>
      <w:r w:rsidRPr="0037331D">
        <w:rPr>
          <w:color w:val="000000" w:themeColor="text1"/>
          <w:vertAlign w:val="superscript"/>
        </w:rPr>
        <w:t>th</w:t>
      </w:r>
      <w:r w:rsidRPr="0037331D">
        <w:rPr>
          <w:color w:val="000000" w:themeColor="text1"/>
        </w:rPr>
        <w:t>, and 99.62</w:t>
      </w:r>
      <w:r w:rsidRPr="0037331D">
        <w:rPr>
          <w:color w:val="000000" w:themeColor="text1"/>
          <w:vertAlign w:val="superscript"/>
        </w:rPr>
        <w:t>th</w:t>
      </w:r>
      <w:r w:rsidRPr="0037331D">
        <w:rPr>
          <w:color w:val="000000" w:themeColor="text1"/>
        </w:rPr>
        <w:t xml:space="preserve"> values spaced </w:t>
      </w:r>
      <w:r w:rsidRPr="005A32E8">
        <w:rPr>
          <w:rFonts w:eastAsia="Calibri"/>
          <w:color w:val="000000"/>
          <w:sz w:val="20"/>
          <w:szCs w:val="20"/>
        </w:rPr>
        <w:t>⅔</w:t>
      </w:r>
      <w:r>
        <w:rPr>
          <w:rFonts w:eastAsia="Calibri"/>
          <w:color w:val="000000"/>
          <w:sz w:val="20"/>
          <w:szCs w:val="20"/>
        </w:rPr>
        <w:t xml:space="preserve"> </w:t>
      </w:r>
      <w:r w:rsidRPr="0037331D">
        <w:rPr>
          <w:color w:val="000000" w:themeColor="text1"/>
        </w:rPr>
        <w:t>of a standard deviation score apart</w:t>
      </w:r>
      <w:r>
        <w:rPr>
          <w:color w:val="000000" w:themeColor="text1"/>
        </w:rPr>
        <w:t xml:space="preserve"> </w:t>
      </w:r>
      <w:r>
        <w:rPr>
          <w:color w:val="000000" w:themeColor="text1"/>
        </w:rPr>
        <w:fldChar w:fldCharType="begin"/>
      </w:r>
      <w:r>
        <w:rPr>
          <w:color w:val="000000" w:themeColor="text1"/>
        </w:rPr>
        <w:instrText xml:space="preserve"> ADDIN ZOTERO_ITEM CSL_CITATION {"citationID":"Q5yFzUd2","properties":{"formattedCitation":"(30)","plainCitation":"(30)","noteIndex":0},"citationItems":[{"id":64,"uris":["http://zotero.org/users/local/AE0gAnhG/items/KYBCUHD3"],"uri":["http://zotero.org/users/local/AE0gAnhG/items/KYBCUHD3"],"itemData":{"id":64,"type":"article-journal","container-title":"BMJ","DOI":"10.1136/bmj.308.6929.641","ISSN":"0959-8138, 1468-5833","issue":"6929","journalAbbreviation":"BMJ","language":"en","page":"641-642","source":"DOI.org (Crossref)","title":"Do growth chart centiles need a face lift?","volume":"308","author":[{"family":"Cole","given":"T J"}],"issued":{"date-parts":[["1994",3,5]]}}}],"schema":"https://github.com/citation-style-language/schema/raw/master/csl-citation.json"} </w:instrText>
      </w:r>
      <w:r>
        <w:rPr>
          <w:color w:val="000000" w:themeColor="text1"/>
        </w:rPr>
        <w:fldChar w:fldCharType="separate"/>
      </w:r>
      <w:r w:rsidR="00A709BD">
        <w:rPr>
          <w:noProof/>
          <w:color w:val="000000" w:themeColor="text1"/>
        </w:rPr>
        <w:t>(30)</w:t>
      </w:r>
      <w:r>
        <w:rPr>
          <w:color w:val="000000" w:themeColor="text1"/>
        </w:rPr>
        <w:fldChar w:fldCharType="end"/>
      </w:r>
      <w:r>
        <w:rPr>
          <w:color w:val="000000" w:themeColor="text1"/>
        </w:rPr>
        <w:t xml:space="preserve">. Postestimation diagnostics were performed to identify outliers from the fitted model with values greater than +3.5 or lower than </w:t>
      </w:r>
      <m:oMath>
        <m:r>
          <w:rPr>
            <w:rFonts w:ascii="Cambria Math" w:hAnsi="Cambria Math"/>
            <w:color w:val="000000" w:themeColor="text1"/>
          </w:rPr>
          <m:t>-</m:t>
        </m:r>
      </m:oMath>
      <w:r>
        <w:rPr>
          <w:color w:val="000000" w:themeColor="text1"/>
        </w:rPr>
        <w:t>3.5 residuals based on the visual inspection of the worm plot prior to final analysis</w:t>
      </w:r>
      <w:r w:rsidR="00660AAA">
        <w:rPr>
          <w:color w:val="000000" w:themeColor="text1"/>
        </w:rPr>
        <w:t xml:space="preserve"> </w:t>
      </w:r>
      <w:r w:rsidR="00660AAA">
        <w:rPr>
          <w:color w:val="000000" w:themeColor="text1"/>
        </w:rPr>
        <w:fldChar w:fldCharType="begin"/>
      </w:r>
      <w:r w:rsidR="00660AAA">
        <w:rPr>
          <w:color w:val="000000" w:themeColor="text1"/>
        </w:rPr>
        <w:instrText xml:space="preserve"> ADDIN ZOTERO_ITEM CSL_CITATION {"citationID":"1NQbm47E","properties":{"formattedCitation":"(31)","plainCitation":"(31)","noteIndex":0},"citationItems":[{"id":66,"uris":["http://zotero.org/users/local/AE0gAnhG/items/RP5IS2GG"],"uri":["http://zotero.org/users/local/AE0gAnhG/items/RP5IS2GG"],"itemData":{"id":66,"type":"article-journal","abstract":"The worm plot visualizes di erences between two distributions, conditional on the values of a covariate. Though the worm plot is a general diagnostic tool for the analysis of residuals, this paper focuses on an application in constructing growth reference curves, where the covariate of interest is age. The LMS model of Cole and Green is used to construct reference curves in the Fourth Dutch Growth Study 1997. If the model ÿts, the measurements in the reference sample follow a standard normal distribution on all ages after a suitably chosen Box–Cox transformation. The coe cients of this transformation are modelled as smooth age-dependent parameter curves for the median, variation and skewness, respectively. The major modelling task is to choose the appropriate amount of smoothness of each parameter curve. The worm plot assesses the age-conditional normality of the transformed data under a variety of LMS models. The ÿt of each parameter curve is closely related to particular features in the worm plot, namely its o set, slope and curvature. Application of the worm plot to the Dutch growth data resulted in satisfactory reference curves for a variety of anthropometric measures. It was found that the LMS method generally models the age-conditional mean and skewness better than the age-related deviation and kurtosis. Copyright ? 2001 John Wiley &amp; Sons, Ltd.","container-title":"Statistics in Medicine","DOI":"10.1002/sim.746","ISSN":"0277-6715, 1097-0258","issue":"8","journalAbbreviation":"Statist. Med.","language":"en","page":"1259-1277","source":"DOI.org (Crossref)","title":"Worm plot: a simple diagnostic device for modelling growth reference curves","title-short":"Worm plot","volume":"20","author":[{"family":"Buuren","given":"Stef","dropping-particle":"van"},{"family":"Fredriks","given":"Miranda"}],"issued":{"date-parts":[["2001",4,30]]}}}],"schema":"https://github.com/citation-style-language/schema/raw/master/csl-citation.json"} </w:instrText>
      </w:r>
      <w:r w:rsidR="00660AAA">
        <w:rPr>
          <w:color w:val="000000" w:themeColor="text1"/>
        </w:rPr>
        <w:fldChar w:fldCharType="separate"/>
      </w:r>
      <w:r w:rsidR="00A709BD">
        <w:rPr>
          <w:noProof/>
          <w:color w:val="000000" w:themeColor="text1"/>
        </w:rPr>
        <w:t>(31)</w:t>
      </w:r>
      <w:r w:rsidR="00660AAA">
        <w:rPr>
          <w:color w:val="000000" w:themeColor="text1"/>
        </w:rPr>
        <w:fldChar w:fldCharType="end"/>
      </w:r>
      <w:r w:rsidR="00660AAA">
        <w:rPr>
          <w:color w:val="000000" w:themeColor="text1"/>
        </w:rPr>
        <w:t>. Reference standards analyses were performed u</w:t>
      </w:r>
      <w:r w:rsidR="00660AAA" w:rsidRPr="00D52111">
        <w:rPr>
          <w:color w:val="000000" w:themeColor="text1"/>
        </w:rPr>
        <w:t xml:space="preserve">sing the </w:t>
      </w:r>
      <w:proofErr w:type="spellStart"/>
      <w:r w:rsidR="00660AAA" w:rsidRPr="00D52111">
        <w:rPr>
          <w:i/>
          <w:color w:val="000000" w:themeColor="text1"/>
        </w:rPr>
        <w:t>gamlss</w:t>
      </w:r>
      <w:proofErr w:type="spellEnd"/>
      <w:r w:rsidR="00660AAA" w:rsidRPr="00D52111">
        <w:rPr>
          <w:color w:val="000000" w:themeColor="text1"/>
        </w:rPr>
        <w:t xml:space="preserve"> package</w:t>
      </w:r>
      <w:r w:rsidR="00660AAA">
        <w:rPr>
          <w:color w:val="000000" w:themeColor="text1"/>
        </w:rPr>
        <w:t xml:space="preserve"> </w:t>
      </w:r>
      <w:r w:rsidR="00660AAA">
        <w:rPr>
          <w:color w:val="000000" w:themeColor="text1"/>
        </w:rPr>
        <w:fldChar w:fldCharType="begin"/>
      </w:r>
      <w:r w:rsidR="00660AAA">
        <w:rPr>
          <w:color w:val="000000" w:themeColor="text1"/>
        </w:rPr>
        <w:instrText xml:space="preserve"> ADDIN ZOTERO_ITEM CSL_CITATION {"citationID":"PXwufiFn","properties":{"formattedCitation":"(27)","plainCitation":"(27)","noteIndex":0},"citationItems":[{"id":57,"uris":["http://zotero.org/users/local/AE0gAnhG/items/34YWIND8"],"uri":["http://zotero.org/users/local/AE0gAnhG/items/34YWIND8"],"itemData":{"id":57,"type":"article-journal","abstract":"Introduction: Valid and informed interpretations of changes in physical performance test data are important within athletic development programmes. At present, there is a lack of consensus regarding a suitable method for deeming whether a change in physical performance is practically relevant or not.\nMethods: We compared true population variance in mean test scores between those derived from evidence synthesis of observational studies to those derived from practioner opinion (n = 30), and to those derived from a measurement error (minimal detectable change) quanti cation (n = 140). All these methods can help to obtain ‘target’ change score values for performance variables.\nResults: We found that the conventional ‘blanket’ target change of 0.2 (between-subjects SD) systematically underestimated practically relevant and more informed changes derived for 5-m sprinting, 30-m sprinting, CMJ, and Yo-Yo Intermittent Recovery Level 1 (IR1) tests in elite female soccer players.\nConclusions: For the rst time in the eld of sport and exercise sciences, we have illustrated the use of a principled approach for comparing di erent methods for the de nition of changes in physical performance test variables that are practically relevant. Our between-method comparison approach provides preliminary guidance for arriving at target change values that may be useful for research purposes and tracking of individual female soccer player’s physical performance.","container-title":"Science and Medicine in Football","DOI":"10.1080/24733938.2021.1942538","ISSN":"2473-3938, 2473-4446","journalAbbreviation":"Science and Medicine in Football","language":"en","page":"1-14","source":"DOI.org (Crossref)","title":"Inter-methodological quantification of the target change for performance test outcomes relevant to elite female soccer players","author":[{"family":"Datson","given":"Naomi"},{"family":"Lolli","given":"Lorenzo"},{"family":"Drust","given":"Barry"},{"family":"Atkinson","given":"Greg"},{"family":"Weston","given":"Matthew"},{"family":"Gregson","given":"Warren"}],"issued":{"date-parts":[["2021",6,27]]}}}],"schema":"https://github.com/citation-style-language/schema/raw/master/csl-citation.json"} </w:instrText>
      </w:r>
      <w:r w:rsidR="00660AAA">
        <w:rPr>
          <w:color w:val="000000" w:themeColor="text1"/>
        </w:rPr>
        <w:fldChar w:fldCharType="separate"/>
      </w:r>
      <w:r w:rsidR="00A709BD">
        <w:rPr>
          <w:noProof/>
          <w:color w:val="000000" w:themeColor="text1"/>
        </w:rPr>
        <w:t>(27)</w:t>
      </w:r>
      <w:r w:rsidR="00660AAA">
        <w:rPr>
          <w:color w:val="000000" w:themeColor="text1"/>
        </w:rPr>
        <w:fldChar w:fldCharType="end"/>
      </w:r>
      <w:r w:rsidR="00660AAA">
        <w:rPr>
          <w:color w:val="000000" w:themeColor="text1"/>
        </w:rPr>
        <w:t>.</w:t>
      </w:r>
    </w:p>
    <w:p w14:paraId="5498D956" w14:textId="06D696CE" w:rsidR="00660AAA" w:rsidRDefault="00660AAA" w:rsidP="00A709BD">
      <w:pPr>
        <w:jc w:val="both"/>
        <w:rPr>
          <w:color w:val="000000" w:themeColor="text1"/>
        </w:rPr>
      </w:pPr>
    </w:p>
    <w:p w14:paraId="2825CF7A" w14:textId="77777777" w:rsidR="00660AAA" w:rsidRDefault="00660AAA" w:rsidP="00A709BD">
      <w:pPr>
        <w:jc w:val="both"/>
        <w:rPr>
          <w:b/>
          <w:bCs/>
        </w:rPr>
      </w:pPr>
      <w:r>
        <w:rPr>
          <w:b/>
          <w:bCs/>
        </w:rPr>
        <w:t>Results</w:t>
      </w:r>
    </w:p>
    <w:p w14:paraId="4D953AC9" w14:textId="69AF2E2B" w:rsidR="00660AAA" w:rsidRDefault="00660AAA" w:rsidP="00A709BD">
      <w:pPr>
        <w:jc w:val="both"/>
        <w:outlineLvl w:val="0"/>
        <w:rPr>
          <w:bCs/>
          <w:color w:val="000000" w:themeColor="text1"/>
        </w:rPr>
      </w:pPr>
      <w:r>
        <w:rPr>
          <w:bCs/>
          <w:color w:val="000000" w:themeColor="text1"/>
        </w:rPr>
        <w:t>Predicted</w:t>
      </w:r>
      <w:r w:rsidRPr="00A5144B">
        <w:rPr>
          <w:bCs/>
          <w:color w:val="000000" w:themeColor="text1"/>
        </w:rPr>
        <w:t xml:space="preserve"> reference centiles for 5-m sprinting, 30-m sprinting, CMJ height, and Yo-Yo IR1 mixed-longitudinal data are illustrated in </w:t>
      </w:r>
      <w:r w:rsidR="005130E0">
        <w:rPr>
          <w:bCs/>
          <w:color w:val="000000" w:themeColor="text1"/>
        </w:rPr>
        <w:t>Tables 1-4</w:t>
      </w:r>
      <w:r w:rsidRPr="00A5144B">
        <w:rPr>
          <w:bCs/>
          <w:color w:val="000000" w:themeColor="text1"/>
        </w:rPr>
        <w:t xml:space="preserve">, respectively. </w:t>
      </w:r>
      <w:r>
        <w:rPr>
          <w:bCs/>
          <w:color w:val="000000" w:themeColor="text1"/>
        </w:rPr>
        <w:t xml:space="preserve">The functions for the models estimating predicted reference centiles for the 5-m sprinting and CMJ variables with </w:t>
      </w:r>
      <w:r w:rsidRPr="00E137E3">
        <w:rPr>
          <w:bCs/>
          <w:color w:val="000000" w:themeColor="text1"/>
        </w:rPr>
        <w:t>Box</w:t>
      </w:r>
      <w:r w:rsidRPr="00E137E3">
        <w:rPr>
          <w:rFonts w:ascii="Cambria Math" w:hAnsi="Cambria Math" w:cs="Cambria Math"/>
          <w:bCs/>
          <w:color w:val="000000" w:themeColor="text1"/>
        </w:rPr>
        <w:t>‐</w:t>
      </w:r>
      <w:r w:rsidRPr="00E137E3">
        <w:rPr>
          <w:bCs/>
          <w:color w:val="000000" w:themeColor="text1"/>
        </w:rPr>
        <w:t>Cox Cole</w:t>
      </w:r>
      <w:r w:rsidRPr="00E137E3">
        <w:rPr>
          <w:rFonts w:ascii="Cambria Math" w:hAnsi="Cambria Math" w:cs="Cambria Math"/>
          <w:bCs/>
          <w:color w:val="000000" w:themeColor="text1"/>
        </w:rPr>
        <w:t>‐</w:t>
      </w:r>
      <w:r w:rsidRPr="00E137E3">
        <w:rPr>
          <w:bCs/>
          <w:color w:val="000000" w:themeColor="text1"/>
        </w:rPr>
        <w:t xml:space="preserve">Green </w:t>
      </w:r>
      <w:r>
        <w:rPr>
          <w:bCs/>
          <w:color w:val="000000" w:themeColor="text1"/>
        </w:rPr>
        <w:t xml:space="preserve">distribution, whereas models for the 30-m sprinting and Yo-Yo IR1 variables used </w:t>
      </w:r>
      <w:r w:rsidRPr="004628F0">
        <w:rPr>
          <w:bCs/>
          <w:color w:val="000000" w:themeColor="text1"/>
        </w:rPr>
        <w:t>Box</w:t>
      </w:r>
      <w:r w:rsidRPr="004628F0">
        <w:rPr>
          <w:rFonts w:ascii="Cambria Math" w:hAnsi="Cambria Math" w:cs="Cambria Math"/>
          <w:bCs/>
          <w:color w:val="000000" w:themeColor="text1"/>
        </w:rPr>
        <w:t>‐</w:t>
      </w:r>
      <w:r w:rsidRPr="004628F0">
        <w:rPr>
          <w:bCs/>
          <w:color w:val="000000" w:themeColor="text1"/>
        </w:rPr>
        <w:t xml:space="preserve">Cox </w:t>
      </w:r>
      <w:r w:rsidRPr="006738D2">
        <w:rPr>
          <w:bCs/>
          <w:i/>
          <w:color w:val="000000" w:themeColor="text1"/>
        </w:rPr>
        <w:t>t</w:t>
      </w:r>
      <w:r>
        <w:rPr>
          <w:bCs/>
          <w:color w:val="000000" w:themeColor="text1"/>
        </w:rPr>
        <w:t xml:space="preserve"> and </w:t>
      </w:r>
      <w:r w:rsidRPr="004628F0">
        <w:rPr>
          <w:bCs/>
          <w:color w:val="000000" w:themeColor="text1"/>
        </w:rPr>
        <w:t>Box</w:t>
      </w:r>
      <w:r w:rsidRPr="004628F0">
        <w:rPr>
          <w:rFonts w:ascii="Cambria Math" w:hAnsi="Cambria Math" w:cs="Cambria Math"/>
          <w:bCs/>
          <w:color w:val="000000" w:themeColor="text1"/>
        </w:rPr>
        <w:t>‐</w:t>
      </w:r>
      <w:r w:rsidRPr="004628F0">
        <w:rPr>
          <w:bCs/>
          <w:color w:val="000000" w:themeColor="text1"/>
        </w:rPr>
        <w:t>Cox power exponential</w:t>
      </w:r>
      <w:r>
        <w:rPr>
          <w:bCs/>
          <w:color w:val="000000" w:themeColor="text1"/>
        </w:rPr>
        <w:t xml:space="preserve"> distributions, </w:t>
      </w:r>
      <w:r w:rsidRPr="00920D7C">
        <w:rPr>
          <w:bCs/>
          <w:color w:val="000000" w:themeColor="text1"/>
        </w:rPr>
        <w:t xml:space="preserve">respectively. In general, physical test </w:t>
      </w:r>
      <w:r w:rsidRPr="00920D7C">
        <w:rPr>
          <w:bCs/>
          <w:color w:val="000000" w:themeColor="text1"/>
        </w:rPr>
        <w:lastRenderedPageBreak/>
        <w:t xml:space="preserve">performance </w:t>
      </w:r>
      <w:r>
        <w:rPr>
          <w:bCs/>
          <w:color w:val="000000" w:themeColor="text1"/>
        </w:rPr>
        <w:t>improved non-linearly</w:t>
      </w:r>
      <w:r w:rsidRPr="00920D7C">
        <w:rPr>
          <w:bCs/>
          <w:color w:val="000000" w:themeColor="text1"/>
        </w:rPr>
        <w:t xml:space="preserve"> with </w:t>
      </w:r>
      <w:r>
        <w:rPr>
          <w:bCs/>
          <w:color w:val="000000" w:themeColor="text1"/>
        </w:rPr>
        <w:t xml:space="preserve">chronological </w:t>
      </w:r>
      <w:r w:rsidRPr="00920D7C">
        <w:rPr>
          <w:bCs/>
          <w:color w:val="000000" w:themeColor="text1"/>
        </w:rPr>
        <w:t>age for each</w:t>
      </w:r>
      <w:r>
        <w:rPr>
          <w:bCs/>
          <w:color w:val="000000" w:themeColor="text1"/>
        </w:rPr>
        <w:t xml:space="preserve"> physical test performance measure until</w:t>
      </w:r>
      <w:r w:rsidRPr="00920D7C">
        <w:rPr>
          <w:bCs/>
          <w:color w:val="000000" w:themeColor="text1"/>
        </w:rPr>
        <w:t xml:space="preserve"> approximately 25 years</w:t>
      </w:r>
      <w:r>
        <w:rPr>
          <w:bCs/>
          <w:color w:val="000000" w:themeColor="text1"/>
        </w:rPr>
        <w:t xml:space="preserve"> (</w:t>
      </w:r>
      <w:r w:rsidR="009A243D">
        <w:rPr>
          <w:bCs/>
          <w:color w:val="000000" w:themeColor="text1"/>
        </w:rPr>
        <w:t>Figures</w:t>
      </w:r>
      <w:r w:rsidR="009A243D" w:rsidRPr="00A5144B">
        <w:rPr>
          <w:bCs/>
          <w:color w:val="000000" w:themeColor="text1"/>
        </w:rPr>
        <w:t xml:space="preserve"> </w:t>
      </w:r>
      <w:r>
        <w:rPr>
          <w:bCs/>
          <w:color w:val="000000" w:themeColor="text1"/>
        </w:rPr>
        <w:t>1</w:t>
      </w:r>
      <w:r w:rsidRPr="00A5144B">
        <w:rPr>
          <w:bCs/>
          <w:color w:val="000000" w:themeColor="text1"/>
        </w:rPr>
        <w:t>-</w:t>
      </w:r>
      <w:r>
        <w:rPr>
          <w:bCs/>
          <w:color w:val="000000" w:themeColor="text1"/>
        </w:rPr>
        <w:t>4)</w:t>
      </w:r>
      <w:r w:rsidRPr="00920D7C">
        <w:rPr>
          <w:bCs/>
          <w:color w:val="000000" w:themeColor="text1"/>
        </w:rPr>
        <w:t xml:space="preserve">. Residuals diagnostics revealed the presence of </w:t>
      </w:r>
      <w:r>
        <w:rPr>
          <w:bCs/>
          <w:color w:val="000000" w:themeColor="text1"/>
        </w:rPr>
        <w:t>1</w:t>
      </w:r>
      <w:r w:rsidRPr="00920D7C">
        <w:rPr>
          <w:bCs/>
          <w:color w:val="000000" w:themeColor="text1"/>
        </w:rPr>
        <w:t xml:space="preserve"> outlier in </w:t>
      </w:r>
      <w:r>
        <w:rPr>
          <w:bCs/>
          <w:color w:val="000000" w:themeColor="text1"/>
        </w:rPr>
        <w:t xml:space="preserve">the </w:t>
      </w:r>
      <w:r w:rsidRPr="00920D7C">
        <w:rPr>
          <w:bCs/>
          <w:color w:val="000000" w:themeColor="text1"/>
        </w:rPr>
        <w:t xml:space="preserve">5-m </w:t>
      </w:r>
      <w:r>
        <w:rPr>
          <w:bCs/>
          <w:color w:val="000000" w:themeColor="text1"/>
        </w:rPr>
        <w:t xml:space="preserve">sprinting, </w:t>
      </w:r>
      <w:r w:rsidRPr="00920D7C">
        <w:rPr>
          <w:bCs/>
          <w:color w:val="000000" w:themeColor="text1"/>
        </w:rPr>
        <w:t>30-m sprinting, and Yo-Yo IR1 datasets. Following the exclusion of the identified outliers, visual inspection of the worm plots suggested adequate model fit (</w:t>
      </w:r>
      <w:r>
        <w:rPr>
          <w:bCs/>
          <w:color w:val="000000" w:themeColor="text1"/>
        </w:rPr>
        <w:t xml:space="preserve">Fig. </w:t>
      </w:r>
      <w:r w:rsidR="009A243D">
        <w:rPr>
          <w:bCs/>
          <w:color w:val="000000" w:themeColor="text1"/>
        </w:rPr>
        <w:t>5</w:t>
      </w:r>
      <w:r w:rsidRPr="00920D7C">
        <w:rPr>
          <w:bCs/>
          <w:color w:val="000000" w:themeColor="text1"/>
        </w:rPr>
        <w:t>).</w:t>
      </w:r>
    </w:p>
    <w:p w14:paraId="70FD0516" w14:textId="77777777" w:rsidR="00660AAA" w:rsidRDefault="00660AAA" w:rsidP="00A709BD">
      <w:pPr>
        <w:jc w:val="both"/>
        <w:rPr>
          <w:b/>
          <w:bCs/>
        </w:rPr>
      </w:pPr>
    </w:p>
    <w:p w14:paraId="35B9158E" w14:textId="77777777" w:rsidR="00660AAA" w:rsidRDefault="00660AAA" w:rsidP="00A709BD">
      <w:pPr>
        <w:jc w:val="both"/>
        <w:rPr>
          <w:b/>
          <w:bCs/>
        </w:rPr>
      </w:pPr>
      <w:r>
        <w:rPr>
          <w:b/>
          <w:bCs/>
        </w:rPr>
        <w:t>Discussion</w:t>
      </w:r>
    </w:p>
    <w:p w14:paraId="2D950C4C" w14:textId="0231B69B" w:rsidR="00396F47" w:rsidRDefault="00660AAA" w:rsidP="00A709BD">
      <w:pPr>
        <w:jc w:val="both"/>
      </w:pPr>
      <w:r>
        <w:rPr>
          <w:color w:val="000000" w:themeColor="text1"/>
        </w:rPr>
        <w:t>T</w:t>
      </w:r>
      <w:r w:rsidRPr="008A36A5">
        <w:rPr>
          <w:color w:val="000000" w:themeColor="text1"/>
        </w:rPr>
        <w:t xml:space="preserve">his is the first study to </w:t>
      </w:r>
      <w:r>
        <w:rPr>
          <w:color w:val="000000" w:themeColor="text1"/>
        </w:rPr>
        <w:t xml:space="preserve">present </w:t>
      </w:r>
      <w:r w:rsidRPr="008A36A5">
        <w:rPr>
          <w:color w:val="000000" w:themeColor="text1"/>
        </w:rPr>
        <w:t xml:space="preserve">reference </w:t>
      </w:r>
      <w:r w:rsidR="0054197A">
        <w:rPr>
          <w:color w:val="000000" w:themeColor="text1"/>
        </w:rPr>
        <w:t xml:space="preserve">values </w:t>
      </w:r>
      <w:r>
        <w:rPr>
          <w:color w:val="000000" w:themeColor="text1"/>
        </w:rPr>
        <w:t>for</w:t>
      </w:r>
      <w:r w:rsidRPr="007D300E">
        <w:rPr>
          <w:bCs/>
          <w:color w:val="000000" w:themeColor="text1"/>
        </w:rPr>
        <w:t xml:space="preserve"> physical performance </w:t>
      </w:r>
      <w:r>
        <w:rPr>
          <w:bCs/>
          <w:color w:val="000000" w:themeColor="text1"/>
        </w:rPr>
        <w:t>outcomes based</w:t>
      </w:r>
      <w:r w:rsidRPr="008A36A5">
        <w:rPr>
          <w:color w:val="000000" w:themeColor="text1"/>
        </w:rPr>
        <w:t xml:space="preserve"> </w:t>
      </w:r>
      <w:r>
        <w:rPr>
          <w:color w:val="000000" w:themeColor="text1"/>
        </w:rPr>
        <w:t xml:space="preserve">on a large-scale sample of elite English female soccer players. </w:t>
      </w:r>
      <w:r w:rsidRPr="008A36A5">
        <w:rPr>
          <w:color w:val="000000" w:themeColor="text1"/>
        </w:rPr>
        <w:t>The estimated reference centiles indicate</w:t>
      </w:r>
      <w:r>
        <w:rPr>
          <w:color w:val="000000" w:themeColor="text1"/>
        </w:rPr>
        <w:t>d</w:t>
      </w:r>
      <w:r w:rsidRPr="008A36A5">
        <w:rPr>
          <w:color w:val="000000" w:themeColor="text1"/>
        </w:rPr>
        <w:t xml:space="preserve"> that the median of the distribution of physical performance test scores varied non-linearly with advancing chronological age, improving up to around 25 years.</w:t>
      </w:r>
      <w:r>
        <w:rPr>
          <w:color w:val="000000" w:themeColor="text1"/>
        </w:rPr>
        <w:t xml:space="preserve"> These data</w:t>
      </w:r>
      <w:r w:rsidR="0054197A">
        <w:rPr>
          <w:color w:val="000000" w:themeColor="text1"/>
        </w:rPr>
        <w:t xml:space="preserve"> are novel and</w:t>
      </w:r>
      <w:r>
        <w:rPr>
          <w:color w:val="000000" w:themeColor="text1"/>
        </w:rPr>
        <w:t xml:space="preserve"> provide practitioners with information relevant to</w:t>
      </w:r>
      <w:r w:rsidR="006C58E6">
        <w:rPr>
          <w:color w:val="000000" w:themeColor="text1"/>
        </w:rPr>
        <w:t xml:space="preserve"> different processes from practical and medical standpoints, with a particular reference to</w:t>
      </w:r>
      <w:r>
        <w:rPr>
          <w:color w:val="000000" w:themeColor="text1"/>
        </w:rPr>
        <w:t xml:space="preserve"> inform decisions regarding</w:t>
      </w:r>
      <w:r w:rsidR="00432348">
        <w:rPr>
          <w:color w:val="000000" w:themeColor="text1"/>
        </w:rPr>
        <w:t xml:space="preserve"> </w:t>
      </w:r>
      <w:r w:rsidRPr="00A4035D">
        <w:rPr>
          <w:rFonts w:eastAsia="Calibri"/>
          <w:color w:val="000000" w:themeColor="text1"/>
        </w:rPr>
        <w:t>talent identification, player selection and development</w:t>
      </w:r>
      <w:r w:rsidR="00B73C37">
        <w:rPr>
          <w:rFonts w:eastAsia="Calibri"/>
          <w:color w:val="000000" w:themeColor="text1"/>
        </w:rPr>
        <w:t>, and</w:t>
      </w:r>
      <w:r w:rsidR="006C58E6">
        <w:rPr>
          <w:rFonts w:eastAsia="Calibri"/>
          <w:color w:val="000000" w:themeColor="text1"/>
        </w:rPr>
        <w:t xml:space="preserve"> </w:t>
      </w:r>
      <w:r w:rsidR="006C58E6">
        <w:rPr>
          <w:color w:val="000000" w:themeColor="text1"/>
        </w:rPr>
        <w:t xml:space="preserve">return to play </w:t>
      </w:r>
      <w:r>
        <w:rPr>
          <w:rFonts w:eastAsia="Calibri"/>
          <w:color w:val="000000" w:themeColor="text1"/>
        </w:rPr>
        <w:t xml:space="preserve">of </w:t>
      </w:r>
      <w:r>
        <w:rPr>
          <w:color w:val="000000" w:themeColor="text1"/>
        </w:rPr>
        <w:t xml:space="preserve">individual female soccer players. </w:t>
      </w:r>
      <w:r w:rsidR="004D3A1D">
        <w:rPr>
          <w:color w:val="000000" w:themeColor="text1"/>
        </w:rPr>
        <w:t xml:space="preserve">Specifically, </w:t>
      </w:r>
      <w:r w:rsidR="004D3A1D">
        <w:t>t</w:t>
      </w:r>
      <w:r>
        <w:t>he construction of age-</w:t>
      </w:r>
      <w:r w:rsidR="0024629A">
        <w:t xml:space="preserve">related </w:t>
      </w:r>
      <w:r>
        <w:t>reference centiles</w:t>
      </w:r>
      <w:r w:rsidR="008B274E">
        <w:t xml:space="preserve"> </w:t>
      </w:r>
      <w:r>
        <w:t>facilitate</w:t>
      </w:r>
      <w:r w:rsidR="00FC6A54">
        <w:t>s</w:t>
      </w:r>
      <w:r>
        <w:t xml:space="preserve"> the </w:t>
      </w:r>
      <w:r w:rsidRPr="00142F0D">
        <w:t xml:space="preserve">interpretation of real-world </w:t>
      </w:r>
      <w:r>
        <w:t xml:space="preserve">performance </w:t>
      </w:r>
      <w:r w:rsidRPr="00142F0D">
        <w:t xml:space="preserve">data </w:t>
      </w:r>
      <w:r>
        <w:t xml:space="preserve">for tracking the individual player over different career stages </w:t>
      </w:r>
      <w:r>
        <w:fldChar w:fldCharType="begin"/>
      </w:r>
      <w:r>
        <w:instrText xml:space="preserve"> ADDIN ZOTERO_ITEM CSL_CITATION {"citationID":"JJ0rx7ON","properties":{"formattedCitation":"(32)","plainCitation":"(32)","noteIndex":0},"citationItems":[{"id":68,"uris":["http://zotero.org/users/local/AE0gAnhG/items/SZLMDJYT"],"uri":["http://zotero.org/users/local/AE0gAnhG/items/SZLMDJYT"],"itemData":{"id":68,"type":"article-journal","container-title":"Nutrition Research Reviews","DOI":"10.1079/NRR19930005","ISSN":"0954-4224, 1475-2700","issue":"1","journalAbbreviation":"Nutr. Res. Rev.","language":"en","page":"19-50","source":"DOI.org (Crossref)","title":"The Use and Construction of Anthropometric Growth Reference Standards","volume":"6","author":[{"family":"Cole","given":"T. J."}],"issued":{"date-parts":[["1993",1]]}}}],"schema":"https://github.com/citation-style-language/schema/raw/master/csl-citation.json"} </w:instrText>
      </w:r>
      <w:r>
        <w:fldChar w:fldCharType="separate"/>
      </w:r>
      <w:r w:rsidR="00A709BD">
        <w:rPr>
          <w:noProof/>
        </w:rPr>
        <w:t>(32)</w:t>
      </w:r>
      <w:r>
        <w:fldChar w:fldCharType="end"/>
      </w:r>
      <w:r>
        <w:t>.</w:t>
      </w:r>
    </w:p>
    <w:p w14:paraId="4F44F758" w14:textId="77777777" w:rsidR="00396F47" w:rsidRDefault="00396F47" w:rsidP="00A709BD">
      <w:pPr>
        <w:jc w:val="both"/>
      </w:pPr>
    </w:p>
    <w:p w14:paraId="71641927" w14:textId="304B36E7" w:rsidR="00660AAA" w:rsidRDefault="00660AAA" w:rsidP="00A709BD">
      <w:pPr>
        <w:jc w:val="both"/>
      </w:pPr>
      <w:r>
        <w:t xml:space="preserve">Importantly, estimation of reference centiles that may be </w:t>
      </w:r>
      <w:r w:rsidR="0054197A">
        <w:t xml:space="preserve">informative </w:t>
      </w:r>
      <w:r>
        <w:t xml:space="preserve">for coaches and practitioners depends on the study design </w:t>
      </w:r>
      <w:r>
        <w:fldChar w:fldCharType="begin"/>
      </w:r>
      <w:r>
        <w:instrText xml:space="preserve"> ADDIN ZOTERO_ITEM CSL_CITATION {"citationID":"GKzgZuot","properties":{"formattedCitation":"(33,34)","plainCitation":"(33,34)","noteIndex":0},"citationItems":[{"id":70,"uris":["http://zotero.org/users/local/AE0gAnhG/items/U3N767LX"],"uri":["http://zotero.org/users/local/AE0gAnhG/items/U3N767LX"],"itemData":{"id":70,"type":"article-journal","container-title":"Statistics in Medicine","DOI":"10.1002/sim.8129","ISSN":"0277-6715, 1097-0258","issue":"19","journalAbbreviation":"Statistics in Medicine","language":"en","page":"3571-3579","source":"DOI.org (Crossref)","title":"Commentary: Methods for calculating growth trajectories and constructing growth centiles","title-short":"Commentary","volume":"38","author":[{"family":"Cole","given":"T. J."}],"issued":{"date-parts":[["2019",8,30]]}}},{"id":72,"uris":["http://zotero.org/users/local/AE0gAnhG/items/JGC4VIHV"],"uri":["http://zotero.org/users/local/AE0gAnhG/items/JGC4VIHV"],"itemData":{"id":72,"type":"article-journal","container-title":"Statistics in Medicine","DOI":"10.1002/sim.8000","ISSN":"0277-6715, 1097-0258","issue":"19","journalAbbreviation":"Statistics in Medicine","language":"en","page":"3527-3539","source":"DOI.org (Crossref)","title":"Design and other methodological considerations for the construction of human fetal and neonatal size and growth charts","volume":"38","author":[{"family":"Ohuma","given":"Eric O."},{"family":"Altman","given":"Douglas G."},{"literal":"for the International Fetal and Newborn Growth Consortium for the 21 Century (INTERGROWTH-21 Project)"}],"issued":{"date-parts":[["2019",8,30]]}}}],"schema":"https://github.com/citation-style-language/schema/raw/master/csl-citation.json"} </w:instrText>
      </w:r>
      <w:r>
        <w:fldChar w:fldCharType="separate"/>
      </w:r>
      <w:r w:rsidR="00A709BD">
        <w:rPr>
          <w:noProof/>
        </w:rPr>
        <w:t>(33,34)</w:t>
      </w:r>
      <w:r>
        <w:fldChar w:fldCharType="end"/>
      </w:r>
      <w:r>
        <w:t>. In clinical research, the construction of growth references generally entail the adoption of a cross-sectional study design using one-off measurements only</w:t>
      </w:r>
      <w:r w:rsidR="00B73AE4">
        <w:t xml:space="preserve"> </w:t>
      </w:r>
      <w:r w:rsidR="00B73AE4">
        <w:fldChar w:fldCharType="begin"/>
      </w:r>
      <w:r w:rsidR="00B73AE4">
        <w:instrText xml:space="preserve"> ADDIN ZOTERO_ITEM CSL_CITATION {"citationID":"QjKmmECl","properties":{"formattedCitation":"(32)","plainCitation":"(32)","noteIndex":0},"citationItems":[{"id":68,"uris":["http://zotero.org/users/local/AE0gAnhG/items/SZLMDJYT"],"uri":["http://zotero.org/users/local/AE0gAnhG/items/SZLMDJYT"],"itemData":{"id":68,"type":"article-journal","container-title":"Nutrition Research Reviews","DOI":"10.1079/NRR19930005","ISSN":"0954-4224, 1475-2700","issue":"1","journalAbbreviation":"Nutr. Res. Rev.","language":"en","page":"19-50","source":"DOI.org (Crossref)","title":"The Use and Construction of Anthropometric Growth Reference Standards","volume":"6","author":[{"family":"Cole","given":"T. J."}],"issued":{"date-parts":[["1993",1]]}}}],"schema":"https://github.com/citation-style-language/schema/raw/master/csl-citation.json"} </w:instrText>
      </w:r>
      <w:r w:rsidR="00B73AE4">
        <w:fldChar w:fldCharType="separate"/>
      </w:r>
      <w:r w:rsidR="00A709BD">
        <w:rPr>
          <w:noProof/>
        </w:rPr>
        <w:t>(32)</w:t>
      </w:r>
      <w:r w:rsidR="00B73AE4">
        <w:fldChar w:fldCharType="end"/>
      </w:r>
      <w:r w:rsidR="00B73AE4">
        <w:t xml:space="preserve">. However, centile values determined from cross-sectional data might be uninformative for individual tracking purposes </w:t>
      </w:r>
      <w:r w:rsidR="00B73AE4">
        <w:fldChar w:fldCharType="begin"/>
      </w:r>
      <w:r w:rsidR="00B73AE4">
        <w:instrText xml:space="preserve"> ADDIN ZOTERO_ITEM CSL_CITATION {"citationID":"F60MVV5Q","properties":{"formattedCitation":"(32,35,36)","plainCitation":"(32,35,36)","noteIndex":0},"citationItems":[{"id":68,"uris":["http://zotero.org/users/local/AE0gAnhG/items/SZLMDJYT"],"uri":["http://zotero.org/users/local/AE0gAnhG/items/SZLMDJYT"],"itemData":{"id":68,"type":"article-journal","container-title":"Nutrition Research Reviews","DOI":"10.1079/NRR19930005","ISSN":"0954-4224, 1475-2700","issue":"1","journalAbbreviation":"Nutr. Res. Rev.","language":"en","page":"19-50","source":"DOI.org (Crossref)","title":"The Use and Construction of Anthropometric Growth Reference Standards","volume":"6","author":[{"family":"Cole","given":"T. J."}],"issued":{"date-parts":[["1993",1]]}}},{"id":76,"uris":["http://zotero.org/users/local/AE0gAnhG/items/4M23LYCP"],"uri":["http://zotero.org/users/local/AE0gAnhG/items/4M23LYCP"],"itemData":{"id":76,"type":"article-journal","abstract":"Background: The adoption in May 2009 by the UK of the WHO 2006 standard necessitated the provision of UK-based birth centiles for pre-term infants. The pre-existing British 1990 reference birth centiles, used in the UK since 1995, had been biased by the inclusion of post-natal data. Aim: To describe the construction of new UK birth centiles for weight, length and head circumference, based on British 1990 reference data, but excluding post-natal data. Subjects and methods: Birth data from the ﬁve original studies, collected between 1983–1993, were pooled and analysed by the LMS method, for the sexes separately. In addition, sexspeciﬁc composite centiles were constructed for infants born at term (37–42 completed weeks).\nResults: The birth data included 9443 weights, 985 lengths and 1841 head circumferences, covering 23 –44 weeks gestation. The analysis provided LMS tables deﬁning reference centiles for weight and head circumference from 23 –42 weeks and for length from 26 –42 weeks. The term centiles are for use at age 0 on the post-natal 0–1 year chart.\nConclusion: These new centiles, replacing those of the British 1990 reference, are more accurate than their predecessors which were biased due to the inclusion of post-natal data.","container-title":"Annals of Human Biology","DOI":"10.3109/03014460.2011.544139","ISSN":"0301-4460, 1464-5033","issue":"1","journalAbbreviation":"Annals of Human Biology","language":"en","page":"7-11","source":"DOI.org (Crossref)","title":"Revised birth centiles for weight, length and head circumference in the UK-WHO growth charts","volume":"38","author":[{"family":"Cole","given":"Tim J."},{"family":"Williams","given":"Anthony F."},{"family":"Wright","given":"Charlotte M."}],"issued":{"date-parts":[["2011",1]]}}},{"id":75,"uris":["http://zotero.org/users/local/AE0gAnhG/items/SD45ZP5N"],"uri":["http://zotero.org/users/local/AE0gAnhG/items/SD45ZP5N"],"itemData":{"id":75,"type":"article-journal","abstract":"Objective To describe birth weight and postnatal weight gain in a contemporaneous population of babies born &lt;32 weeks’ gestation, using routinely captured electronic clinical data. Design Anonymised longitudinal weight data from 2006 to 2011. Setting National Health Service neonatal units in England.\nMethods Birth weight centiles were constructed using the LMS method, and longitudinal weight gain was summarised as mean growth curves for each week of gestation until discharge, using SITAR (Superimposition by Translation and Rotation) growth curve analysis.\nResults Data on 103 194 weights of 5009 babies born from 22–31 weeks’ gestation were received from 40 neonatal units. At birth, girls weighed 6.6% (SE 0.4%) less than boys ( p&lt;0.0001). For babies born at 31 weeks’ gestation, weight fell after birth by an average of 258 g, with the nadir on the 8th postnatal day. The rate of weight gain then increased to a maximum of 28.4 g/d or 16.0 g/kg/d after 3 weeks. Conversely for babies of 22 to 28 weeks’ gestation, there was on average no weight loss after birth. At all gestations, babies tended to cross weight centiles downwards for at least 2 weeks.\nConclusions In very preterm infants, mean weight crosses centiles downwards by at least two centile channel widths. Postnatal weight loss is generally absent in those born before 29 weeks, but marked in those born later. Assigning an infant’s target centile at birth is potentially harmful as it requires rapid weight gain and should only be done once weight gain has stabilised. The use of electronic data reﬂects contemporary medical management.","container-title":"Archives of Disease in Childhood - Fetal and Neonatal Edition","DOI":"10.1136/archdischild-2012-303536","ISSN":"1359-2998, 1468-2052","issue":"1","journalAbbreviation":"Arch Dis Child Fetal Neonatal Ed","language":"en","page":"F34-F40","source":"DOI.org (Crossref)","title":"Birth weight and longitudinal growth in infants born below 32 weeks’ gestation: a UK population study","title-short":"Birth weight and longitudinal growth in infants born below 32 weeks’ gestation","volume":"99","author":[{"family":"Cole","given":"Tim J"},{"family":"Statnikov","given":"Yevgeniy"},{"family":"Santhakumaran","given":"Shalini"},{"family":"Pan","given":"Huiqi"},{"family":"Modi","given":"Neena"},{"literal":"on behalf of the Neonatal Data Analysis Unit and the Preterm Growth Investigator Group"}],"issued":{"date-parts":[["2014",1]]}}}],"schema":"https://github.com/citation-style-language/schema/raw/master/csl-citation.json"} </w:instrText>
      </w:r>
      <w:r w:rsidR="00B73AE4">
        <w:fldChar w:fldCharType="separate"/>
      </w:r>
      <w:r w:rsidR="00A709BD">
        <w:rPr>
          <w:noProof/>
        </w:rPr>
        <w:t>(32,35,36)</w:t>
      </w:r>
      <w:r w:rsidR="00B73AE4">
        <w:fldChar w:fldCharType="end"/>
      </w:r>
      <w:r w:rsidR="00B73AE4">
        <w:t>. Also, the construction of age-</w:t>
      </w:r>
      <w:r w:rsidR="0024629A">
        <w:t xml:space="preserve">related </w:t>
      </w:r>
      <w:r w:rsidR="00B73AE4">
        <w:t>reference centiles using cross-sectional data requires relatively larger sample sizes than mixed- or longitudinal designs where some or all of the athletes are measured at least twice</w:t>
      </w:r>
      <w:r w:rsidR="00314C0E">
        <w:t xml:space="preserve"> </w:t>
      </w:r>
      <w:r w:rsidR="00314C0E">
        <w:fldChar w:fldCharType="begin"/>
      </w:r>
      <w:r w:rsidR="00314C0E">
        <w:instrText xml:space="preserve"> ADDIN ZOTERO_ITEM CSL_CITATION {"citationID":"Jra5Wb9f","properties":{"formattedCitation":"(37,38)","plainCitation":"(37,38)","noteIndex":0},"citationItems":[{"id":78,"uris":["http://zotero.org/users/local/AE0gAnhG/items/FWXV26HD"],"uri":["http://zotero.org/users/local/AE0gAnhG/items/FWXV26HD"],"itemData":{"id":78,"type":"article-journal","abstract":"This article discusses statistical considerations for the design of a new study intended to provide an International Growth Standard for Preadolescent and Adolescent Children, including issues such as cross-sectional, longitudinal, and mixed designs; sample-size derivation for the number of populations and number of children per population; modeling of growth centiles of height, weight, and other measurements; and modeling of the adolescent growth spurt. The conclusions are that a mixed longitudinal design will provide information on both growth distance and velocity; samples of children from 5 to 10 sites should be suitable for an international standard (based on political rather than statistical arguments); the samples should be broadly uniform across age but oversampled during puberty, and should include data into adulthood. The LMS method is recommended for constructing measurement centiles, and parametric or semiparametric approaches are available to estimate the timing of the adolescent growth spurt in individuals. If the new standard is to be grafted onto the 2006 World Health Organization (WHO) reference, caution is needed at the join point of 5 years, where children from the new standard are likely to be appreciably more obese than those from the WHO reference, due to the rising trends in obesity and the time gap in data collection between the two surveys.","container-title":"Food and Nutrition Bulletin","DOI":"10.1177/15648265060274S507","ISSN":"0379-5721, 1564-8265","issue":"4_suppl5","journalAbbreviation":"Food Nutr Bull","language":"en","page":"S237-S243","source":"DOI.org (Crossref)","title":"The International Growth Standard for Preadolescent and Adolescent Children: Statistical Considerations","title-short":"The International Growth Standard for Preadolescent and Adolescent Children","volume":"27","author":[{"family":"Cole","given":"T. J."}],"issued":{"date-parts":[["2006",12]]}}},{"id":80,"uris":["http://zotero.org/users/local/AE0gAnhG/items/U96NW875"],"uri":["http://zotero.org/users/local/AE0gAnhG/items/U96NW875"],"itemData":{"id":80,"type":"article-journal","abstract":"The INTERGROWTH-21st Project has in its mandate to develop prescriptive standards for fetal, neonatal and preterm post-neonatal growth. The project comprises three components: the Fetal Growth Longitudinal Study (FGLS), the Preterm Postnatal Follow-up Study (PPFS), and the Newborn Cross-Sectional Study (NCSS). We consider here the statistical aspects of the three components as they relate to the construction of these standards, in particular the sample size, and outline the principles that will guide the planned main analyses.","container-title":"BJOG: An International Journal of Obstetrics &amp; Gynaecology","DOI":"10.1111/1471-0528.12031","ISSN":"14700328","journalAbbreviation":"BJOG","language":"en","page":"71-76","source":"DOI.org (Crossref)","title":"Statistical considerations for the development of prescriptive fetal and newborn growth standards in the INTERGROWTH-21 &lt;sup&gt;st&lt;/sup&gt; Project","volume":"120","author":[{"family":"Altman","given":"Dg"},{"family":"Ohuma","given":"Eo"},{"literal":"for the International Fetal and Newborn Growth Consortium for the 21st Century (INTERGROWTH-21st)"}],"issued":{"date-parts":[["2013",9]]}}}],"schema":"https://github.com/citation-style-language/schema/raw/master/csl-citation.json"} </w:instrText>
      </w:r>
      <w:r w:rsidR="00314C0E">
        <w:fldChar w:fldCharType="separate"/>
      </w:r>
      <w:r w:rsidR="00A709BD">
        <w:rPr>
          <w:noProof/>
        </w:rPr>
        <w:t>(37,38)</w:t>
      </w:r>
      <w:r w:rsidR="00314C0E">
        <w:fldChar w:fldCharType="end"/>
      </w:r>
      <w:r w:rsidR="00314C0E">
        <w:t xml:space="preserve">. With our study framework informed by methodological guidelines for the construction of reference values </w:t>
      </w:r>
      <w:r w:rsidR="00CF28B7">
        <w:fldChar w:fldCharType="begin"/>
      </w:r>
      <w:r w:rsidR="00CF28B7">
        <w:instrText xml:space="preserve"> ADDIN ZOTERO_ITEM CSL_CITATION {"citationID":"FEPhh82c","properties":{"formattedCitation":"(32,37\\uc0\\u8211{}39)","plainCitation":"(32,37–39)","noteIndex":0},"citationItems":[{"id":68,"uris":["http://zotero.org/users/local/AE0gAnhG/items/SZLMDJYT"],"uri":["http://zotero.org/users/local/AE0gAnhG/items/SZLMDJYT"],"itemData":{"id":68,"type":"article-journal","container-title":"Nutrition Research Reviews","DOI":"10.1079/NRR19930005","ISSN":"0954-4224, 1475-2700","issue":"1","journalAbbreviation":"Nutr. Res. Rev.","language":"en","page":"19-50","source":"DOI.org (Crossref)","title":"The Use and Construction of Anthropometric Growth Reference Standards","volume":"6","author":[{"family":"Cole","given":"T. J."}],"issued":{"date-parts":[["1993",1]]}}},{"id":78,"uris":["http://zotero.org/users/local/AE0gAnhG/items/FWXV26HD"],"uri":["http://zotero.org/users/local/AE0gAnhG/items/FWXV26HD"],"itemData":{"id":78,"type":"article-journal","abstract":"This article discusses statistical considerations for the design of a new study intended to provide an International Growth Standard for Preadolescent and Adolescent Children, including issues such as cross-sectional, longitudinal, and mixed designs; sample-size derivation for the number of populations and number of children per population; modeling of growth centiles of height, weight, and other measurements; and modeling of the adolescent growth spurt. The conclusions are that a mixed longitudinal design will provide information on both growth distance and velocity; samples of children from 5 to 10 sites should be suitable for an international standard (based on political rather than statistical arguments); the samples should be broadly uniform across age but oversampled during puberty, and should include data into adulthood. The LMS method is recommended for constructing measurement centiles, and parametric or semiparametric approaches are available to estimate the timing of the adolescent growth spurt in individuals. If the new standard is to be grafted onto the 2006 World Health Organization (WHO) reference, caution is needed at the join point of 5 years, where children from the new standard are likely to be appreciably more obese than those from the WHO reference, due to the rising trends in obesity and the time gap in data collection between the two surveys.","container-title":"Food and Nutrition Bulletin","DOI":"10.1177/15648265060274S507","ISSN":"0379-5721, 1564-8265","issue":"4_suppl5","journalAbbreviation":"Food Nutr Bull","language":"en","page":"S237-S243","source":"DOI.org (Crossref)","title":"The International Growth Standard for Preadolescent and Adolescent Children: Statistical Considerations","title-short":"The International Growth Standard for Preadolescent and Adolescent Children","volume":"27","author":[{"family":"Cole","given":"T. J."}],"issued":{"date-parts":[["2006",12]]}}},{"id":80,"uris":["http://zotero.org/users/local/AE0gAnhG/items/U96NW875"],"uri":["http://zotero.org/users/local/AE0gAnhG/items/U96NW875"],"itemData":{"id":80,"type":"article-journal","abstract":"The INTERGROWTH-21st Project has in its mandate to develop prescriptive standards for fetal, neonatal and preterm post-neonatal growth. The project comprises three components: the Fetal Growth Longitudinal Study (FGLS), the Preterm Postnatal Follow-up Study (PPFS), and the Newborn Cross-Sectional Study (NCSS). We consider here the statistical aspects of the three components as they relate to the construction of these standards, in particular the sample size, and outline the principles that will guide the planned main analyses.","container-title":"BJOG: An International Journal of Obstetrics &amp; Gynaecology","DOI":"10.1111/1471-0528.12031","ISSN":"14700328","journalAbbreviation":"BJOG","language":"en","page":"71-76","source":"DOI.org (Crossref)","title":"Statistical considerations for the development of prescriptive fetal and newborn growth standards in the INTERGROWTH-21 &lt;sup&gt;st&lt;/sup&gt; Project","volume":"120","author":[{"family":"Altman","given":"Dg"},{"family":"Ohuma","given":"Eo"},{"literal":"for the International Fetal and Newborn Growth Consortium for the 21st Century (INTERGROWTH-21st)"}],"issued":{"date-parts":[["2013",9]]}}},{"id":82,"uris":["http://zotero.org/users/local/AE0gAnhG/items/CHQCFI9Z"],"uri":["http://zotero.org/users/local/AE0gAnhG/items/CHQCFI9Z"],"itemData":{"id":82,"type":"article-journal","abstract":"Growth reference centile charts are widely used in child health to assess weight, height and other age-varying measurements. The centiles are easy to construct from reference data, using the LMS method or GAMLSS (Generalised Additive Models for Location Scale and Shape). However, there is as yet no clear guidance on how to design such studies, and in particular how many reference data to collect, and this has led to study sizes varying widely. The paper aims to provide a theoretical framework for optimally designing growth reference studies based on cross-sectional data. Centiles for weight, height, body mass index and head circumference, in 6878 boys aged 0–21 years from the Fourth Dutch Growth Study, were fitted using GAMLSS. The effect on precision of varying the sample size and the distribution of measurement ages (sample composition) was explored by fitting a series of GAMLSS models to simulated data. Sample composition was defined as uniform on the agek scale, where k was chosen to give constant precision across the age range. Precision was measured on the z-score scale, and was the same for all four measurements, with a standard error of 0.041 z-score units for the median and 0.066 for the 2nd and 98th centiles. Compared to a na¨ıve calculation, the process of smoothing the centiles increased the notional sample size two- to threefold by ‘borrowing strength’. The sample composition for estimating the median curve was optimal for k¼0.4, reflecting considerable over-sampling of infants compared to children. However, for the 2nd and 98th centiles, k¼0.75 was optimal, with less infant over-sampling. The conclusion is that both sample size and sample composition need to be optimised. The paper provides practical advice on design, and concludes that optimally designed studies need 7000–25,000 subjects per sex.","container-title":"Statistical Methods in Medical Research","DOI":"10.1177/0962280220958438","ISSN":"0962-2802, 1477-0334","issue":"2","journalAbbreviation":"Stat Methods Med Res","language":"en","page":"488-507","source":"DOI.org (Crossref)","title":"Sample size and sample composition for constructing growth reference centiles","volume":"30","author":[{"family":"Cole","given":"Tj"}],"issued":{"date-parts":[["2021",2]]}}}],"schema":"https://github.com/citation-style-language/schema/raw/master/csl-citation.json"} </w:instrText>
      </w:r>
      <w:r w:rsidR="00CF28B7">
        <w:fldChar w:fldCharType="separate"/>
      </w:r>
      <w:r w:rsidR="00CF28B7" w:rsidRPr="00CF28B7">
        <w:t>(32,37–39)</w:t>
      </w:r>
      <w:r w:rsidR="00CF28B7">
        <w:fldChar w:fldCharType="end"/>
      </w:r>
      <w:r w:rsidR="00CF28B7">
        <w:t xml:space="preserve">, our investigation is the first to </w:t>
      </w:r>
      <w:r w:rsidR="004D3A1D">
        <w:t>us</w:t>
      </w:r>
      <w:r w:rsidR="00976207">
        <w:t xml:space="preserve">e a </w:t>
      </w:r>
      <w:r w:rsidR="0054197A">
        <w:t>mixed-</w:t>
      </w:r>
      <w:r w:rsidR="00976207">
        <w:t>l</w:t>
      </w:r>
      <w:r w:rsidR="004D3A1D">
        <w:t xml:space="preserve">ongitudinal design </w:t>
      </w:r>
      <w:r w:rsidR="00A438D8">
        <w:t>for the development of</w:t>
      </w:r>
      <w:r w:rsidR="00CF28B7">
        <w:t xml:space="preserve"> age-</w:t>
      </w:r>
      <w:r w:rsidR="0054197A">
        <w:t>related</w:t>
      </w:r>
      <w:r w:rsidR="00CF28B7">
        <w:t xml:space="preserve"> reference centiles </w:t>
      </w:r>
      <w:r w:rsidR="00CF28B7" w:rsidRPr="00142F0D">
        <w:t>that may support the screening of the individual elite female soccer player</w:t>
      </w:r>
      <w:r w:rsidR="00CF28B7">
        <w:t xml:space="preserve"> throughout their professional career.</w:t>
      </w:r>
    </w:p>
    <w:p w14:paraId="7AE1E6A5" w14:textId="475A528F" w:rsidR="00352258" w:rsidRDefault="00352258" w:rsidP="00A709BD">
      <w:pPr>
        <w:jc w:val="both"/>
      </w:pPr>
    </w:p>
    <w:p w14:paraId="6FD6C177" w14:textId="1091C058" w:rsidR="00352258" w:rsidRDefault="00352258" w:rsidP="00352258">
      <w:pPr>
        <w:jc w:val="both"/>
      </w:pPr>
      <w:r>
        <w:t>T</w:t>
      </w:r>
      <w:r w:rsidRPr="00202622">
        <w:t xml:space="preserve">o </w:t>
      </w:r>
      <w:r w:rsidR="00455DD0">
        <w:t>demonstrate</w:t>
      </w:r>
      <w:r w:rsidR="00455DD0" w:rsidRPr="00202622">
        <w:t xml:space="preserve"> </w:t>
      </w:r>
      <w:r>
        <w:t>how t</w:t>
      </w:r>
      <w:r w:rsidRPr="00202622">
        <w:t>he reference centiles</w:t>
      </w:r>
      <w:r w:rsidR="00E246CA">
        <w:t xml:space="preserve"> illustrated</w:t>
      </w:r>
      <w:r w:rsidRPr="00202622">
        <w:t xml:space="preserve"> in the </w:t>
      </w:r>
      <w:r w:rsidR="00E246CA">
        <w:t xml:space="preserve">present </w:t>
      </w:r>
      <w:r w:rsidRPr="00202622">
        <w:t xml:space="preserve">study </w:t>
      </w:r>
      <w:r>
        <w:t xml:space="preserve">can serve as </w:t>
      </w:r>
      <w:r w:rsidRPr="00202622">
        <w:t>a tool for practitioners to track an individual player’s progress over time, consider an individual player who registers a CMJ of 27 cm at 17 years of age and then 35 cm at 21 years of age. Using the predicted reference centiles for CMJ (</w:t>
      </w:r>
      <w:r w:rsidR="005130E0">
        <w:t>Table</w:t>
      </w:r>
      <w:r w:rsidRPr="00202622">
        <w:t xml:space="preserve"> </w:t>
      </w:r>
      <w:r>
        <w:t>3</w:t>
      </w:r>
      <w:r w:rsidRPr="00202622">
        <w:t>), it can be shown that the player has moved from the 25</w:t>
      </w:r>
      <w:r w:rsidRPr="00A438D8">
        <w:rPr>
          <w:vertAlign w:val="superscript"/>
        </w:rPr>
        <w:t>th</w:t>
      </w:r>
      <w:r w:rsidRPr="00202622">
        <w:t xml:space="preserve"> centile at 17 years of age to the 75</w:t>
      </w:r>
      <w:r w:rsidRPr="00A438D8">
        <w:rPr>
          <w:vertAlign w:val="superscript"/>
        </w:rPr>
        <w:t>th</w:t>
      </w:r>
      <w:r w:rsidRPr="00202622">
        <w:t xml:space="preserve"> centile at 21 years of age, thus highlighting the</w:t>
      </w:r>
      <w:r>
        <w:t xml:space="preserve"> simplicity and </w:t>
      </w:r>
      <w:r w:rsidRPr="00A37590">
        <w:t>practicality of tracking the individual player’s relative performance standing over time</w:t>
      </w:r>
      <w:r w:rsidRPr="00323E18">
        <w:t>.</w:t>
      </w:r>
      <w:r>
        <w:t xml:space="preserve"> </w:t>
      </w:r>
      <w:r>
        <w:rPr>
          <w:color w:val="000000" w:themeColor="text1"/>
        </w:rPr>
        <w:t xml:space="preserve">Additionally, the predicted reference centiles provide a framework which permits simple comparisons between equivalent datasets. </w:t>
      </w:r>
      <w:r>
        <w:t xml:space="preserve">However, </w:t>
      </w:r>
      <w:r>
        <w:rPr>
          <w:lang w:val="en-US"/>
        </w:rPr>
        <w:t xml:space="preserve">the present lack of data from other countries similar to that illustrated in our study precluded formal comparisons with other populations of elite female soccer players. </w:t>
      </w:r>
      <w:r w:rsidR="00A37590">
        <w:t>W</w:t>
      </w:r>
      <w:r w:rsidR="00A37590" w:rsidRPr="00040CEC">
        <w:t xml:space="preserve">hat our illustration aimed to address was the need for translating </w:t>
      </w:r>
      <w:r w:rsidR="00A37590">
        <w:t>empirical</w:t>
      </w:r>
      <w:r w:rsidR="00A37590" w:rsidRPr="00040CEC">
        <w:t xml:space="preserve"> findings into performance-based solutions for the creation of a</w:t>
      </w:r>
      <w:r w:rsidR="00A37590">
        <w:t>n</w:t>
      </w:r>
      <w:r w:rsidR="00A37590" w:rsidRPr="00040CEC">
        <w:t xml:space="preserve"> operational framework in clubs and federations that may support the development of the elite female soccer player</w:t>
      </w:r>
      <w:r w:rsidR="00A37590">
        <w:t xml:space="preserve"> </w:t>
      </w:r>
      <w:r w:rsidR="00A37590">
        <w:fldChar w:fldCharType="begin"/>
      </w:r>
      <w:r w:rsidR="00A37590">
        <w:instrText xml:space="preserve"> ADDIN ZOTERO_ITEM CSL_CITATION {"citationID":"EhApXrFB","properties":{"formattedCitation":"(42)","plainCitation":"(42)","noteIndex":0},"citationItems":[{"id":88,"uris":["http://zotero.org/users/local/AE0gAnhG/items/JEU5DYSX"],"uri":["http://zotero.org/users/local/AE0gAnhG/items/JEU5DYSX"],"itemData":{"id":88,"type":"article-journal","abstract":"The scientiﬁc study of football has its origins in the early research completed in the 1970’s. Since these early efforts the available scientiﬁc knowledge base related to football has developed substantially. The ability of this scientiﬁc information to inﬂuence practice in the day-to-day activity of football organisations, especially elite teams, has been largely taken for granted. The close examination of this impact can lead to more uncertainty regarding the usefulness of the scientiﬁc data to the sport. Few articles are available that have attempted to critique the link between science and football practice. As such, the aims of this article are 2-fold; (i) to examine the historical background to “science and football” and to analyse the inﬂuence of sports science research on the current practice of coaches and practitioners within the sport and (ii) to identify potential ways to increase the inﬂuence of scientiﬁc research on practice in the “real world”.","container-title":"Journal of Sports Sciences","DOI":"10.1080/02640414.2013.828544","ISSN":"0264-0414, 1466-447X","issue":"13","journalAbbreviation":"Journal of Sports Sciences","language":"en","page":"1377-1382","source":"DOI.org (Crossref)","title":"Science and football: evaluating the influence of science on performance","title-short":"Science and football","volume":"31","author":[{"family":"Drust","given":"B."},{"family":"Green","given":"M."}],"issued":{"date-parts":[["2013",9]]}}}],"schema":"https://github.com/citation-style-language/schema/raw/master/csl-citation.json"} </w:instrText>
      </w:r>
      <w:r w:rsidR="00A37590">
        <w:fldChar w:fldCharType="separate"/>
      </w:r>
      <w:r w:rsidR="00A37590">
        <w:rPr>
          <w:noProof/>
        </w:rPr>
        <w:t>(4</w:t>
      </w:r>
      <w:r w:rsidR="00DF0389">
        <w:rPr>
          <w:noProof/>
        </w:rPr>
        <w:t>0</w:t>
      </w:r>
      <w:r w:rsidR="00A37590">
        <w:rPr>
          <w:noProof/>
        </w:rPr>
        <w:t>)</w:t>
      </w:r>
      <w:r w:rsidR="00A37590">
        <w:fldChar w:fldCharType="end"/>
      </w:r>
      <w:r w:rsidR="00A37590">
        <w:t>.</w:t>
      </w:r>
    </w:p>
    <w:p w14:paraId="2E93B4E5" w14:textId="738F848A" w:rsidR="00CF28B7" w:rsidRDefault="00CF28B7" w:rsidP="00A709BD">
      <w:pPr>
        <w:jc w:val="both"/>
      </w:pPr>
    </w:p>
    <w:p w14:paraId="63DC89AF" w14:textId="7DBBC4AC" w:rsidR="00CF28B7" w:rsidRDefault="00CF28B7" w:rsidP="00A709BD">
      <w:pPr>
        <w:jc w:val="both"/>
      </w:pPr>
      <w:r w:rsidRPr="00040CEC">
        <w:t>Within the settings of modern academies and national federations, reference values for measures used to support decisions on the individual player would enable coaches, managers, and executives more objective value judgments</w:t>
      </w:r>
      <w:r>
        <w:t xml:space="preserve"> </w:t>
      </w:r>
      <w:r>
        <w:fldChar w:fldCharType="begin"/>
      </w:r>
      <w:r>
        <w:instrText xml:space="preserve"> ADDIN ZOTERO_ITEM CSL_CITATION {"citationID":"kHMz0XQR","properties":{"formattedCitation":"(40)","plainCitation":"(40)","noteIndex":0},"citationItems":[{"id":84,"uris":["http://zotero.org/users/local/AE0gAnhG/items/PQTYW2TF"],"uri":["http://zotero.org/users/local/AE0gAnhG/items/PQTYW2TF"],"itemData":{"id":84,"type":"article-journal","abstract":"The peak age for professional soccer players is of signiﬁcant interest to coaches, managers and executives alike. The evidence so far is predominantly anecdotal and subjective. This paper formally analyzes the peak or optimal age in professional men’s soccer using performance ratings of players in the four major top ﬂight leagues of Europe. WhoScored.com ratings from 2010/11 to 2014/15 are used. The analysis is done for all outﬁeld players, separately by ﬁeld position. In addition to simple age distribution and bivariate approaches, a player ﬁxed effects model that accounts for potential selection bias is estimated. The results show that the average professional soccer player peaks between the ages of 25 and 27. In the preferred models, the average forward peaks at 25, whereas the typical defender peaks at 27. For midﬁelders, the estimated peak age varies by model but still occurs in the 25–27 age band. Defenders experience relatively minimal curvature in the age-performance relationship. Further results show that peak age may vary directly with ability.","container-title":"Journal of Sports Analytics","DOI":"10.3233/JSA-160021","ISSN":"2215020X, 22150218","issue":"2","journalAbbreviation":"JSA","language":"en","page":"89-105","source":"DOI.org (Crossref)","title":"When do soccer players peak? A note","title-short":"When do soccer players peak?","volume":"2","author":[{"family":"Dendir","given":"Seife"}],"issued":{"date-parts":[["2016",10,20]]}}}],"schema":"https://github.com/citation-style-language/schema/raw/master/csl-citation.json"} </w:instrText>
      </w:r>
      <w:r>
        <w:fldChar w:fldCharType="separate"/>
      </w:r>
      <w:r>
        <w:rPr>
          <w:noProof/>
        </w:rPr>
        <w:t>(4</w:t>
      </w:r>
      <w:r w:rsidR="00DF0389">
        <w:rPr>
          <w:noProof/>
        </w:rPr>
        <w:t>1</w:t>
      </w:r>
      <w:r>
        <w:rPr>
          <w:noProof/>
        </w:rPr>
        <w:t>)</w:t>
      </w:r>
      <w:r>
        <w:fldChar w:fldCharType="end"/>
      </w:r>
      <w:r>
        <w:t xml:space="preserve">. </w:t>
      </w:r>
      <w:r w:rsidRPr="00040CEC">
        <w:t>In practice, the need for benchmarking player physical performance demands the development of reference standard</w:t>
      </w:r>
      <w:r>
        <w:t>s</w:t>
      </w:r>
      <w:r w:rsidRPr="00040CEC">
        <w:t xml:space="preserve"> for establishing minimum criteria for the individual player to pursue a career at a professional level. While useful for appraising the degree to which needs for physical performance development are </w:t>
      </w:r>
      <w:r w:rsidRPr="00040CEC">
        <w:lastRenderedPageBreak/>
        <w:t>being met during the academy stages</w:t>
      </w:r>
      <w:r>
        <w:t xml:space="preserve"> </w:t>
      </w:r>
      <w:r>
        <w:fldChar w:fldCharType="begin"/>
      </w:r>
      <w:r>
        <w:instrText xml:space="preserve"> ADDIN ZOTERO_ITEM CSL_CITATION {"citationID":"1f7gsZpx","properties":{"formattedCitation":"(41)","plainCitation":"(41)","noteIndex":0},"citationItems":[{"id":86,"uris":["http://zotero.org/users/local/AE0gAnhG/items/ADD6F546"],"uri":["http://zotero.org/users/local/AE0gAnhG/items/ADD6F546"],"itemData":{"id":86,"type":"article-journal","abstract":"Reference intervals are used in laboratory medicine to detect measurements which are extreme, possibly abnormal. Methods of estimating reference intervals and age-specific reference intervals (where the measurement is dependent on a covariate, typically age) are reviewed. The issues of calculating confidence bands, determining appropriate sample sizes and assessing goodness-of-fit are discussed.","container-title":"Statistical Methods in Medical Research","DOI":"10.1177/096228029900800202","ISSN":"0962-2802, 1477-0334","issue":"2","journalAbbreviation":"Stat Methods Med Res","language":"en","page":"93-112","source":"DOI.org (Crossref)","title":"Calculating reference intervals for laboratory measurements","volume":"8","author":[{"family":"Wright","given":"Eileen M"},{"family":"Royston","given":"Patrick"}],"issued":{"date-parts":[["1999",4]]}}}],"schema":"https://github.com/citation-style-language/schema/raw/master/csl-citation.json"} </w:instrText>
      </w:r>
      <w:r>
        <w:fldChar w:fldCharType="separate"/>
      </w:r>
      <w:r>
        <w:rPr>
          <w:noProof/>
        </w:rPr>
        <w:t>(4</w:t>
      </w:r>
      <w:r w:rsidR="00DF0389">
        <w:rPr>
          <w:noProof/>
        </w:rPr>
        <w:t>2</w:t>
      </w:r>
      <w:r>
        <w:rPr>
          <w:noProof/>
        </w:rPr>
        <w:t>)</w:t>
      </w:r>
      <w:r>
        <w:fldChar w:fldCharType="end"/>
      </w:r>
      <w:r>
        <w:t xml:space="preserve">, </w:t>
      </w:r>
      <w:r w:rsidRPr="00040CEC">
        <w:t xml:space="preserve">reference values might </w:t>
      </w:r>
      <w:r>
        <w:t xml:space="preserve">also </w:t>
      </w:r>
      <w:r w:rsidRPr="00040CEC">
        <w:t xml:space="preserve">provide valuable insights regarding the expected time </w:t>
      </w:r>
      <w:r>
        <w:t xml:space="preserve">before </w:t>
      </w:r>
      <w:r w:rsidRPr="00040CEC">
        <w:t xml:space="preserve">a player may reach peak performance. </w:t>
      </w:r>
      <w:r>
        <w:t>For example, o</w:t>
      </w:r>
      <w:r w:rsidRPr="00040CEC">
        <w:t>ur results suggest that physical performance test scores improv</w:t>
      </w:r>
      <w:r>
        <w:t>e</w:t>
      </w:r>
      <w:r w:rsidRPr="00040CEC">
        <w:t xml:space="preserve"> u</w:t>
      </w:r>
      <w:r>
        <w:t>ntil</w:t>
      </w:r>
      <w:r w:rsidRPr="00040CEC">
        <w:t xml:space="preserve"> around 25 years. This finding </w:t>
      </w:r>
      <w:r>
        <w:t xml:space="preserve">aligns </w:t>
      </w:r>
      <w:r w:rsidRPr="00040CEC">
        <w:t>with previous explorations</w:t>
      </w:r>
      <w:r>
        <w:t xml:space="preserve"> in</w:t>
      </w:r>
      <w:r w:rsidRPr="00040CEC">
        <w:t xml:space="preserve"> elite </w:t>
      </w:r>
      <w:r>
        <w:t xml:space="preserve">female </w:t>
      </w:r>
      <w:r w:rsidRPr="00040CEC">
        <w:t xml:space="preserve">soccer players </w:t>
      </w:r>
      <w:r>
        <w:t xml:space="preserve">suggesting players reach peak physical performance between ~22 and ~25.5 years across a range of physical performance tests (e.g., 30-15 intermittent fitness test, CMJ, squat jump, broad jump, 10-m and 40-m sprinting) </w:t>
      </w:r>
      <w:r>
        <w:fldChar w:fldCharType="begin"/>
      </w:r>
      <w:r>
        <w:instrText xml:space="preserve"> ADDIN ZOTERO_ITEM CSL_CITATION {"citationID":"Z7MGggTd","properties":{"formattedCitation":"(16)","plainCitation":"(16)","noteIndex":0},"citationItems":[{"id":35,"uris":["http://zotero.org/users/local/AE0gAnhG/items/PY849LYP"],"uri":["http://zotero.org/users/local/AE0gAnhG/items/PY849LYP"],"itemData":{"id":35,"type":"article-journal","abstract":"Objectives: Signiﬁcant resources are invested in maximizing player performance without extensive knowledge of the athletic progression of elite female soccer players during their career. The aim of the current study was therefore to investigate the change in physical performance characteristics in 12- to 34-year-old female soccer players in a national team program. Design: Mixed-longitudinal study.\nMethods: Physical performance was assessed across ﬁve years and 657 testing occasions (n = 143) using anthropometrics, 40 m sprint (10 m split), broad jump, countermovement jump, squat jump, and 30-15 intermittent ﬁtness test (IFT).\nResults: Using a Gaussian mixture model, Youth and Senior groups were bifurcated at approximately 23 years old. Subsequent linear mixed models for each group and variable identiﬁed signiﬁcant improvements in the Youth group in maximal speed (30−40 m split), broad jump, countermovement jump, and ﬁnal velocity30−15IFT (p ≤ 0.002), and a decrease in squat jump height with increasing age (p = 0.04). The Senior group recorded slower 10 m sprint time and a decrease in squat jump height with increasing age (p &lt; 0.001). Body mass increased from 12 to 34 years old (Youth and Senior: p ≤ 0.001). The Youth group signiﬁcantly differed in the rate of change compared to the Senior group in body mass, 10 m sprint time, countermovement jump, squat jump, and ﬁnal velocity30-15IFT (p ≤ 0.001).\nConclusions: This information can be used to identify average rates of physical performance improvement and decay to help guide optimal physical training and maximize the longevity of a female soccer players’ career.","container-title":"Journal of Science and Medicine in Sport","DOI":"10.1016/j.jsams.2020.12.009","ISSN":"14402440","issue":"6","journalAbbreviation":"Journal of Science and Medicine in Sport","language":"en","page":"597-602","source":"DOI.org (Crossref)","title":"Physical performance development in a female national team soccer program","volume":"24","author":[{"family":"Poehling","given":"Robert A."},{"family":"Tsai","given":"Ming-Chang"},{"family":"Manson","given":"Sarah A."},{"family":"Koehle","given":"Michael S."},{"family":"Meylan","given":"Cesar M.P."}],"issued":{"date-parts":[["2021",6]]}}}],"schema":"https://github.com/citation-style-language/schema/raw/master/csl-citation.json"} </w:instrText>
      </w:r>
      <w:r>
        <w:fldChar w:fldCharType="separate"/>
      </w:r>
      <w:r>
        <w:rPr>
          <w:noProof/>
        </w:rPr>
        <w:t>(16)</w:t>
      </w:r>
      <w:r>
        <w:fldChar w:fldCharType="end"/>
      </w:r>
      <w:r>
        <w:t>.</w:t>
      </w:r>
      <w:r w:rsidR="00352258" w:rsidRPr="00352258">
        <w:t xml:space="preserve"> </w:t>
      </w:r>
    </w:p>
    <w:p w14:paraId="2BED684D" w14:textId="77777777" w:rsidR="00FC6A54" w:rsidRDefault="00FC6A54" w:rsidP="00A709BD">
      <w:pPr>
        <w:jc w:val="both"/>
      </w:pPr>
    </w:p>
    <w:p w14:paraId="2E1C78D4" w14:textId="29D47508" w:rsidR="00CF28B7" w:rsidRPr="008419E8" w:rsidRDefault="00CF28B7" w:rsidP="00A709BD">
      <w:pPr>
        <w:jc w:val="both"/>
        <w:rPr>
          <w:lang w:val="en-US"/>
        </w:rPr>
      </w:pPr>
      <w:r>
        <w:rPr>
          <w:lang w:val="en-US"/>
        </w:rPr>
        <w:t xml:space="preserve">The present study is not without limitations. We used data gathered from players selected for a national development </w:t>
      </w:r>
      <w:proofErr w:type="spellStart"/>
      <w:r>
        <w:rPr>
          <w:lang w:val="en-US"/>
        </w:rPr>
        <w:t>programme</w:t>
      </w:r>
      <w:proofErr w:type="spellEnd"/>
      <w:r>
        <w:rPr>
          <w:lang w:val="en-US"/>
        </w:rPr>
        <w:t xml:space="preserve"> and, therefore, our findings may be </w:t>
      </w:r>
      <w:r w:rsidR="00D267B1">
        <w:rPr>
          <w:lang w:val="en-US"/>
        </w:rPr>
        <w:t xml:space="preserve">deemed </w:t>
      </w:r>
      <w:r>
        <w:rPr>
          <w:lang w:val="en-US"/>
        </w:rPr>
        <w:t xml:space="preserve">prone to biases in player selection and training </w:t>
      </w:r>
      <w:proofErr w:type="spellStart"/>
      <w:r>
        <w:rPr>
          <w:lang w:val="en-US"/>
        </w:rPr>
        <w:t>programme</w:t>
      </w:r>
      <w:proofErr w:type="spellEnd"/>
      <w:r>
        <w:rPr>
          <w:lang w:val="en-US"/>
        </w:rPr>
        <w:t xml:space="preserve"> design, thereby limiting the </w:t>
      </w:r>
      <w:proofErr w:type="spellStart"/>
      <w:r>
        <w:rPr>
          <w:lang w:val="en-US"/>
        </w:rPr>
        <w:t>generalisabilty</w:t>
      </w:r>
      <w:proofErr w:type="spellEnd"/>
      <w:r>
        <w:rPr>
          <w:lang w:val="en-US"/>
        </w:rPr>
        <w:t xml:space="preserve"> of our results in other contexts. Players were selected to the development </w:t>
      </w:r>
      <w:proofErr w:type="spellStart"/>
      <w:r>
        <w:rPr>
          <w:lang w:val="en-US"/>
        </w:rPr>
        <w:t>programme</w:t>
      </w:r>
      <w:proofErr w:type="spellEnd"/>
      <w:r>
        <w:rPr>
          <w:lang w:val="en-US"/>
        </w:rPr>
        <w:t xml:space="preserve"> based on a combination of physical and technical criteria and consequently the reference </w:t>
      </w:r>
      <w:r w:rsidR="0054197A">
        <w:rPr>
          <w:lang w:val="en-US"/>
        </w:rPr>
        <w:t xml:space="preserve">values presented </w:t>
      </w:r>
      <w:r>
        <w:rPr>
          <w:lang w:val="en-US"/>
        </w:rPr>
        <w:t>in this study</w:t>
      </w:r>
      <w:r w:rsidR="00233836">
        <w:rPr>
          <w:lang w:val="en-US"/>
        </w:rPr>
        <w:t xml:space="preserve"> may be influenced by </w:t>
      </w:r>
      <w:r>
        <w:rPr>
          <w:lang w:val="en-US"/>
        </w:rPr>
        <w:t xml:space="preserve">the physical profile of players selected to the </w:t>
      </w:r>
      <w:proofErr w:type="spellStart"/>
      <w:r>
        <w:rPr>
          <w:lang w:val="en-US"/>
        </w:rPr>
        <w:t>programme</w:t>
      </w:r>
      <w:proofErr w:type="spellEnd"/>
      <w:r>
        <w:rPr>
          <w:lang w:val="en-US"/>
        </w:rPr>
        <w:t xml:space="preserve">. Secondly, while in line with the clinical literature, we presented reference centiles by chronological age only, and not by biological age. </w:t>
      </w:r>
      <w:r w:rsidR="00A438D8">
        <w:rPr>
          <w:lang w:val="en-US"/>
        </w:rPr>
        <w:t xml:space="preserve">Researchers in this field </w:t>
      </w:r>
      <w:r w:rsidR="000B7904">
        <w:rPr>
          <w:lang w:val="en-US"/>
        </w:rPr>
        <w:t>suggested</w:t>
      </w:r>
      <w:r w:rsidR="00A438D8">
        <w:rPr>
          <w:lang w:val="en-US"/>
        </w:rPr>
        <w:t xml:space="preserve"> that t</w:t>
      </w:r>
      <w:r w:rsidR="00A438D8" w:rsidRPr="00F2118D">
        <w:rPr>
          <w:lang w:val="en-US"/>
        </w:rPr>
        <w:t xml:space="preserve">he </w:t>
      </w:r>
      <w:r w:rsidRPr="00F2118D">
        <w:rPr>
          <w:lang w:val="en-US"/>
        </w:rPr>
        <w:t xml:space="preserve">assessment of biological age via reference methods (i.e., skeletal age; secondary sex characteristics) </w:t>
      </w:r>
      <w:r w:rsidR="00A438D8">
        <w:rPr>
          <w:lang w:val="en-US"/>
        </w:rPr>
        <w:t>can be</w:t>
      </w:r>
      <w:r w:rsidRPr="00F2118D">
        <w:rPr>
          <w:lang w:val="en-US"/>
        </w:rPr>
        <w:t xml:space="preserve"> important to support player development strategies</w:t>
      </w:r>
      <w:r w:rsidR="008B274E">
        <w:rPr>
          <w:lang w:val="en-US"/>
        </w:rPr>
        <w:t xml:space="preserve"> </w:t>
      </w:r>
      <w:r w:rsidR="00DF0389">
        <w:rPr>
          <w:lang w:val="en-US"/>
        </w:rPr>
        <w:t>(43).</w:t>
      </w:r>
      <w:r w:rsidRPr="00F2118D">
        <w:rPr>
          <w:lang w:val="en-US"/>
        </w:rPr>
        <w:t xml:space="preserve"> However, this data was not available in the current study, and, notably, gathering consistent biological age measurements may not be feasible throughout an individual player's career.</w:t>
      </w:r>
      <w:r>
        <w:rPr>
          <w:lang w:val="en-US"/>
        </w:rPr>
        <w:t xml:space="preserve"> Thirdly, the sample size in the current study was not sufficient to permit splitting the available dataset for the estimation of reference centiles by playing position </w:t>
      </w:r>
      <w:r>
        <w:rPr>
          <w:lang w:val="en-US"/>
        </w:rPr>
        <w:fldChar w:fldCharType="begin"/>
      </w:r>
      <w:r>
        <w:rPr>
          <w:lang w:val="en-US"/>
        </w:rPr>
        <w:instrText xml:space="preserve"> ADDIN ZOTERO_ITEM CSL_CITATION {"citationID":"hHqQ0Now","properties":{"formattedCitation":"(38)","plainCitation":"(38)","noteIndex":0},"citationItems":[{"id":80,"uris":["http://zotero.org/users/local/AE0gAnhG/items/U96NW875"],"uri":["http://zotero.org/users/local/AE0gAnhG/items/U96NW875"],"itemData":{"id":80,"type":"article-journal","abstract":"The INTERGROWTH-21st Project has in its mandate to develop prescriptive standards for fetal, neonatal and preterm post-neonatal growth. The project comprises three components: the Fetal Growth Longitudinal Study (FGLS), the Preterm Postnatal Follow-up Study (PPFS), and the Newborn Cross-Sectional Study (NCSS). We consider here the statistical aspects of the three components as they relate to the construction of these standards, in particular the sample size, and outline the principles that will guide the planned main analyses.","container-title":"BJOG: An International Journal of Obstetrics &amp; Gynaecology","DOI":"10.1111/1471-0528.12031","ISSN":"14700328","journalAbbreviation":"BJOG","language":"en","page":"71-76","source":"DOI.org (Crossref)","title":"Statistical considerations for the development of prescriptive fetal and newborn growth standards in the INTERGROWTH-21 &lt;sup&gt;st&lt;/sup&gt; Project","volume":"120","author":[{"family":"Altman","given":"Dg"},{"family":"Ohuma","given":"Eo"},{"literal":"for the International Fetal and Newborn Growth Consortium for the 21st Century (INTERGROWTH-21st)"}],"issued":{"date-parts":[["2013",9]]}}}],"schema":"https://github.com/citation-style-language/schema/raw/master/csl-citation.json"} </w:instrText>
      </w:r>
      <w:r>
        <w:rPr>
          <w:lang w:val="en-US"/>
        </w:rPr>
        <w:fldChar w:fldCharType="separate"/>
      </w:r>
      <w:r>
        <w:rPr>
          <w:noProof/>
          <w:lang w:val="en-US"/>
        </w:rPr>
        <w:t>(38)</w:t>
      </w:r>
      <w:r>
        <w:rPr>
          <w:lang w:val="en-US"/>
        </w:rPr>
        <w:fldChar w:fldCharType="end"/>
      </w:r>
      <w:r>
        <w:rPr>
          <w:lang w:val="en-US"/>
        </w:rPr>
        <w:t xml:space="preserve">. </w:t>
      </w:r>
      <w:r w:rsidR="008419E8" w:rsidRPr="008419E8">
        <w:rPr>
          <w:lang w:val="en-US"/>
        </w:rPr>
        <w:t>Likewise, our sample composition, involving subjects measured once and others more than once, precluded a formal estimation of unbiased pointwise confidence bands for individual centile curves. In our study context, estimating the uncertainty for a given centile curve represented a design issue</w:t>
      </w:r>
      <w:r w:rsidR="00DF0389">
        <w:rPr>
          <w:lang w:val="en-US"/>
        </w:rPr>
        <w:t xml:space="preserve"> (39).</w:t>
      </w:r>
      <w:r w:rsidR="008419E8" w:rsidRPr="008419E8">
        <w:rPr>
          <w:lang w:val="en-US"/>
        </w:rPr>
        <w:t xml:space="preserve"> The use of mixed-longitudinal data is a valuable compromise to address ethical and study cost issues typical of other study designs</w:t>
      </w:r>
      <w:r w:rsidR="00DF0389">
        <w:rPr>
          <w:lang w:val="en-US"/>
        </w:rPr>
        <w:t xml:space="preserve"> (37).</w:t>
      </w:r>
      <w:r w:rsidR="008419E8" w:rsidRPr="008419E8">
        <w:rPr>
          <w:lang w:val="en-US"/>
        </w:rPr>
        <w:t xml:space="preserve"> Specifically, adopting a cross-sectional design requires a relatively larger number of study participants yet </w:t>
      </w:r>
      <w:r w:rsidR="00D267B1" w:rsidRPr="008419E8">
        <w:rPr>
          <w:lang w:val="en-US"/>
        </w:rPr>
        <w:t>provi</w:t>
      </w:r>
      <w:r w:rsidR="00D267B1">
        <w:rPr>
          <w:lang w:val="en-US"/>
        </w:rPr>
        <w:t>ding</w:t>
      </w:r>
      <w:r w:rsidR="00D267B1" w:rsidRPr="008419E8">
        <w:rPr>
          <w:lang w:val="en-US"/>
        </w:rPr>
        <w:t xml:space="preserve"> </w:t>
      </w:r>
      <w:r w:rsidR="008419E8" w:rsidRPr="008419E8">
        <w:rPr>
          <w:lang w:val="en-US"/>
        </w:rPr>
        <w:t>information about distance that may be comparable to estimations conducted in smaller-scale study settings</w:t>
      </w:r>
      <w:r w:rsidR="00DF0389">
        <w:rPr>
          <w:lang w:val="en-US"/>
        </w:rPr>
        <w:t xml:space="preserve"> (44).</w:t>
      </w:r>
      <w:r w:rsidR="008419E8" w:rsidRPr="008419E8">
        <w:rPr>
          <w:lang w:val="en-US"/>
        </w:rPr>
        <w:t xml:space="preserve"> While bootstrapping procedures are currently available for our modelling methods, inappropriate treatment of mixed-longitudinal data can result in deriving misleadingly inflated standard errors yielding overly precise confidence bands</w:t>
      </w:r>
      <w:r w:rsidR="00DF0389">
        <w:rPr>
          <w:lang w:val="en-US"/>
        </w:rPr>
        <w:t xml:space="preserve"> (39). I</w:t>
      </w:r>
      <w:r w:rsidR="008419E8" w:rsidRPr="008419E8">
        <w:rPr>
          <w:lang w:val="en-US"/>
        </w:rPr>
        <w:t xml:space="preserve">n conventional cross-sectional study designs with normally distributed data, confidence bands approximate </w:t>
      </w:r>
      <m:oMath>
        <m:r>
          <w:rPr>
            <w:rFonts w:ascii="Cambria Math" w:hAnsi="Cambria Math"/>
            <w:lang w:val="en-US"/>
          </w:rPr>
          <m:t>±</m:t>
        </m:r>
      </m:oMath>
      <w:r w:rsidR="008419E8" w:rsidRPr="008419E8">
        <w:rPr>
          <w:lang w:val="en-US"/>
        </w:rPr>
        <w:t xml:space="preserve"> 2 standard errors</w:t>
      </w:r>
      <w:r w:rsidR="00DF0389">
        <w:rPr>
          <w:lang w:val="en-US"/>
        </w:rPr>
        <w:t xml:space="preserve"> (45).</w:t>
      </w:r>
      <w:r w:rsidR="008419E8" w:rsidRPr="008419E8">
        <w:rPr>
          <w:lang w:val="en-US"/>
        </w:rPr>
        <w:t xml:space="preserve"> </w:t>
      </w:r>
      <w:r w:rsidR="00DF22B0">
        <w:rPr>
          <w:lang w:val="en-US"/>
        </w:rPr>
        <w:t>H</w:t>
      </w:r>
      <w:r w:rsidR="008419E8" w:rsidRPr="008419E8">
        <w:rPr>
          <w:lang w:val="en-US"/>
        </w:rPr>
        <w:t>owever, in the context of our study, clear procedures for estimating confidence bands for reference centiles based on mixed-longitudinal data remains unexplored and warrants future methodological work in this field of research.</w:t>
      </w:r>
      <w:r w:rsidR="008419E8">
        <w:rPr>
          <w:lang w:val="en-US"/>
        </w:rPr>
        <w:t xml:space="preserve"> </w:t>
      </w:r>
      <w:r>
        <w:rPr>
          <w:lang w:val="en-US"/>
        </w:rPr>
        <w:t xml:space="preserve">Finally, the menstrual cycle phase was not recorded during physical performance testing and is acknowledged that this may have influenced performance. However, existing research on this particular aspect remains inconsistent </w:t>
      </w:r>
      <w:r>
        <w:rPr>
          <w:lang w:val="en-US"/>
        </w:rPr>
        <w:fldChar w:fldCharType="begin"/>
      </w:r>
      <w:r>
        <w:rPr>
          <w:lang w:val="en-US"/>
        </w:rPr>
        <w:instrText xml:space="preserve"> ADDIN ZOTERO_ITEM CSL_CITATION {"citationID":"fTNn3jBi","properties":{"formattedCitation":"(43)","plainCitation":"(43)","noteIndex":0},"citationItems":[{"id":90,"uris":["http://zotero.org/users/local/AE0gAnhG/items/XHXAUTQ3"],"uri":["http://zotero.org/users/local/AE0gAnhG/items/XHXAUTQ3"],"itemData":{"id":90,"type":"article-journal","abstract":"Female soccer has seen a substantial rise in participation, as well as increased financial support from governing bodies over the last decade. Thus, there is an onus on researchers and medical departments to develop a better understanding of the physical characteristics and demands, and the health and performance needs of female soccer players. In this review, we discuss the current research, as well as the knowledge gaps, of six major topics: physical demands, talent identification, body composition, injury risk and prevention, health and nutrition. Data on female talent identification are scarce, and future studies need to elucidate the influence of relative age and maturation selection across age groups. Regarding the physical demands, more research is needed on the pattern of high-intensity sprinting during matches and the contribution of soccerspecific movements. Injuries are not uncommon in female soccer players, but targeting intrinsically modifiable factors with injury prevention programmes can reduce injury rates. The anthropometric and physical characteristics of female players are heterogeneous and setting specific targets should be discouraged in youth and sub-elite players. Menstrual cycle phase may influence performance and injury risk; however, there are few studies in soccer players. Nutrition plays a critical role in health and performance and ensuring adequate energy intake remains a priority. Despite recent progress, there is considerably less research in female than male soccer players. Many gaps in our understanding of how best to develop and manage the health and performance of female soccer players remain.","container-title":"Sports Medicine","DOI":"10.1007/s40279-021-01458-1","ISSN":"0112-1642, 1179-2035","issue":"7","journalAbbreviation":"Sports Med","language":"en","page":"1377-1399","source":"DOI.org (Crossref)","title":"Physiological Characteristics of Female Soccer Players and Health and Performance Considerations: A Narrative Review","title-short":"Physiological Characteristics of Female Soccer Players and Health and Performance Considerations","volume":"51","author":[{"family":"Randell","given":"Rebecca K."},{"family":"Clifford","given":"Thomas"},{"family":"Drust","given":"Barry"},{"family":"Moss","given":"Samantha L."},{"family":"Unnithan","given":"Viswanath B."},{"family":"De Ste Croix","given":"Mark B. A."},{"family":"Datson","given":"Naomi"},{"family":"Martin","given":"Daniel"},{"family":"Mayho","given":"Hannah"},{"family":"Carter","given":"James M."},{"family":"Rollo","given":"Ian"}],"issued":{"date-parts":[["2021",7]]}}}],"schema":"https://github.com/citation-style-language/schema/raw/master/csl-citation.json"} </w:instrText>
      </w:r>
      <w:r>
        <w:rPr>
          <w:lang w:val="en-US"/>
        </w:rPr>
        <w:fldChar w:fldCharType="separate"/>
      </w:r>
      <w:r>
        <w:rPr>
          <w:noProof/>
          <w:lang w:val="en-US"/>
        </w:rPr>
        <w:t>(4</w:t>
      </w:r>
      <w:r w:rsidR="00DF22B0">
        <w:rPr>
          <w:noProof/>
          <w:lang w:val="en-US"/>
        </w:rPr>
        <w:t>6</w:t>
      </w:r>
      <w:r>
        <w:rPr>
          <w:noProof/>
          <w:lang w:val="en-US"/>
        </w:rPr>
        <w:t>)</w:t>
      </w:r>
      <w:r>
        <w:rPr>
          <w:lang w:val="en-US"/>
        </w:rPr>
        <w:fldChar w:fldCharType="end"/>
      </w:r>
      <w:r>
        <w:rPr>
          <w:lang w:val="en-US"/>
        </w:rPr>
        <w:t>.</w:t>
      </w:r>
    </w:p>
    <w:p w14:paraId="70DC536F" w14:textId="4F79B9A4" w:rsidR="006063A6" w:rsidRDefault="006063A6" w:rsidP="00A709BD">
      <w:pPr>
        <w:jc w:val="both"/>
      </w:pPr>
    </w:p>
    <w:p w14:paraId="0E2AE424" w14:textId="77777777" w:rsidR="00CF28B7" w:rsidRPr="00DA2AF5" w:rsidRDefault="00CF28B7" w:rsidP="00CF28B7">
      <w:pPr>
        <w:jc w:val="both"/>
        <w:rPr>
          <w:b/>
          <w:lang w:val="en-US"/>
        </w:rPr>
      </w:pPr>
      <w:r w:rsidRPr="00DA2AF5">
        <w:rPr>
          <w:b/>
          <w:lang w:val="en-US"/>
        </w:rPr>
        <w:t>Conclusions</w:t>
      </w:r>
    </w:p>
    <w:p w14:paraId="1E7EE703" w14:textId="0809B4DD" w:rsidR="00CF28B7" w:rsidRDefault="00CF28B7" w:rsidP="00CF28B7">
      <w:pPr>
        <w:jc w:val="both"/>
        <w:rPr>
          <w:lang w:val="en-US"/>
        </w:rPr>
      </w:pPr>
      <w:r>
        <w:rPr>
          <w:lang w:val="en-US"/>
        </w:rPr>
        <w:t>The present study provided, for the first time in female soccer, reference centiles for</w:t>
      </w:r>
      <w:r w:rsidR="001E14CC">
        <w:rPr>
          <w:lang w:val="en-US"/>
        </w:rPr>
        <w:t xml:space="preserve"> </w:t>
      </w:r>
      <w:r w:rsidR="001E14CC" w:rsidRPr="001E14CC">
        <w:rPr>
          <w:lang w:val="en-US"/>
        </w:rPr>
        <w:t>performance test outcomes relevant to English female soccer players</w:t>
      </w:r>
      <w:r w:rsidR="001E14CC">
        <w:rPr>
          <w:lang w:val="en-US"/>
        </w:rPr>
        <w:t>.</w:t>
      </w:r>
      <w:r>
        <w:rPr>
          <w:lang w:val="en-US"/>
        </w:rPr>
        <w:t xml:space="preserve"> The reference centiles provide novel data for coaches and practitioners involved in player recruitment and development by enabling the tracking of the individual players progress over time against benchmark values derived from the reference population. </w:t>
      </w:r>
      <w:r w:rsidR="001E14CC">
        <w:rPr>
          <w:lang w:val="en-US"/>
        </w:rPr>
        <w:t>The development of</w:t>
      </w:r>
      <w:r>
        <w:rPr>
          <w:lang w:val="en-US"/>
        </w:rPr>
        <w:t xml:space="preserve"> reference centiles for</w:t>
      </w:r>
      <w:r w:rsidR="001E14CC">
        <w:rPr>
          <w:lang w:val="en-US"/>
        </w:rPr>
        <w:t xml:space="preserve"> </w:t>
      </w:r>
      <w:r w:rsidR="001E14CC" w:rsidRPr="001E14CC">
        <w:rPr>
          <w:lang w:val="en-US"/>
        </w:rPr>
        <w:t>performance test outcomes</w:t>
      </w:r>
      <w:r w:rsidR="001555E8">
        <w:rPr>
          <w:lang w:val="en-US"/>
        </w:rPr>
        <w:t xml:space="preserve"> in players from</w:t>
      </w:r>
      <w:r>
        <w:rPr>
          <w:lang w:val="en-US"/>
        </w:rPr>
        <w:t xml:space="preserve"> other countries </w:t>
      </w:r>
      <w:r w:rsidR="001555E8">
        <w:rPr>
          <w:lang w:val="en-US"/>
        </w:rPr>
        <w:t xml:space="preserve">deserves consideration for longitudinal tracking purposes and </w:t>
      </w:r>
      <w:r>
        <w:rPr>
          <w:lang w:val="en-US"/>
        </w:rPr>
        <w:t xml:space="preserve">to allow comparison of </w:t>
      </w:r>
      <w:r w:rsidR="001555E8">
        <w:rPr>
          <w:lang w:val="en-US"/>
        </w:rPr>
        <w:t xml:space="preserve">estimations </w:t>
      </w:r>
      <w:r>
        <w:rPr>
          <w:lang w:val="en-US"/>
        </w:rPr>
        <w:t xml:space="preserve">between different contexts. </w:t>
      </w:r>
    </w:p>
    <w:p w14:paraId="42BCCD58" w14:textId="77777777" w:rsidR="00A11115" w:rsidRDefault="00A11115" w:rsidP="001B792D">
      <w:pPr>
        <w:shd w:val="clear" w:color="auto" w:fill="FFFFFF" w:themeFill="background1"/>
        <w:jc w:val="both"/>
        <w:rPr>
          <w:b/>
          <w:color w:val="000000" w:themeColor="text1"/>
        </w:rPr>
      </w:pPr>
    </w:p>
    <w:p w14:paraId="48E62F92" w14:textId="56E5A376" w:rsidR="001B792D" w:rsidRDefault="001B792D" w:rsidP="001B792D">
      <w:pPr>
        <w:shd w:val="clear" w:color="auto" w:fill="FFFFFF" w:themeFill="background1"/>
        <w:jc w:val="both"/>
        <w:rPr>
          <w:b/>
          <w:color w:val="000000" w:themeColor="text1"/>
        </w:rPr>
      </w:pPr>
      <w:r>
        <w:rPr>
          <w:b/>
          <w:color w:val="000000" w:themeColor="text1"/>
        </w:rPr>
        <w:lastRenderedPageBreak/>
        <w:t>Acknowledgments</w:t>
      </w:r>
    </w:p>
    <w:p w14:paraId="73226BD8" w14:textId="506DAD0F" w:rsidR="001B792D" w:rsidRPr="001B792D" w:rsidRDefault="001B792D" w:rsidP="001B792D">
      <w:pPr>
        <w:shd w:val="clear" w:color="auto" w:fill="FFFFFF" w:themeFill="background1"/>
        <w:jc w:val="both"/>
        <w:rPr>
          <w:b/>
          <w:color w:val="000000" w:themeColor="text1"/>
        </w:rPr>
      </w:pPr>
      <w:r w:rsidRPr="00250B3B">
        <w:rPr>
          <w:color w:val="000000"/>
          <w:lang w:eastAsia="en-GB"/>
        </w:rPr>
        <w:t xml:space="preserve">The authors would like to express their gratitude to the English FA for providing access to the current data as well as staff and players for their co-operation during data collection. </w:t>
      </w:r>
      <w:r w:rsidR="001555E8" w:rsidRPr="001555E8">
        <w:rPr>
          <w:color w:val="000000"/>
          <w:lang w:eastAsia="en-GB"/>
        </w:rPr>
        <w:t>The authors wish to thank Prof. Tim Cole for sharing his insights and considerations about sample size and composition relevant to reference centiles development studies.</w:t>
      </w:r>
    </w:p>
    <w:p w14:paraId="33D053A5" w14:textId="38640369" w:rsidR="001B792D" w:rsidRDefault="001B792D" w:rsidP="00A709BD">
      <w:pPr>
        <w:jc w:val="both"/>
      </w:pPr>
    </w:p>
    <w:p w14:paraId="6FE3A4D0" w14:textId="45093335" w:rsidR="009B621B" w:rsidRPr="009B621B" w:rsidRDefault="009B621B" w:rsidP="00A709BD">
      <w:pPr>
        <w:jc w:val="both"/>
        <w:rPr>
          <w:b/>
          <w:bCs/>
        </w:rPr>
      </w:pPr>
      <w:r w:rsidRPr="009B621B">
        <w:rPr>
          <w:b/>
          <w:bCs/>
        </w:rPr>
        <w:t>Disclosure of Interest</w:t>
      </w:r>
    </w:p>
    <w:p w14:paraId="0CFE4549" w14:textId="3B2DD6B4" w:rsidR="009B621B" w:rsidRDefault="009B621B" w:rsidP="00A709BD">
      <w:pPr>
        <w:jc w:val="both"/>
      </w:pPr>
      <w:r>
        <w:t>The authors report no conflict of interest.</w:t>
      </w:r>
    </w:p>
    <w:p w14:paraId="06F1DF95" w14:textId="77777777" w:rsidR="00853D07" w:rsidRDefault="00853D07" w:rsidP="00A709BD">
      <w:pPr>
        <w:jc w:val="both"/>
        <w:rPr>
          <w:b/>
          <w:bCs/>
        </w:rPr>
      </w:pPr>
    </w:p>
    <w:p w14:paraId="2A58A225" w14:textId="381489A9" w:rsidR="006063A6" w:rsidRPr="00284D80" w:rsidRDefault="00284D80" w:rsidP="00A709BD">
      <w:pPr>
        <w:jc w:val="both"/>
        <w:rPr>
          <w:b/>
          <w:bCs/>
        </w:rPr>
      </w:pPr>
      <w:r w:rsidRPr="00284D80">
        <w:rPr>
          <w:b/>
          <w:bCs/>
        </w:rPr>
        <w:t>References</w:t>
      </w:r>
    </w:p>
    <w:p w14:paraId="2C2D6EE3" w14:textId="486CB3B4" w:rsidR="00B227C8" w:rsidRDefault="00B227C8" w:rsidP="00B227C8">
      <w:pPr>
        <w:rPr>
          <w:rFonts w:eastAsia="Calibri"/>
          <w:color w:val="000000" w:themeColor="text1"/>
        </w:rPr>
      </w:pPr>
    </w:p>
    <w:p w14:paraId="5CBDE7D9" w14:textId="77777777" w:rsidR="00CF28B7" w:rsidRPr="00CF28B7" w:rsidRDefault="006063A6" w:rsidP="00CF28B7">
      <w:pPr>
        <w:pStyle w:val="Bibliography"/>
        <w:rPr>
          <w:color w:val="000000"/>
        </w:rPr>
      </w:pPr>
      <w:r>
        <w:rPr>
          <w:rFonts w:eastAsia="Calibri"/>
          <w:color w:val="000000" w:themeColor="text1"/>
        </w:rPr>
        <w:fldChar w:fldCharType="begin"/>
      </w:r>
      <w:r>
        <w:rPr>
          <w:rFonts w:eastAsia="Calibri"/>
          <w:color w:val="000000" w:themeColor="text1"/>
        </w:rPr>
        <w:instrText xml:space="preserve"> ADDIN ZOTERO_BIBL {"uncited":[],"omitted":[],"custom":[]} CSL_BIBLIOGRAPHY </w:instrText>
      </w:r>
      <w:r>
        <w:rPr>
          <w:rFonts w:eastAsia="Calibri"/>
          <w:color w:val="000000" w:themeColor="text1"/>
        </w:rPr>
        <w:fldChar w:fldCharType="separate"/>
      </w:r>
      <w:r w:rsidR="00CF28B7" w:rsidRPr="00CF28B7">
        <w:rPr>
          <w:color w:val="000000"/>
        </w:rPr>
        <w:t xml:space="preserve">1. </w:t>
      </w:r>
      <w:r w:rsidR="00CF28B7" w:rsidRPr="00CF28B7">
        <w:rPr>
          <w:color w:val="000000"/>
        </w:rPr>
        <w:tab/>
        <w:t xml:space="preserve">Emmonds S, Morris R, Murray E, Robinson C, Turner L, Jones B. The influence of age and maturity status on the maximum and explosive strength characteristics of elite youth female soccer players. Sci Med Footb. 2017 Sep 2;1(3):209–15. </w:t>
      </w:r>
    </w:p>
    <w:p w14:paraId="7C745C36" w14:textId="77777777" w:rsidR="00CF28B7" w:rsidRPr="00CF28B7" w:rsidRDefault="00CF28B7" w:rsidP="00CF28B7">
      <w:pPr>
        <w:pStyle w:val="Bibliography"/>
        <w:rPr>
          <w:color w:val="000000"/>
        </w:rPr>
      </w:pPr>
      <w:r w:rsidRPr="00CF28B7">
        <w:rPr>
          <w:color w:val="000000"/>
        </w:rPr>
        <w:t xml:space="preserve">2. </w:t>
      </w:r>
      <w:r w:rsidRPr="00CF28B7">
        <w:rPr>
          <w:color w:val="000000"/>
        </w:rPr>
        <w:tab/>
        <w:t xml:space="preserve">Manson SA, Brughelli M, Harris NK. Physiological Characteristics of International Female Soccer Players. J Strength Cond Res. 2014 Feb;28(2):308–18. </w:t>
      </w:r>
    </w:p>
    <w:p w14:paraId="17028D30" w14:textId="77777777" w:rsidR="00CF28B7" w:rsidRPr="00CF28B7" w:rsidRDefault="00CF28B7" w:rsidP="00CF28B7">
      <w:pPr>
        <w:pStyle w:val="Bibliography"/>
        <w:rPr>
          <w:color w:val="000000"/>
        </w:rPr>
      </w:pPr>
      <w:r w:rsidRPr="00CF28B7">
        <w:rPr>
          <w:color w:val="000000"/>
        </w:rPr>
        <w:t xml:space="preserve">3. </w:t>
      </w:r>
      <w:r w:rsidRPr="00CF28B7">
        <w:rPr>
          <w:color w:val="000000"/>
        </w:rPr>
        <w:tab/>
        <w:t xml:space="preserve">Datson N, Weston M, Drust B, Gregson W, Lolli L. High-intensity endurance capacity assessment as a tool for talent identification in elite youth female soccer. J Sports Sci. 2020 Jun 17;38(11–12):1313–9. </w:t>
      </w:r>
    </w:p>
    <w:p w14:paraId="57EF30CB" w14:textId="77777777" w:rsidR="00CF28B7" w:rsidRPr="00CF28B7" w:rsidRDefault="00CF28B7" w:rsidP="00CF28B7">
      <w:pPr>
        <w:pStyle w:val="Bibliography"/>
        <w:rPr>
          <w:color w:val="000000"/>
        </w:rPr>
      </w:pPr>
      <w:r w:rsidRPr="00CF28B7">
        <w:rPr>
          <w:color w:val="000000"/>
        </w:rPr>
        <w:t xml:space="preserve">4. </w:t>
      </w:r>
      <w:r w:rsidRPr="00CF28B7">
        <w:rPr>
          <w:color w:val="000000"/>
        </w:rPr>
        <w:tab/>
        <w:t xml:space="preserve">Gonaus C, Birklbauer J, Lindinger SJ, Stöggl TL, Müller E. Changes Over a Decade in Anthropometry and Fitness of Elite Austrian Youth Soccer Players. Front Physiol. 2019 Mar 28;10:333. </w:t>
      </w:r>
    </w:p>
    <w:p w14:paraId="0E2FCB18" w14:textId="77777777" w:rsidR="00CF28B7" w:rsidRPr="00CF28B7" w:rsidRDefault="00CF28B7" w:rsidP="00CF28B7">
      <w:pPr>
        <w:pStyle w:val="Bibliography"/>
        <w:rPr>
          <w:color w:val="000000"/>
        </w:rPr>
      </w:pPr>
      <w:r w:rsidRPr="00CF28B7">
        <w:rPr>
          <w:color w:val="000000"/>
        </w:rPr>
        <w:t xml:space="preserve">5. </w:t>
      </w:r>
      <w:r w:rsidRPr="00CF28B7">
        <w:rPr>
          <w:color w:val="000000"/>
        </w:rPr>
        <w:tab/>
        <w:t xml:space="preserve">Dugdale JH, Arthur CA, Sanders D, Hunter AM. Reliability and validity of field-based fitness tests in youth soccer players. Eur J Sport Sci. 2019 Jul 3;19(6):745–56. </w:t>
      </w:r>
    </w:p>
    <w:p w14:paraId="5A8F080C" w14:textId="77777777" w:rsidR="00CF28B7" w:rsidRPr="00CF28B7" w:rsidRDefault="00CF28B7" w:rsidP="00CF28B7">
      <w:pPr>
        <w:pStyle w:val="Bibliography"/>
        <w:rPr>
          <w:color w:val="000000"/>
        </w:rPr>
      </w:pPr>
      <w:r w:rsidRPr="00CF28B7">
        <w:rPr>
          <w:color w:val="000000"/>
        </w:rPr>
        <w:t xml:space="preserve">6. </w:t>
      </w:r>
      <w:r w:rsidRPr="00CF28B7">
        <w:rPr>
          <w:color w:val="000000"/>
        </w:rPr>
        <w:tab/>
        <w:t xml:space="preserve">Dodd KD, Newans TJ. Talent identification for soccer: Physiological aspects. J Sci Med Sport. 2018 Oct;21(10):1073–8. </w:t>
      </w:r>
    </w:p>
    <w:p w14:paraId="3C349445" w14:textId="77777777" w:rsidR="00CF28B7" w:rsidRPr="00CF28B7" w:rsidRDefault="00CF28B7" w:rsidP="00CF28B7">
      <w:pPr>
        <w:pStyle w:val="Bibliography"/>
        <w:rPr>
          <w:color w:val="000000"/>
        </w:rPr>
      </w:pPr>
      <w:r w:rsidRPr="00CF28B7">
        <w:rPr>
          <w:color w:val="000000"/>
        </w:rPr>
        <w:t xml:space="preserve">7. </w:t>
      </w:r>
      <w:r w:rsidRPr="00CF28B7">
        <w:rPr>
          <w:color w:val="000000"/>
        </w:rPr>
        <w:tab/>
        <w:t xml:space="preserve">Datson N, Drust B, Weston M, Jarman IH, Lisboa PJ, Gregson W. Match Physical Performance of Elite Female Soccer Players During International Competition. J Strength Cond Res. 2017 Sep;31(9):2379–87. </w:t>
      </w:r>
    </w:p>
    <w:p w14:paraId="4828E1B9" w14:textId="77777777" w:rsidR="00CF28B7" w:rsidRPr="00CF28B7" w:rsidRDefault="00CF28B7" w:rsidP="00CF28B7">
      <w:pPr>
        <w:pStyle w:val="Bibliography"/>
        <w:rPr>
          <w:color w:val="000000"/>
        </w:rPr>
      </w:pPr>
      <w:r w:rsidRPr="00CF28B7">
        <w:rPr>
          <w:color w:val="000000"/>
        </w:rPr>
        <w:t xml:space="preserve">8. </w:t>
      </w:r>
      <w:r w:rsidRPr="00CF28B7">
        <w:rPr>
          <w:color w:val="000000"/>
        </w:rPr>
        <w:tab/>
        <w:t xml:space="preserve">Faude O, Koch T, Meyer T. Straight sprinting is the most frequent action in goal situations in professional football. J Sports Sci. 2012 Apr;30(7):625–31. </w:t>
      </w:r>
    </w:p>
    <w:p w14:paraId="63685B0F" w14:textId="77777777" w:rsidR="00CF28B7" w:rsidRPr="00CF28B7" w:rsidRDefault="00CF28B7" w:rsidP="00CF28B7">
      <w:pPr>
        <w:pStyle w:val="Bibliography"/>
        <w:rPr>
          <w:color w:val="000000"/>
        </w:rPr>
      </w:pPr>
      <w:r w:rsidRPr="00CF28B7">
        <w:rPr>
          <w:color w:val="000000"/>
        </w:rPr>
        <w:t xml:space="preserve">9. </w:t>
      </w:r>
      <w:r w:rsidRPr="00CF28B7">
        <w:rPr>
          <w:color w:val="000000"/>
        </w:rPr>
        <w:tab/>
        <w:t xml:space="preserve">Mohr M, Krustrup P, Andersson H, Kirkendal D, Bangsbo J. Match Activities of Elite Women Soccer Players at Different Performance Levels. J Strength Cond Res. 2008 Mar;22(2):341–9. </w:t>
      </w:r>
    </w:p>
    <w:p w14:paraId="357A3B05" w14:textId="77777777" w:rsidR="00CF28B7" w:rsidRPr="00CF28B7" w:rsidRDefault="00CF28B7" w:rsidP="00CF28B7">
      <w:pPr>
        <w:pStyle w:val="Bibliography"/>
        <w:rPr>
          <w:color w:val="000000"/>
        </w:rPr>
      </w:pPr>
      <w:r w:rsidRPr="00CF28B7">
        <w:rPr>
          <w:color w:val="000000"/>
        </w:rPr>
        <w:t xml:space="preserve">10. </w:t>
      </w:r>
      <w:r w:rsidRPr="00CF28B7">
        <w:rPr>
          <w:color w:val="000000"/>
        </w:rPr>
        <w:tab/>
        <w:t xml:space="preserve">Impellizzeri FM, Marcora SM. Test Validation in Sport Physiology: Lessons Learned From Clinimetrics. Int J Sports Physiol Perform. 2009 Jun;4(2):269–77. </w:t>
      </w:r>
    </w:p>
    <w:p w14:paraId="2D37103A" w14:textId="77777777" w:rsidR="00CF28B7" w:rsidRPr="00CF28B7" w:rsidRDefault="00CF28B7" w:rsidP="00CF28B7">
      <w:pPr>
        <w:pStyle w:val="Bibliography"/>
        <w:rPr>
          <w:color w:val="000000"/>
        </w:rPr>
      </w:pPr>
      <w:r w:rsidRPr="00CF28B7">
        <w:rPr>
          <w:color w:val="000000"/>
        </w:rPr>
        <w:t xml:space="preserve">11. </w:t>
      </w:r>
      <w:r w:rsidRPr="00CF28B7">
        <w:rPr>
          <w:color w:val="000000"/>
        </w:rPr>
        <w:tab/>
        <w:t xml:space="preserve">Stolen T, Chamari K, Castagna C, Wisl??ff U. Physiology of Soccer: An Update. Sports Med. 2005;35(6):501–36. </w:t>
      </w:r>
    </w:p>
    <w:p w14:paraId="347639A4" w14:textId="77777777" w:rsidR="00CF28B7" w:rsidRPr="00CF28B7" w:rsidRDefault="00CF28B7" w:rsidP="00CF28B7">
      <w:pPr>
        <w:pStyle w:val="Bibliography"/>
        <w:rPr>
          <w:color w:val="000000"/>
        </w:rPr>
      </w:pPr>
      <w:r w:rsidRPr="00CF28B7">
        <w:rPr>
          <w:color w:val="000000"/>
        </w:rPr>
        <w:t xml:space="preserve">12. </w:t>
      </w:r>
      <w:r w:rsidRPr="00CF28B7">
        <w:rPr>
          <w:color w:val="000000"/>
        </w:rPr>
        <w:tab/>
        <w:t xml:space="preserve">Okholm Kryger K, Wang A, Mehta R, Impellizzeri FM, Massey A, McCall A. Research on women’s football: a scoping review. Sci Med Footb. 2021 Jan 8;1–10. </w:t>
      </w:r>
    </w:p>
    <w:p w14:paraId="368E27BD" w14:textId="77777777" w:rsidR="00CF28B7" w:rsidRPr="00CF28B7" w:rsidRDefault="00CF28B7" w:rsidP="00CF28B7">
      <w:pPr>
        <w:pStyle w:val="Bibliography"/>
        <w:rPr>
          <w:color w:val="000000"/>
        </w:rPr>
      </w:pPr>
      <w:r w:rsidRPr="00CF28B7">
        <w:rPr>
          <w:color w:val="000000"/>
        </w:rPr>
        <w:lastRenderedPageBreak/>
        <w:t xml:space="preserve">13. </w:t>
      </w:r>
      <w:r w:rsidRPr="00CF28B7">
        <w:rPr>
          <w:color w:val="000000"/>
        </w:rPr>
        <w:tab/>
        <w:t xml:space="preserve">Datson N, Hulton A, Andersson H, Lewis T, Weston M, Drust B, et al. Applied Physiology of Female Soccer: An Update. Sports Med. 2014 Sep;44(9):1225–40. </w:t>
      </w:r>
    </w:p>
    <w:p w14:paraId="06974B5D" w14:textId="77777777" w:rsidR="00CF28B7" w:rsidRPr="00CF28B7" w:rsidRDefault="00CF28B7" w:rsidP="00CF28B7">
      <w:pPr>
        <w:pStyle w:val="Bibliography"/>
        <w:rPr>
          <w:color w:val="000000"/>
        </w:rPr>
      </w:pPr>
      <w:r w:rsidRPr="00CF28B7">
        <w:rPr>
          <w:color w:val="000000"/>
        </w:rPr>
        <w:t xml:space="preserve">14. </w:t>
      </w:r>
      <w:r w:rsidRPr="00CF28B7">
        <w:rPr>
          <w:color w:val="000000"/>
        </w:rPr>
        <w:tab/>
        <w:t xml:space="preserve">Ramos GP, Nakamura FY, Penna EM, Mendes TT, Mahseredjian F, Lima AM, et al. Comparison of Physical Fitness and Anthropometrical Profiles Among Brazilian Female Soccer National Teams From U15 to Senior Categories. J Strength Cond Res. 2021 Aug;35(8):2302–8. </w:t>
      </w:r>
    </w:p>
    <w:p w14:paraId="7532F01F" w14:textId="77777777" w:rsidR="00CF28B7" w:rsidRPr="00CF28B7" w:rsidRDefault="00CF28B7" w:rsidP="00CF28B7">
      <w:pPr>
        <w:pStyle w:val="Bibliography"/>
        <w:rPr>
          <w:color w:val="000000"/>
        </w:rPr>
      </w:pPr>
      <w:r w:rsidRPr="00CF28B7">
        <w:rPr>
          <w:color w:val="000000"/>
        </w:rPr>
        <w:t xml:space="preserve">15. </w:t>
      </w:r>
      <w:r w:rsidRPr="00CF28B7">
        <w:rPr>
          <w:color w:val="000000"/>
        </w:rPr>
        <w:tab/>
        <w:t xml:space="preserve">Bradley PS, Bendiksen M, Dellal A, Mohr M, Wilkie A, Datson N, et al. The Application of the Yo-Yo Intermittent Endurance Level 2 Test to Elite Female Soccer Populations: Yo-Yo IE2 testing in female soccer players. Scand J Med Sci Sports. 2014 Feb;24(1):43–54. </w:t>
      </w:r>
    </w:p>
    <w:p w14:paraId="3E32BE16" w14:textId="77777777" w:rsidR="00CF28B7" w:rsidRPr="00CF28B7" w:rsidRDefault="00CF28B7" w:rsidP="00CF28B7">
      <w:pPr>
        <w:pStyle w:val="Bibliography"/>
        <w:rPr>
          <w:color w:val="000000"/>
        </w:rPr>
      </w:pPr>
      <w:r w:rsidRPr="00CF28B7">
        <w:rPr>
          <w:color w:val="000000"/>
        </w:rPr>
        <w:t xml:space="preserve">16. </w:t>
      </w:r>
      <w:r w:rsidRPr="00CF28B7">
        <w:rPr>
          <w:color w:val="000000"/>
        </w:rPr>
        <w:tab/>
        <w:t xml:space="preserve">Poehling RA, Tsai M-C, Manson SA, Koehle MS, Meylan CMP. Physical performance development in a female national team soccer program. J Sci Med Sport. 2021 Jun;24(6):597–602. </w:t>
      </w:r>
    </w:p>
    <w:p w14:paraId="3BB33054" w14:textId="77777777" w:rsidR="00CF28B7" w:rsidRPr="00CF28B7" w:rsidRDefault="00CF28B7" w:rsidP="00CF28B7">
      <w:pPr>
        <w:pStyle w:val="Bibliography"/>
        <w:rPr>
          <w:color w:val="000000"/>
        </w:rPr>
      </w:pPr>
      <w:r w:rsidRPr="00CF28B7">
        <w:rPr>
          <w:color w:val="000000"/>
        </w:rPr>
        <w:t xml:space="preserve">17. </w:t>
      </w:r>
      <w:r w:rsidRPr="00CF28B7">
        <w:rPr>
          <w:color w:val="000000"/>
        </w:rPr>
        <w:tab/>
        <w:t xml:space="preserve">Haugen TA, Tønnessen E, Seiler S. Speed and Countermovement-Jump Characteristics of Elite Female Soccer Players, 1995–2010. Int J Sports Physiol Perform. 2012 Dec;7(4):340–9. </w:t>
      </w:r>
    </w:p>
    <w:p w14:paraId="6451D44A" w14:textId="77777777" w:rsidR="00CF28B7" w:rsidRPr="00CF28B7" w:rsidRDefault="00CF28B7" w:rsidP="00CF28B7">
      <w:pPr>
        <w:pStyle w:val="Bibliography"/>
        <w:rPr>
          <w:color w:val="000000"/>
        </w:rPr>
      </w:pPr>
      <w:r w:rsidRPr="00CF28B7">
        <w:rPr>
          <w:color w:val="000000"/>
        </w:rPr>
        <w:t xml:space="preserve">18. </w:t>
      </w:r>
      <w:r w:rsidRPr="00CF28B7">
        <w:rPr>
          <w:color w:val="000000"/>
        </w:rPr>
        <w:tab/>
        <w:t xml:space="preserve">Vescovi JD, Rupf R, Brown TD, Marques MC. Physical performance characteristics of high-level female soccer players 12-21 years of age: Performance characteristics of female soccer players. Scand J Med Sci Sports. 2011 Oct;21(5):670–8. </w:t>
      </w:r>
    </w:p>
    <w:p w14:paraId="324A098E" w14:textId="77777777" w:rsidR="00CF28B7" w:rsidRPr="00CF28B7" w:rsidRDefault="00CF28B7" w:rsidP="00CF28B7">
      <w:pPr>
        <w:pStyle w:val="Bibliography"/>
        <w:rPr>
          <w:color w:val="000000"/>
        </w:rPr>
      </w:pPr>
      <w:r w:rsidRPr="00CF28B7">
        <w:rPr>
          <w:color w:val="000000"/>
        </w:rPr>
        <w:t xml:space="preserve">19. </w:t>
      </w:r>
      <w:r w:rsidRPr="00CF28B7">
        <w:rPr>
          <w:color w:val="000000"/>
        </w:rPr>
        <w:tab/>
        <w:t xml:space="preserve">Castagna C, Castellini E. Vertical Jump Performance in Italian Male and Female National Team Soccer Players. J Strength Cond Res. 2013 Apr;27(4):1156–61. </w:t>
      </w:r>
    </w:p>
    <w:p w14:paraId="5D5D4AED" w14:textId="77777777" w:rsidR="00CF28B7" w:rsidRPr="00CF28B7" w:rsidRDefault="00CF28B7" w:rsidP="00CF28B7">
      <w:pPr>
        <w:pStyle w:val="Bibliography"/>
        <w:rPr>
          <w:color w:val="000000"/>
        </w:rPr>
      </w:pPr>
      <w:r w:rsidRPr="00CF28B7">
        <w:rPr>
          <w:color w:val="000000"/>
        </w:rPr>
        <w:t xml:space="preserve">20. </w:t>
      </w:r>
      <w:r w:rsidRPr="00CF28B7">
        <w:rPr>
          <w:color w:val="000000"/>
        </w:rPr>
        <w:tab/>
        <w:t xml:space="preserve">Andersen E, Lockie R, Dawes J. Relationship of Absolute and Relative Lower-Body Strength to Predictors of Athletic Performance in Collegiate Women Soccer Players. Sports. 2018 Sep 29;6(4):106. </w:t>
      </w:r>
    </w:p>
    <w:p w14:paraId="5F1044BB" w14:textId="77777777" w:rsidR="00CF28B7" w:rsidRPr="00CF28B7" w:rsidRDefault="00CF28B7" w:rsidP="00CF28B7">
      <w:pPr>
        <w:pStyle w:val="Bibliography"/>
        <w:rPr>
          <w:color w:val="000000"/>
        </w:rPr>
      </w:pPr>
      <w:r w:rsidRPr="00CF28B7">
        <w:rPr>
          <w:color w:val="000000"/>
        </w:rPr>
        <w:t xml:space="preserve">21. </w:t>
      </w:r>
      <w:r w:rsidRPr="00CF28B7">
        <w:rPr>
          <w:color w:val="000000"/>
        </w:rPr>
        <w:tab/>
        <w:t xml:space="preserve">Ramirez-Campillo R, García-Pinillos F, García-Ramos A, Yanci J, Gentil P, Chaabene H, et al. Effects of Different Plyometric Training Frequencies on Components of Physical Fitness in Amateur Female Soccer Players. Front Physiol. 2018 Jul 17;9:934. </w:t>
      </w:r>
    </w:p>
    <w:p w14:paraId="0E29A396" w14:textId="77777777" w:rsidR="00CF28B7" w:rsidRPr="00CF28B7" w:rsidRDefault="00CF28B7" w:rsidP="00CF28B7">
      <w:pPr>
        <w:pStyle w:val="Bibliography"/>
        <w:rPr>
          <w:color w:val="000000"/>
        </w:rPr>
      </w:pPr>
      <w:r w:rsidRPr="00CF28B7">
        <w:rPr>
          <w:color w:val="000000"/>
        </w:rPr>
        <w:t xml:space="preserve">22. </w:t>
      </w:r>
      <w:r w:rsidRPr="00CF28B7">
        <w:rPr>
          <w:color w:val="000000"/>
        </w:rPr>
        <w:tab/>
        <w:t xml:space="preserve">Emmonds S, Sawczuk T, Scantlebury S, Till K, Jones B. Seasonal Changes in the Physical Performance of Elite Youth Female Soccer Players. J Strength Cond Res. 2020 Sep;34(9):2636–43. </w:t>
      </w:r>
    </w:p>
    <w:p w14:paraId="6E756950" w14:textId="77777777" w:rsidR="00CF28B7" w:rsidRPr="00CF28B7" w:rsidRDefault="00CF28B7" w:rsidP="00CF28B7">
      <w:pPr>
        <w:pStyle w:val="Bibliography"/>
        <w:rPr>
          <w:color w:val="000000"/>
        </w:rPr>
      </w:pPr>
      <w:r w:rsidRPr="00CF28B7">
        <w:rPr>
          <w:color w:val="000000"/>
        </w:rPr>
        <w:t xml:space="preserve">23. </w:t>
      </w:r>
      <w:r w:rsidRPr="00CF28B7">
        <w:rPr>
          <w:color w:val="000000"/>
        </w:rPr>
        <w:tab/>
        <w:t xml:space="preserve">Wright MD, Atkinson G. Changes in Sprint-Related Outcomes During a Period of Systematic Training in a Girls’ Soccer Academy. J Strength Cond Res. 2019 Mar;33(3):793–800. </w:t>
      </w:r>
    </w:p>
    <w:p w14:paraId="29560844" w14:textId="77777777" w:rsidR="00CF28B7" w:rsidRPr="00CF28B7" w:rsidRDefault="00CF28B7" w:rsidP="00CF28B7">
      <w:pPr>
        <w:pStyle w:val="Bibliography"/>
        <w:rPr>
          <w:color w:val="000000"/>
        </w:rPr>
      </w:pPr>
      <w:r w:rsidRPr="00CF28B7">
        <w:rPr>
          <w:color w:val="000000"/>
        </w:rPr>
        <w:t xml:space="preserve">24. </w:t>
      </w:r>
      <w:r w:rsidRPr="00CF28B7">
        <w:rPr>
          <w:color w:val="000000"/>
        </w:rPr>
        <w:tab/>
        <w:t xml:space="preserve">Cole TJ. The development of growth references and growth charts. Ann Hum Biol. 2012 Sep;39(5):382–94. </w:t>
      </w:r>
    </w:p>
    <w:p w14:paraId="6487E940" w14:textId="77777777" w:rsidR="00CF28B7" w:rsidRPr="00CF28B7" w:rsidRDefault="00CF28B7" w:rsidP="00CF28B7">
      <w:pPr>
        <w:pStyle w:val="Bibliography"/>
        <w:rPr>
          <w:color w:val="000000"/>
        </w:rPr>
      </w:pPr>
      <w:r w:rsidRPr="00CF28B7">
        <w:rPr>
          <w:color w:val="000000"/>
        </w:rPr>
        <w:t xml:space="preserve">25. </w:t>
      </w:r>
      <w:r w:rsidRPr="00CF28B7">
        <w:rPr>
          <w:color w:val="000000"/>
        </w:rPr>
        <w:tab/>
        <w:t xml:space="preserve">Cole TJ, Stanojevic S, Stocks J, Coates AL, Hankinson JL, Wade AM. Age- and size-related reference ranges: A case study of spirometry through childhood and adulthood. Stat Med. 2009 Feb 28;28(5):880–98. </w:t>
      </w:r>
    </w:p>
    <w:p w14:paraId="4D0C2034" w14:textId="77777777" w:rsidR="00CF28B7" w:rsidRPr="00CF28B7" w:rsidRDefault="00CF28B7" w:rsidP="00CF28B7">
      <w:pPr>
        <w:pStyle w:val="Bibliography"/>
        <w:rPr>
          <w:color w:val="000000"/>
        </w:rPr>
      </w:pPr>
      <w:r w:rsidRPr="00CF28B7">
        <w:rPr>
          <w:color w:val="000000"/>
        </w:rPr>
        <w:lastRenderedPageBreak/>
        <w:t xml:space="preserve">26. </w:t>
      </w:r>
      <w:r w:rsidRPr="00CF28B7">
        <w:rPr>
          <w:color w:val="000000"/>
        </w:rPr>
        <w:tab/>
        <w:t xml:space="preserve">Winter EM, Maughan RJ. Requirements for ethics approvals. J Sports Sci. 2009 Aug;27(10):985–985. </w:t>
      </w:r>
    </w:p>
    <w:p w14:paraId="653C5091" w14:textId="77777777" w:rsidR="00CF28B7" w:rsidRPr="00CF28B7" w:rsidRDefault="00CF28B7" w:rsidP="00CF28B7">
      <w:pPr>
        <w:pStyle w:val="Bibliography"/>
        <w:rPr>
          <w:color w:val="000000"/>
        </w:rPr>
      </w:pPr>
      <w:r w:rsidRPr="00CF28B7">
        <w:rPr>
          <w:color w:val="000000"/>
        </w:rPr>
        <w:t xml:space="preserve">27. </w:t>
      </w:r>
      <w:r w:rsidRPr="00CF28B7">
        <w:rPr>
          <w:color w:val="000000"/>
        </w:rPr>
        <w:tab/>
        <w:t xml:space="preserve">Datson N, Lolli L, Drust B, Atkinson G, Weston M, Gregson W. Inter-methodological quantification of the target change for performance test outcomes relevant to elite female soccer players. Sci Med Footb. 2021 Jun 27;1–14. </w:t>
      </w:r>
    </w:p>
    <w:p w14:paraId="55EBB72C" w14:textId="77777777" w:rsidR="00CF28B7" w:rsidRPr="00CF28B7" w:rsidRDefault="00CF28B7" w:rsidP="00CF28B7">
      <w:pPr>
        <w:pStyle w:val="Bibliography"/>
        <w:rPr>
          <w:color w:val="000000"/>
        </w:rPr>
      </w:pPr>
      <w:r w:rsidRPr="00CF28B7">
        <w:rPr>
          <w:color w:val="000000"/>
        </w:rPr>
        <w:t xml:space="preserve">28. </w:t>
      </w:r>
      <w:r w:rsidRPr="00CF28B7">
        <w:rPr>
          <w:color w:val="000000"/>
        </w:rPr>
        <w:tab/>
        <w:t xml:space="preserve">Krustrup P, Mohr M, Amstrup T, Rysgaard T, Johansen J, Steensberg A, et al. The Yo-Yo Intermittent Recovery Test: Physiological Response, Reliability, and Validity: Med Sci Sports Exerc. 2003 Apr;35(4):697–705. </w:t>
      </w:r>
    </w:p>
    <w:p w14:paraId="4EDEED6C" w14:textId="77777777" w:rsidR="00CF28B7" w:rsidRPr="00CF28B7" w:rsidRDefault="00CF28B7" w:rsidP="00CF28B7">
      <w:pPr>
        <w:pStyle w:val="Bibliography"/>
        <w:rPr>
          <w:color w:val="000000"/>
        </w:rPr>
      </w:pPr>
      <w:r w:rsidRPr="00CF28B7">
        <w:rPr>
          <w:color w:val="000000"/>
        </w:rPr>
        <w:t xml:space="preserve">29. </w:t>
      </w:r>
      <w:r w:rsidRPr="00CF28B7">
        <w:rPr>
          <w:color w:val="000000"/>
        </w:rPr>
        <w:tab/>
        <w:t xml:space="preserve">Stasinopoulos M, Rigby R, Heller G, Voudouris V, De Bastiani F. Flexible regression and smoothing: using gamlss in r. S.l.: Chapman and Hall; 2017. </w:t>
      </w:r>
    </w:p>
    <w:p w14:paraId="59472B4A" w14:textId="77777777" w:rsidR="00CF28B7" w:rsidRPr="00CF28B7" w:rsidRDefault="00CF28B7" w:rsidP="00CF28B7">
      <w:pPr>
        <w:pStyle w:val="Bibliography"/>
        <w:rPr>
          <w:color w:val="000000"/>
        </w:rPr>
      </w:pPr>
      <w:r w:rsidRPr="00CF28B7">
        <w:rPr>
          <w:color w:val="000000"/>
        </w:rPr>
        <w:t xml:space="preserve">30. </w:t>
      </w:r>
      <w:r w:rsidRPr="00CF28B7">
        <w:rPr>
          <w:color w:val="000000"/>
        </w:rPr>
        <w:tab/>
        <w:t xml:space="preserve">Cole TJ. Do growth chart centiles need a face lift? BMJ. 1994 Mar 5;308(6929):641–2. </w:t>
      </w:r>
    </w:p>
    <w:p w14:paraId="1A5494AB" w14:textId="77777777" w:rsidR="00CF28B7" w:rsidRPr="00CF28B7" w:rsidRDefault="00CF28B7" w:rsidP="00CF28B7">
      <w:pPr>
        <w:pStyle w:val="Bibliography"/>
        <w:rPr>
          <w:color w:val="000000"/>
        </w:rPr>
      </w:pPr>
      <w:r w:rsidRPr="00CF28B7">
        <w:rPr>
          <w:color w:val="000000"/>
        </w:rPr>
        <w:t xml:space="preserve">31. </w:t>
      </w:r>
      <w:r w:rsidRPr="00CF28B7">
        <w:rPr>
          <w:color w:val="000000"/>
        </w:rPr>
        <w:tab/>
        <w:t xml:space="preserve">Buuren S van, Fredriks M. Worm plot: a simple diagnostic device for modelling growth reference curves. Stat Med. 2001 Apr 30;20(8):1259–77. </w:t>
      </w:r>
    </w:p>
    <w:p w14:paraId="39D83558" w14:textId="77777777" w:rsidR="00CF28B7" w:rsidRPr="00CF28B7" w:rsidRDefault="00CF28B7" w:rsidP="00CF28B7">
      <w:pPr>
        <w:pStyle w:val="Bibliography"/>
        <w:rPr>
          <w:color w:val="000000"/>
        </w:rPr>
      </w:pPr>
      <w:r w:rsidRPr="00CF28B7">
        <w:rPr>
          <w:color w:val="000000"/>
        </w:rPr>
        <w:t xml:space="preserve">32. </w:t>
      </w:r>
      <w:r w:rsidRPr="00CF28B7">
        <w:rPr>
          <w:color w:val="000000"/>
        </w:rPr>
        <w:tab/>
        <w:t xml:space="preserve">Cole TJ. The Use and Construction of Anthropometric Growth Reference Standards. Nutr Res Rev. 1993 Jan;6(1):19–50. </w:t>
      </w:r>
    </w:p>
    <w:p w14:paraId="368346EA" w14:textId="77777777" w:rsidR="00CF28B7" w:rsidRPr="00CF28B7" w:rsidRDefault="00CF28B7" w:rsidP="00CF28B7">
      <w:pPr>
        <w:pStyle w:val="Bibliography"/>
        <w:rPr>
          <w:color w:val="000000"/>
        </w:rPr>
      </w:pPr>
      <w:r w:rsidRPr="00CF28B7">
        <w:rPr>
          <w:color w:val="000000"/>
        </w:rPr>
        <w:t xml:space="preserve">33. </w:t>
      </w:r>
      <w:r w:rsidRPr="00CF28B7">
        <w:rPr>
          <w:color w:val="000000"/>
        </w:rPr>
        <w:tab/>
        <w:t xml:space="preserve">Cole TJ. Commentary: Methods for calculating growth trajectories and constructing growth centiles. Stat Med. 2019 Aug 30;38(19):3571–9. </w:t>
      </w:r>
    </w:p>
    <w:p w14:paraId="65443F98" w14:textId="77777777" w:rsidR="00CF28B7" w:rsidRPr="00CF28B7" w:rsidRDefault="00CF28B7" w:rsidP="00CF28B7">
      <w:pPr>
        <w:pStyle w:val="Bibliography"/>
        <w:rPr>
          <w:color w:val="000000"/>
        </w:rPr>
      </w:pPr>
      <w:r w:rsidRPr="00CF28B7">
        <w:rPr>
          <w:color w:val="000000"/>
        </w:rPr>
        <w:t xml:space="preserve">34. </w:t>
      </w:r>
      <w:r w:rsidRPr="00CF28B7">
        <w:rPr>
          <w:color w:val="000000"/>
        </w:rPr>
        <w:tab/>
        <w:t xml:space="preserve">Ohuma EO, Altman DG, for the International Fetal and Newborn Growth Consortium for the 21 Century (INTERGROWTH-21 Project). Design and other methodological considerations for the construction of human fetal and neonatal size and growth charts. Stat Med. 2019 Aug 30;38(19):3527–39. </w:t>
      </w:r>
    </w:p>
    <w:p w14:paraId="06489A17" w14:textId="77777777" w:rsidR="00CF28B7" w:rsidRPr="00CF28B7" w:rsidRDefault="00CF28B7" w:rsidP="00CF28B7">
      <w:pPr>
        <w:pStyle w:val="Bibliography"/>
        <w:rPr>
          <w:color w:val="000000"/>
        </w:rPr>
      </w:pPr>
      <w:r w:rsidRPr="00CF28B7">
        <w:rPr>
          <w:color w:val="000000"/>
        </w:rPr>
        <w:t xml:space="preserve">35. </w:t>
      </w:r>
      <w:r w:rsidRPr="00CF28B7">
        <w:rPr>
          <w:color w:val="000000"/>
        </w:rPr>
        <w:tab/>
        <w:t xml:space="preserve">Cole TJ, Williams AF, Wright CM. Revised birth centiles for weight, length and head circumference in the UK-WHO growth charts. Ann Hum Biol. 2011 Jan;38(1):7–11. </w:t>
      </w:r>
    </w:p>
    <w:p w14:paraId="2A4C1F1A" w14:textId="77777777" w:rsidR="00CF28B7" w:rsidRPr="00CF28B7" w:rsidRDefault="00CF28B7" w:rsidP="00CF28B7">
      <w:pPr>
        <w:pStyle w:val="Bibliography"/>
        <w:rPr>
          <w:color w:val="000000"/>
        </w:rPr>
      </w:pPr>
      <w:r w:rsidRPr="00CF28B7">
        <w:rPr>
          <w:color w:val="000000"/>
        </w:rPr>
        <w:t xml:space="preserve">36. </w:t>
      </w:r>
      <w:r w:rsidRPr="00CF28B7">
        <w:rPr>
          <w:color w:val="000000"/>
        </w:rPr>
        <w:tab/>
        <w:t xml:space="preserve">Cole TJ, Statnikov Y, Santhakumaran S, Pan H, Modi N, on behalf of the Neonatal Data Analysis Unit and the Preterm Growth Investigator Group. Birth weight and longitudinal growth in infants born below 32 weeks’ gestation: a UK population study. Arch Dis Child - Fetal Neonatal Ed. 2014 Jan;99(1):F34–40. </w:t>
      </w:r>
    </w:p>
    <w:p w14:paraId="4551EB82" w14:textId="77777777" w:rsidR="00CF28B7" w:rsidRPr="00CF28B7" w:rsidRDefault="00CF28B7" w:rsidP="00CF28B7">
      <w:pPr>
        <w:pStyle w:val="Bibliography"/>
        <w:rPr>
          <w:color w:val="000000"/>
        </w:rPr>
      </w:pPr>
      <w:r w:rsidRPr="00CF28B7">
        <w:rPr>
          <w:color w:val="000000"/>
        </w:rPr>
        <w:t xml:space="preserve">37. </w:t>
      </w:r>
      <w:r w:rsidRPr="00CF28B7">
        <w:rPr>
          <w:color w:val="000000"/>
        </w:rPr>
        <w:tab/>
        <w:t xml:space="preserve">Cole TJ. The International Growth Standard for Preadolescent and Adolescent Children: Statistical Considerations. Food Nutr Bull. 2006 Dec;27(4_suppl5):S237–43. </w:t>
      </w:r>
    </w:p>
    <w:p w14:paraId="72C4A381" w14:textId="77777777" w:rsidR="00CF28B7" w:rsidRPr="00CF28B7" w:rsidRDefault="00CF28B7" w:rsidP="00CF28B7">
      <w:pPr>
        <w:pStyle w:val="Bibliography"/>
        <w:rPr>
          <w:color w:val="000000"/>
        </w:rPr>
      </w:pPr>
      <w:r w:rsidRPr="00CF28B7">
        <w:rPr>
          <w:color w:val="000000"/>
        </w:rPr>
        <w:t xml:space="preserve">38. </w:t>
      </w:r>
      <w:r w:rsidRPr="00CF28B7">
        <w:rPr>
          <w:color w:val="000000"/>
        </w:rPr>
        <w:tab/>
        <w:t xml:space="preserve">Altman D, Ohuma E, for the International Fetal and Newborn Growth Consortium for the 21st Century (INTERGROWTH-21st). Statistical considerations for the development of prescriptive fetal and newborn growth standards in the INTERGROWTH-21 </w:t>
      </w:r>
      <w:r w:rsidRPr="00CF28B7">
        <w:rPr>
          <w:color w:val="000000"/>
          <w:vertAlign w:val="superscript"/>
        </w:rPr>
        <w:t>st</w:t>
      </w:r>
      <w:r w:rsidRPr="00CF28B7">
        <w:rPr>
          <w:color w:val="000000"/>
        </w:rPr>
        <w:t xml:space="preserve"> Project. BJOG Int J Obstet Gynaecol. 2013 Sep;120:71–6. </w:t>
      </w:r>
    </w:p>
    <w:p w14:paraId="7CC17E6D" w14:textId="2F61E22E" w:rsidR="00CF28B7" w:rsidRDefault="00CF28B7" w:rsidP="00CF28B7">
      <w:pPr>
        <w:pStyle w:val="Bibliography"/>
        <w:rPr>
          <w:color w:val="000000"/>
        </w:rPr>
      </w:pPr>
      <w:r w:rsidRPr="00CF28B7">
        <w:rPr>
          <w:color w:val="000000"/>
        </w:rPr>
        <w:t xml:space="preserve">39. </w:t>
      </w:r>
      <w:r w:rsidRPr="00CF28B7">
        <w:rPr>
          <w:color w:val="000000"/>
        </w:rPr>
        <w:tab/>
        <w:t xml:space="preserve">Cole T. Sample size and sample composition for constructing growth reference centiles. Stat Methods Med Res. 2021 Feb;30(2):488–507. </w:t>
      </w:r>
    </w:p>
    <w:p w14:paraId="592ED75A" w14:textId="5056C8C5" w:rsidR="00DF0389" w:rsidRPr="00DF22B0" w:rsidRDefault="00DF0389" w:rsidP="00853D07">
      <w:pPr>
        <w:pStyle w:val="Bibliography"/>
      </w:pPr>
      <w:r w:rsidRPr="00CF28B7">
        <w:rPr>
          <w:color w:val="000000"/>
        </w:rPr>
        <w:t>4</w:t>
      </w:r>
      <w:r>
        <w:rPr>
          <w:color w:val="000000"/>
        </w:rPr>
        <w:t>0</w:t>
      </w:r>
      <w:r w:rsidRPr="00CF28B7">
        <w:rPr>
          <w:color w:val="000000"/>
        </w:rPr>
        <w:t xml:space="preserve">. </w:t>
      </w:r>
      <w:r w:rsidRPr="00CF28B7">
        <w:rPr>
          <w:color w:val="000000"/>
        </w:rPr>
        <w:tab/>
        <w:t xml:space="preserve">Drust B, Green M. Science and football: evaluating the influence of science on performance. J Sports Sci. 2013 Sep;31(13):1377–82. </w:t>
      </w:r>
    </w:p>
    <w:p w14:paraId="261C1176" w14:textId="2774EFE6" w:rsidR="00CF28B7" w:rsidRPr="00CF28B7" w:rsidRDefault="00CF28B7" w:rsidP="00CF28B7">
      <w:pPr>
        <w:pStyle w:val="Bibliography"/>
        <w:rPr>
          <w:color w:val="000000"/>
        </w:rPr>
      </w:pPr>
      <w:r w:rsidRPr="00CF28B7">
        <w:rPr>
          <w:color w:val="000000"/>
        </w:rPr>
        <w:lastRenderedPageBreak/>
        <w:t>4</w:t>
      </w:r>
      <w:r w:rsidR="00DF0389">
        <w:rPr>
          <w:color w:val="000000"/>
        </w:rPr>
        <w:t>1</w:t>
      </w:r>
      <w:r w:rsidRPr="00CF28B7">
        <w:rPr>
          <w:color w:val="000000"/>
        </w:rPr>
        <w:t xml:space="preserve">. </w:t>
      </w:r>
      <w:r w:rsidRPr="00CF28B7">
        <w:rPr>
          <w:color w:val="000000"/>
        </w:rPr>
        <w:tab/>
        <w:t xml:space="preserve">Dendir S. When do soccer players peak? A note. J Sports Anal. 2016 Oct 20;2(2):89–105. </w:t>
      </w:r>
    </w:p>
    <w:p w14:paraId="1DD6AB12" w14:textId="4C24164F" w:rsidR="00CF28B7" w:rsidRDefault="00CF28B7" w:rsidP="00CF28B7">
      <w:pPr>
        <w:pStyle w:val="Bibliography"/>
        <w:rPr>
          <w:color w:val="000000"/>
        </w:rPr>
      </w:pPr>
      <w:r w:rsidRPr="00CF28B7">
        <w:rPr>
          <w:color w:val="000000"/>
        </w:rPr>
        <w:t>4</w:t>
      </w:r>
      <w:r w:rsidR="00DF0389">
        <w:rPr>
          <w:color w:val="000000"/>
        </w:rPr>
        <w:t>2</w:t>
      </w:r>
      <w:r w:rsidRPr="00CF28B7">
        <w:rPr>
          <w:color w:val="000000"/>
        </w:rPr>
        <w:t xml:space="preserve">. </w:t>
      </w:r>
      <w:r w:rsidRPr="00CF28B7">
        <w:rPr>
          <w:color w:val="000000"/>
        </w:rPr>
        <w:tab/>
        <w:t xml:space="preserve">Wright EM, Royston P. Calculating reference intervals for laboratory measurements. Stat Methods Med Res. 1999 Apr;8(2):93–112. </w:t>
      </w:r>
    </w:p>
    <w:p w14:paraId="788397AF" w14:textId="6AAB5556" w:rsidR="00DF0389" w:rsidRDefault="00DF0389" w:rsidP="00DF0389">
      <w:pPr>
        <w:spacing w:after="240"/>
        <w:ind w:left="386" w:hanging="386"/>
      </w:pPr>
      <w:r>
        <w:t xml:space="preserve">43. </w:t>
      </w:r>
      <w:r w:rsidRPr="00E32CD7">
        <w:t xml:space="preserve">Malina RM, Rogol AD, Cumming SP, Coelho e Silva MJ, Figueiredo AJ. </w:t>
      </w:r>
      <w:r w:rsidRPr="001E5FAC">
        <w:t>Biological maturation of youth athletes: assessment and implications. Br J Sports Med. 2015;49(13):852-9</w:t>
      </w:r>
    </w:p>
    <w:p w14:paraId="49F5B768" w14:textId="08EA0D63" w:rsidR="00DF0389" w:rsidRDefault="00DF0389" w:rsidP="00DF0389">
      <w:pPr>
        <w:spacing w:after="240"/>
        <w:ind w:left="386" w:hanging="386"/>
      </w:pPr>
      <w:r>
        <w:t xml:space="preserve">44. </w:t>
      </w:r>
      <w:r w:rsidRPr="001E14CC">
        <w:t>Pan H, Cole TJ. A comparison of goodness of fit tests for age-related reference ranges. Stat Med. 2004;23(11):1749-65</w:t>
      </w:r>
    </w:p>
    <w:p w14:paraId="64F89AAA" w14:textId="0DE90B36" w:rsidR="00DF0389" w:rsidRPr="00DF22B0" w:rsidRDefault="00DF0389" w:rsidP="00853D07">
      <w:pPr>
        <w:spacing w:after="240"/>
        <w:ind w:left="386" w:hanging="386"/>
      </w:pPr>
      <w:r>
        <w:t xml:space="preserve">45. </w:t>
      </w:r>
      <w:r w:rsidRPr="001E14CC">
        <w:t>Wright EM, Royston P. A comparison of statistical methods for age-related reference intervals. Journal of the Royal Statistical Society: Series A (Statistics in Society). 1997;160(1):47-69.</w:t>
      </w:r>
    </w:p>
    <w:p w14:paraId="378C1C84" w14:textId="5E84F373" w:rsidR="00CF28B7" w:rsidRPr="00CF28B7" w:rsidRDefault="00CF28B7" w:rsidP="00CF28B7">
      <w:pPr>
        <w:pStyle w:val="Bibliography"/>
        <w:rPr>
          <w:color w:val="000000"/>
        </w:rPr>
      </w:pPr>
      <w:r w:rsidRPr="00CF28B7">
        <w:rPr>
          <w:color w:val="000000"/>
        </w:rPr>
        <w:t>4</w:t>
      </w:r>
      <w:r w:rsidR="00DF0389">
        <w:rPr>
          <w:color w:val="000000"/>
        </w:rPr>
        <w:t>6</w:t>
      </w:r>
      <w:r w:rsidRPr="00CF28B7">
        <w:rPr>
          <w:color w:val="000000"/>
        </w:rPr>
        <w:t xml:space="preserve">. </w:t>
      </w:r>
      <w:r w:rsidRPr="00CF28B7">
        <w:rPr>
          <w:color w:val="000000"/>
        </w:rPr>
        <w:tab/>
        <w:t xml:space="preserve">Randell RK, Clifford T, Drust B, Moss SL, Unnithan VB, De Ste Croix MBA, et al. Physiological Characteristics of Female Soccer Players and Health and Performance Considerations: A Narrative Review. Sports Med. 2021 Jul;51(7):1377–99. </w:t>
      </w:r>
    </w:p>
    <w:p w14:paraId="1B0DF4CC" w14:textId="78413BE2" w:rsidR="00FE4655" w:rsidRDefault="006063A6" w:rsidP="00B227C8">
      <w:r>
        <w:rPr>
          <w:rFonts w:eastAsia="Calibri"/>
          <w:color w:val="000000" w:themeColor="text1"/>
        </w:rPr>
        <w:fldChar w:fldCharType="end"/>
      </w:r>
    </w:p>
    <w:tbl>
      <w:tblPr>
        <w:tblW w:w="10065" w:type="dxa"/>
        <w:jc w:val="center"/>
        <w:tblLook w:val="04A0" w:firstRow="1" w:lastRow="0" w:firstColumn="1" w:lastColumn="0" w:noHBand="0" w:noVBand="1"/>
      </w:tblPr>
      <w:tblGrid>
        <w:gridCol w:w="993"/>
        <w:gridCol w:w="992"/>
        <w:gridCol w:w="992"/>
        <w:gridCol w:w="992"/>
        <w:gridCol w:w="993"/>
        <w:gridCol w:w="1134"/>
        <w:gridCol w:w="992"/>
        <w:gridCol w:w="992"/>
        <w:gridCol w:w="992"/>
        <w:gridCol w:w="993"/>
      </w:tblGrid>
      <w:tr w:rsidR="00FE4655" w:rsidRPr="00637BB8" w14:paraId="1FBDA614" w14:textId="77777777" w:rsidTr="000349D5">
        <w:trPr>
          <w:trHeight w:val="320"/>
          <w:jc w:val="center"/>
        </w:trPr>
        <w:tc>
          <w:tcPr>
            <w:tcW w:w="10065" w:type="dxa"/>
            <w:gridSpan w:val="10"/>
            <w:tcBorders>
              <w:top w:val="nil"/>
              <w:left w:val="nil"/>
              <w:bottom w:val="single" w:sz="4" w:space="0" w:color="auto"/>
              <w:right w:val="nil"/>
            </w:tcBorders>
            <w:shd w:val="clear" w:color="auto" w:fill="auto"/>
            <w:noWrap/>
            <w:vAlign w:val="center"/>
            <w:hideMark/>
          </w:tcPr>
          <w:p w14:paraId="41F99B0A" w14:textId="77777777" w:rsidR="00FE4655" w:rsidRPr="00637BB8" w:rsidRDefault="00FE4655" w:rsidP="000349D5">
            <w:pPr>
              <w:rPr>
                <w:color w:val="000000"/>
              </w:rPr>
            </w:pPr>
            <w:bookmarkStart w:id="0" w:name="OLE_LINK6"/>
            <w:bookmarkStart w:id="1" w:name="OLE_LINK7"/>
            <w:r w:rsidRPr="00637BB8">
              <w:rPr>
                <w:b/>
                <w:bCs/>
                <w:color w:val="000000"/>
              </w:rPr>
              <w:t xml:space="preserve">Table </w:t>
            </w:r>
            <w:r>
              <w:rPr>
                <w:b/>
                <w:bCs/>
                <w:color w:val="000000"/>
              </w:rPr>
              <w:t>1</w:t>
            </w:r>
            <w:r w:rsidRPr="00637BB8">
              <w:rPr>
                <w:color w:val="000000"/>
              </w:rPr>
              <w:t>. Predicted reference centiles for 5-m sprinting time by chronological age</w:t>
            </w:r>
            <w:bookmarkEnd w:id="0"/>
            <w:bookmarkEnd w:id="1"/>
            <w:r w:rsidRPr="00637BB8">
              <w:rPr>
                <w:color w:val="000000"/>
              </w:rPr>
              <w:t xml:space="preserve"> </w:t>
            </w:r>
            <w:bookmarkStart w:id="2" w:name="OLE_LINK8"/>
            <w:bookmarkStart w:id="3" w:name="OLE_LINK9"/>
            <w:r w:rsidRPr="00637BB8">
              <w:rPr>
                <w:color w:val="000000"/>
              </w:rPr>
              <w:t>(N=416, n=1191)</w:t>
            </w:r>
            <w:bookmarkEnd w:id="2"/>
            <w:bookmarkEnd w:id="3"/>
          </w:p>
        </w:tc>
      </w:tr>
      <w:tr w:rsidR="00FE4655" w:rsidRPr="00637BB8" w14:paraId="0D4D6DB1" w14:textId="77777777" w:rsidTr="000349D5">
        <w:trPr>
          <w:trHeight w:val="320"/>
          <w:jc w:val="center"/>
        </w:trPr>
        <w:tc>
          <w:tcPr>
            <w:tcW w:w="993" w:type="dxa"/>
            <w:tcBorders>
              <w:top w:val="nil"/>
              <w:left w:val="nil"/>
              <w:bottom w:val="single" w:sz="4" w:space="0" w:color="auto"/>
              <w:right w:val="nil"/>
            </w:tcBorders>
            <w:shd w:val="clear" w:color="auto" w:fill="auto"/>
            <w:noWrap/>
            <w:vAlign w:val="center"/>
            <w:hideMark/>
          </w:tcPr>
          <w:p w14:paraId="4998FFC4" w14:textId="77777777" w:rsidR="00FE4655" w:rsidRPr="00637BB8" w:rsidRDefault="00FE4655" w:rsidP="000349D5">
            <w:pPr>
              <w:jc w:val="center"/>
              <w:rPr>
                <w:color w:val="000000"/>
              </w:rPr>
            </w:pPr>
            <w:r w:rsidRPr="00637BB8">
              <w:rPr>
                <w:color w:val="000000"/>
              </w:rPr>
              <w:t>Age</w:t>
            </w:r>
          </w:p>
        </w:tc>
        <w:tc>
          <w:tcPr>
            <w:tcW w:w="992" w:type="dxa"/>
            <w:tcBorders>
              <w:top w:val="nil"/>
              <w:left w:val="nil"/>
              <w:bottom w:val="single" w:sz="4" w:space="0" w:color="auto"/>
              <w:right w:val="nil"/>
            </w:tcBorders>
            <w:shd w:val="clear" w:color="auto" w:fill="auto"/>
            <w:noWrap/>
            <w:vAlign w:val="center"/>
            <w:hideMark/>
          </w:tcPr>
          <w:p w14:paraId="0D98EC61" w14:textId="77777777" w:rsidR="00FE4655" w:rsidRPr="00637BB8" w:rsidRDefault="00FE4655" w:rsidP="000349D5">
            <w:pPr>
              <w:jc w:val="center"/>
              <w:rPr>
                <w:color w:val="000000"/>
              </w:rPr>
            </w:pPr>
            <w:r w:rsidRPr="00637BB8">
              <w:rPr>
                <w:color w:val="000000"/>
              </w:rPr>
              <w:t>0.4</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3EB1077A" w14:textId="77777777" w:rsidR="00FE4655" w:rsidRPr="00637BB8" w:rsidRDefault="00FE4655" w:rsidP="000349D5">
            <w:pPr>
              <w:jc w:val="center"/>
              <w:rPr>
                <w:color w:val="000000"/>
              </w:rPr>
            </w:pPr>
            <w:r w:rsidRPr="00637BB8">
              <w:rPr>
                <w:color w:val="000000"/>
              </w:rPr>
              <w:t>2</w:t>
            </w:r>
            <w:r w:rsidRPr="00637BB8">
              <w:rPr>
                <w:color w:val="000000"/>
                <w:vertAlign w:val="superscript"/>
              </w:rPr>
              <w:t>nd</w:t>
            </w:r>
          </w:p>
        </w:tc>
        <w:tc>
          <w:tcPr>
            <w:tcW w:w="992" w:type="dxa"/>
            <w:tcBorders>
              <w:top w:val="nil"/>
              <w:left w:val="nil"/>
              <w:bottom w:val="single" w:sz="4" w:space="0" w:color="auto"/>
              <w:right w:val="nil"/>
            </w:tcBorders>
            <w:shd w:val="clear" w:color="auto" w:fill="auto"/>
            <w:noWrap/>
            <w:vAlign w:val="center"/>
            <w:hideMark/>
          </w:tcPr>
          <w:p w14:paraId="28789CAD" w14:textId="77777777" w:rsidR="00FE4655" w:rsidRPr="00637BB8" w:rsidRDefault="00FE4655" w:rsidP="000349D5">
            <w:pPr>
              <w:jc w:val="center"/>
              <w:rPr>
                <w:color w:val="000000"/>
              </w:rPr>
            </w:pPr>
            <w:r w:rsidRPr="00637BB8">
              <w:rPr>
                <w:color w:val="000000"/>
              </w:rPr>
              <w:t>9</w:t>
            </w:r>
            <w:r w:rsidRPr="00637BB8">
              <w:rPr>
                <w:color w:val="000000"/>
                <w:vertAlign w:val="superscript"/>
              </w:rPr>
              <w:t>th</w:t>
            </w:r>
          </w:p>
        </w:tc>
        <w:tc>
          <w:tcPr>
            <w:tcW w:w="993" w:type="dxa"/>
            <w:tcBorders>
              <w:top w:val="nil"/>
              <w:left w:val="nil"/>
              <w:bottom w:val="single" w:sz="4" w:space="0" w:color="auto"/>
              <w:right w:val="nil"/>
            </w:tcBorders>
            <w:shd w:val="clear" w:color="auto" w:fill="auto"/>
            <w:noWrap/>
            <w:vAlign w:val="center"/>
            <w:hideMark/>
          </w:tcPr>
          <w:p w14:paraId="361F6C05" w14:textId="77777777" w:rsidR="00FE4655" w:rsidRPr="00637BB8" w:rsidRDefault="00FE4655" w:rsidP="000349D5">
            <w:pPr>
              <w:jc w:val="center"/>
              <w:rPr>
                <w:color w:val="000000"/>
              </w:rPr>
            </w:pPr>
            <w:r w:rsidRPr="00637BB8">
              <w:rPr>
                <w:color w:val="000000"/>
              </w:rPr>
              <w:t>25</w:t>
            </w:r>
            <w:r w:rsidRPr="00637BB8">
              <w:rPr>
                <w:color w:val="000000"/>
                <w:vertAlign w:val="superscript"/>
              </w:rPr>
              <w:t>th</w:t>
            </w:r>
          </w:p>
        </w:tc>
        <w:tc>
          <w:tcPr>
            <w:tcW w:w="1134" w:type="dxa"/>
            <w:tcBorders>
              <w:top w:val="nil"/>
              <w:left w:val="nil"/>
              <w:bottom w:val="single" w:sz="4" w:space="0" w:color="auto"/>
              <w:right w:val="nil"/>
            </w:tcBorders>
            <w:shd w:val="clear" w:color="auto" w:fill="auto"/>
            <w:noWrap/>
            <w:vAlign w:val="center"/>
            <w:hideMark/>
          </w:tcPr>
          <w:p w14:paraId="6E7FC71E" w14:textId="77777777" w:rsidR="00FE4655" w:rsidRPr="00637BB8" w:rsidRDefault="00FE4655" w:rsidP="000349D5">
            <w:pPr>
              <w:jc w:val="center"/>
              <w:rPr>
                <w:color w:val="000000"/>
              </w:rPr>
            </w:pPr>
            <w:r w:rsidRPr="00637BB8">
              <w:rPr>
                <w:color w:val="000000"/>
              </w:rPr>
              <w:t>50</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3706B8CB" w14:textId="77777777" w:rsidR="00FE4655" w:rsidRPr="00637BB8" w:rsidRDefault="00FE4655" w:rsidP="000349D5">
            <w:pPr>
              <w:jc w:val="center"/>
              <w:rPr>
                <w:color w:val="000000"/>
              </w:rPr>
            </w:pPr>
            <w:r w:rsidRPr="00637BB8">
              <w:rPr>
                <w:color w:val="000000"/>
              </w:rPr>
              <w:t>75</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17EC16FF" w14:textId="77777777" w:rsidR="00FE4655" w:rsidRPr="00637BB8" w:rsidRDefault="00FE4655" w:rsidP="000349D5">
            <w:pPr>
              <w:jc w:val="center"/>
              <w:rPr>
                <w:color w:val="000000"/>
              </w:rPr>
            </w:pPr>
            <w:r w:rsidRPr="00637BB8">
              <w:rPr>
                <w:color w:val="000000"/>
              </w:rPr>
              <w:t>91</w:t>
            </w:r>
            <w:r w:rsidRPr="00637BB8">
              <w:rPr>
                <w:color w:val="000000"/>
                <w:vertAlign w:val="superscript"/>
              </w:rPr>
              <w:t>st</w:t>
            </w:r>
          </w:p>
        </w:tc>
        <w:tc>
          <w:tcPr>
            <w:tcW w:w="992" w:type="dxa"/>
            <w:tcBorders>
              <w:top w:val="nil"/>
              <w:left w:val="nil"/>
              <w:bottom w:val="single" w:sz="4" w:space="0" w:color="auto"/>
              <w:right w:val="nil"/>
            </w:tcBorders>
            <w:shd w:val="clear" w:color="auto" w:fill="auto"/>
            <w:noWrap/>
            <w:vAlign w:val="center"/>
            <w:hideMark/>
          </w:tcPr>
          <w:p w14:paraId="573AE08B" w14:textId="77777777" w:rsidR="00FE4655" w:rsidRPr="00637BB8" w:rsidRDefault="00FE4655" w:rsidP="000349D5">
            <w:pPr>
              <w:jc w:val="center"/>
              <w:rPr>
                <w:color w:val="000000"/>
              </w:rPr>
            </w:pPr>
            <w:r w:rsidRPr="00637BB8">
              <w:rPr>
                <w:color w:val="000000"/>
              </w:rPr>
              <w:t>98</w:t>
            </w:r>
            <w:r w:rsidRPr="00637BB8">
              <w:rPr>
                <w:color w:val="000000"/>
                <w:vertAlign w:val="superscript"/>
              </w:rPr>
              <w:t>th</w:t>
            </w:r>
          </w:p>
        </w:tc>
        <w:tc>
          <w:tcPr>
            <w:tcW w:w="993" w:type="dxa"/>
            <w:tcBorders>
              <w:top w:val="nil"/>
              <w:left w:val="nil"/>
              <w:bottom w:val="single" w:sz="4" w:space="0" w:color="auto"/>
              <w:right w:val="nil"/>
            </w:tcBorders>
            <w:shd w:val="clear" w:color="auto" w:fill="auto"/>
            <w:noWrap/>
            <w:vAlign w:val="center"/>
            <w:hideMark/>
          </w:tcPr>
          <w:p w14:paraId="08C51F46" w14:textId="77777777" w:rsidR="00FE4655" w:rsidRPr="00637BB8" w:rsidRDefault="00FE4655" w:rsidP="000349D5">
            <w:pPr>
              <w:jc w:val="center"/>
              <w:rPr>
                <w:color w:val="000000"/>
              </w:rPr>
            </w:pPr>
            <w:r w:rsidRPr="00637BB8">
              <w:rPr>
                <w:color w:val="000000"/>
              </w:rPr>
              <w:t>99.6</w:t>
            </w:r>
            <w:r w:rsidRPr="00637BB8">
              <w:rPr>
                <w:color w:val="000000"/>
                <w:vertAlign w:val="superscript"/>
              </w:rPr>
              <w:t>th</w:t>
            </w:r>
          </w:p>
        </w:tc>
      </w:tr>
      <w:tr w:rsidR="00FE4655" w:rsidRPr="00637BB8" w14:paraId="66657A74"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6E75C7AF" w14:textId="77777777" w:rsidR="00FE4655" w:rsidRPr="00637BB8" w:rsidRDefault="00FE4655" w:rsidP="000349D5">
            <w:pPr>
              <w:jc w:val="center"/>
              <w:rPr>
                <w:color w:val="000000"/>
              </w:rPr>
            </w:pPr>
            <w:r w:rsidRPr="00637BB8">
              <w:rPr>
                <w:color w:val="000000"/>
              </w:rPr>
              <w:t>13</w:t>
            </w:r>
          </w:p>
        </w:tc>
        <w:tc>
          <w:tcPr>
            <w:tcW w:w="992" w:type="dxa"/>
            <w:tcBorders>
              <w:top w:val="nil"/>
              <w:left w:val="nil"/>
              <w:bottom w:val="nil"/>
              <w:right w:val="nil"/>
            </w:tcBorders>
            <w:shd w:val="clear" w:color="auto" w:fill="auto"/>
            <w:noWrap/>
            <w:vAlign w:val="center"/>
            <w:hideMark/>
          </w:tcPr>
          <w:p w14:paraId="377A811B" w14:textId="77777777" w:rsidR="00FE4655" w:rsidRPr="00637BB8" w:rsidRDefault="00FE4655" w:rsidP="000349D5">
            <w:pPr>
              <w:jc w:val="center"/>
              <w:rPr>
                <w:color w:val="000000"/>
              </w:rPr>
            </w:pPr>
            <w:r w:rsidRPr="00637BB8">
              <w:rPr>
                <w:color w:val="000000"/>
              </w:rPr>
              <w:t>0.91</w:t>
            </w:r>
          </w:p>
        </w:tc>
        <w:tc>
          <w:tcPr>
            <w:tcW w:w="992" w:type="dxa"/>
            <w:tcBorders>
              <w:top w:val="nil"/>
              <w:left w:val="nil"/>
              <w:bottom w:val="nil"/>
              <w:right w:val="nil"/>
            </w:tcBorders>
            <w:shd w:val="clear" w:color="auto" w:fill="auto"/>
            <w:noWrap/>
            <w:vAlign w:val="center"/>
            <w:hideMark/>
          </w:tcPr>
          <w:p w14:paraId="71B7BE73" w14:textId="77777777" w:rsidR="00FE4655" w:rsidRPr="00637BB8" w:rsidRDefault="00FE4655" w:rsidP="000349D5">
            <w:pPr>
              <w:jc w:val="center"/>
              <w:rPr>
                <w:color w:val="000000"/>
              </w:rPr>
            </w:pPr>
            <w:r w:rsidRPr="00637BB8">
              <w:rPr>
                <w:color w:val="000000"/>
              </w:rPr>
              <w:t>0.95</w:t>
            </w:r>
          </w:p>
        </w:tc>
        <w:tc>
          <w:tcPr>
            <w:tcW w:w="992" w:type="dxa"/>
            <w:tcBorders>
              <w:top w:val="nil"/>
              <w:left w:val="nil"/>
              <w:bottom w:val="nil"/>
              <w:right w:val="nil"/>
            </w:tcBorders>
            <w:shd w:val="clear" w:color="auto" w:fill="auto"/>
            <w:noWrap/>
            <w:vAlign w:val="center"/>
            <w:hideMark/>
          </w:tcPr>
          <w:p w14:paraId="31123338" w14:textId="77777777" w:rsidR="00FE4655" w:rsidRPr="00637BB8" w:rsidRDefault="00FE4655" w:rsidP="000349D5">
            <w:pPr>
              <w:jc w:val="center"/>
              <w:rPr>
                <w:color w:val="000000"/>
              </w:rPr>
            </w:pPr>
            <w:r w:rsidRPr="00637BB8">
              <w:rPr>
                <w:color w:val="000000"/>
              </w:rPr>
              <w:t>0.99</w:t>
            </w:r>
          </w:p>
        </w:tc>
        <w:tc>
          <w:tcPr>
            <w:tcW w:w="993" w:type="dxa"/>
            <w:tcBorders>
              <w:top w:val="nil"/>
              <w:left w:val="nil"/>
              <w:bottom w:val="nil"/>
              <w:right w:val="nil"/>
            </w:tcBorders>
            <w:shd w:val="clear" w:color="auto" w:fill="auto"/>
            <w:noWrap/>
            <w:vAlign w:val="center"/>
            <w:hideMark/>
          </w:tcPr>
          <w:p w14:paraId="2243C57C" w14:textId="77777777" w:rsidR="00FE4655" w:rsidRPr="00637BB8" w:rsidRDefault="00FE4655" w:rsidP="000349D5">
            <w:pPr>
              <w:jc w:val="center"/>
              <w:rPr>
                <w:color w:val="000000"/>
              </w:rPr>
            </w:pPr>
            <w:r w:rsidRPr="00637BB8">
              <w:rPr>
                <w:color w:val="000000"/>
              </w:rPr>
              <w:t>1.03</w:t>
            </w:r>
          </w:p>
        </w:tc>
        <w:tc>
          <w:tcPr>
            <w:tcW w:w="1134" w:type="dxa"/>
            <w:tcBorders>
              <w:top w:val="nil"/>
              <w:left w:val="nil"/>
              <w:bottom w:val="nil"/>
              <w:right w:val="nil"/>
            </w:tcBorders>
            <w:shd w:val="clear" w:color="auto" w:fill="auto"/>
            <w:noWrap/>
            <w:vAlign w:val="center"/>
            <w:hideMark/>
          </w:tcPr>
          <w:p w14:paraId="1CFBED3B" w14:textId="77777777" w:rsidR="00FE4655" w:rsidRPr="00637BB8" w:rsidRDefault="00FE4655" w:rsidP="000349D5">
            <w:pPr>
              <w:jc w:val="center"/>
              <w:rPr>
                <w:color w:val="000000"/>
              </w:rPr>
            </w:pPr>
            <w:r w:rsidRPr="00637BB8">
              <w:rPr>
                <w:color w:val="000000"/>
              </w:rPr>
              <w:t>1.07</w:t>
            </w:r>
          </w:p>
        </w:tc>
        <w:tc>
          <w:tcPr>
            <w:tcW w:w="992" w:type="dxa"/>
            <w:tcBorders>
              <w:top w:val="nil"/>
              <w:left w:val="nil"/>
              <w:bottom w:val="nil"/>
              <w:right w:val="nil"/>
            </w:tcBorders>
            <w:shd w:val="clear" w:color="auto" w:fill="auto"/>
            <w:noWrap/>
            <w:vAlign w:val="center"/>
            <w:hideMark/>
          </w:tcPr>
          <w:p w14:paraId="07C8B958" w14:textId="77777777" w:rsidR="00FE4655" w:rsidRPr="00637BB8" w:rsidRDefault="00FE4655" w:rsidP="000349D5">
            <w:pPr>
              <w:jc w:val="center"/>
              <w:rPr>
                <w:color w:val="000000"/>
              </w:rPr>
            </w:pPr>
            <w:r w:rsidRPr="00637BB8">
              <w:rPr>
                <w:color w:val="000000"/>
              </w:rPr>
              <w:t>1.12</w:t>
            </w:r>
          </w:p>
        </w:tc>
        <w:tc>
          <w:tcPr>
            <w:tcW w:w="992" w:type="dxa"/>
            <w:tcBorders>
              <w:top w:val="nil"/>
              <w:left w:val="nil"/>
              <w:bottom w:val="nil"/>
              <w:right w:val="nil"/>
            </w:tcBorders>
            <w:shd w:val="clear" w:color="auto" w:fill="auto"/>
            <w:noWrap/>
            <w:vAlign w:val="center"/>
            <w:hideMark/>
          </w:tcPr>
          <w:p w14:paraId="3A7B0E54" w14:textId="77777777" w:rsidR="00FE4655" w:rsidRPr="00637BB8" w:rsidRDefault="00FE4655" w:rsidP="000349D5">
            <w:pPr>
              <w:jc w:val="center"/>
              <w:rPr>
                <w:color w:val="000000"/>
              </w:rPr>
            </w:pPr>
            <w:r w:rsidRPr="00637BB8">
              <w:rPr>
                <w:color w:val="000000"/>
              </w:rPr>
              <w:t>1.17</w:t>
            </w:r>
          </w:p>
        </w:tc>
        <w:tc>
          <w:tcPr>
            <w:tcW w:w="992" w:type="dxa"/>
            <w:tcBorders>
              <w:top w:val="nil"/>
              <w:left w:val="nil"/>
              <w:bottom w:val="nil"/>
              <w:right w:val="nil"/>
            </w:tcBorders>
            <w:shd w:val="clear" w:color="auto" w:fill="auto"/>
            <w:noWrap/>
            <w:vAlign w:val="center"/>
            <w:hideMark/>
          </w:tcPr>
          <w:p w14:paraId="1DE1908C" w14:textId="77777777" w:rsidR="00FE4655" w:rsidRPr="00637BB8" w:rsidRDefault="00FE4655" w:rsidP="000349D5">
            <w:pPr>
              <w:jc w:val="center"/>
              <w:rPr>
                <w:color w:val="000000"/>
              </w:rPr>
            </w:pPr>
            <w:r w:rsidRPr="00637BB8">
              <w:rPr>
                <w:color w:val="000000"/>
              </w:rPr>
              <w:t>1.23</w:t>
            </w:r>
          </w:p>
        </w:tc>
        <w:tc>
          <w:tcPr>
            <w:tcW w:w="993" w:type="dxa"/>
            <w:tcBorders>
              <w:top w:val="nil"/>
              <w:left w:val="nil"/>
              <w:bottom w:val="nil"/>
              <w:right w:val="nil"/>
            </w:tcBorders>
            <w:shd w:val="clear" w:color="auto" w:fill="auto"/>
            <w:noWrap/>
            <w:vAlign w:val="center"/>
            <w:hideMark/>
          </w:tcPr>
          <w:p w14:paraId="71731124" w14:textId="77777777" w:rsidR="00FE4655" w:rsidRPr="00637BB8" w:rsidRDefault="00FE4655" w:rsidP="000349D5">
            <w:pPr>
              <w:jc w:val="center"/>
              <w:rPr>
                <w:color w:val="000000"/>
              </w:rPr>
            </w:pPr>
            <w:r w:rsidRPr="00637BB8">
              <w:rPr>
                <w:color w:val="000000"/>
              </w:rPr>
              <w:t>1.28</w:t>
            </w:r>
          </w:p>
        </w:tc>
      </w:tr>
      <w:tr w:rsidR="00FE4655" w:rsidRPr="00637BB8" w14:paraId="285E7663"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5E178F07" w14:textId="77777777" w:rsidR="00FE4655" w:rsidRPr="00637BB8" w:rsidRDefault="00FE4655" w:rsidP="000349D5">
            <w:pPr>
              <w:jc w:val="center"/>
              <w:rPr>
                <w:color w:val="000000"/>
              </w:rPr>
            </w:pPr>
            <w:r w:rsidRPr="00637BB8">
              <w:rPr>
                <w:color w:val="000000"/>
              </w:rPr>
              <w:t>15</w:t>
            </w:r>
          </w:p>
        </w:tc>
        <w:tc>
          <w:tcPr>
            <w:tcW w:w="992" w:type="dxa"/>
            <w:tcBorders>
              <w:top w:val="nil"/>
              <w:left w:val="nil"/>
              <w:bottom w:val="nil"/>
              <w:right w:val="nil"/>
            </w:tcBorders>
            <w:shd w:val="clear" w:color="auto" w:fill="auto"/>
            <w:noWrap/>
            <w:vAlign w:val="center"/>
            <w:hideMark/>
          </w:tcPr>
          <w:p w14:paraId="48D6E60B" w14:textId="77777777" w:rsidR="00FE4655" w:rsidRPr="00637BB8" w:rsidRDefault="00FE4655" w:rsidP="000349D5">
            <w:pPr>
              <w:jc w:val="center"/>
              <w:rPr>
                <w:color w:val="000000"/>
              </w:rPr>
            </w:pPr>
            <w:r w:rsidRPr="00637BB8">
              <w:rPr>
                <w:color w:val="000000"/>
              </w:rPr>
              <w:t>0.94</w:t>
            </w:r>
          </w:p>
        </w:tc>
        <w:tc>
          <w:tcPr>
            <w:tcW w:w="992" w:type="dxa"/>
            <w:tcBorders>
              <w:top w:val="nil"/>
              <w:left w:val="nil"/>
              <w:bottom w:val="nil"/>
              <w:right w:val="nil"/>
            </w:tcBorders>
            <w:shd w:val="clear" w:color="auto" w:fill="auto"/>
            <w:noWrap/>
            <w:vAlign w:val="center"/>
            <w:hideMark/>
          </w:tcPr>
          <w:p w14:paraId="7744206A" w14:textId="77777777" w:rsidR="00FE4655" w:rsidRPr="00637BB8" w:rsidRDefault="00FE4655" w:rsidP="000349D5">
            <w:pPr>
              <w:jc w:val="center"/>
              <w:rPr>
                <w:color w:val="000000"/>
              </w:rPr>
            </w:pPr>
            <w:r w:rsidRPr="00637BB8">
              <w:rPr>
                <w:color w:val="000000"/>
              </w:rPr>
              <w:t>0.97</w:t>
            </w:r>
          </w:p>
        </w:tc>
        <w:tc>
          <w:tcPr>
            <w:tcW w:w="992" w:type="dxa"/>
            <w:tcBorders>
              <w:top w:val="nil"/>
              <w:left w:val="nil"/>
              <w:bottom w:val="nil"/>
              <w:right w:val="nil"/>
            </w:tcBorders>
            <w:shd w:val="clear" w:color="auto" w:fill="auto"/>
            <w:noWrap/>
            <w:vAlign w:val="center"/>
            <w:hideMark/>
          </w:tcPr>
          <w:p w14:paraId="0B9C7C58" w14:textId="77777777" w:rsidR="00FE4655" w:rsidRPr="00637BB8" w:rsidRDefault="00FE4655" w:rsidP="000349D5">
            <w:pPr>
              <w:jc w:val="center"/>
              <w:rPr>
                <w:color w:val="000000"/>
              </w:rPr>
            </w:pPr>
            <w:r w:rsidRPr="00637BB8">
              <w:rPr>
                <w:color w:val="000000"/>
              </w:rPr>
              <w:t>1.01</w:t>
            </w:r>
          </w:p>
        </w:tc>
        <w:tc>
          <w:tcPr>
            <w:tcW w:w="993" w:type="dxa"/>
            <w:tcBorders>
              <w:top w:val="nil"/>
              <w:left w:val="nil"/>
              <w:bottom w:val="nil"/>
              <w:right w:val="nil"/>
            </w:tcBorders>
            <w:shd w:val="clear" w:color="auto" w:fill="auto"/>
            <w:noWrap/>
            <w:vAlign w:val="center"/>
            <w:hideMark/>
          </w:tcPr>
          <w:p w14:paraId="0D5AFCEF" w14:textId="77777777" w:rsidR="00FE4655" w:rsidRPr="00637BB8" w:rsidRDefault="00FE4655" w:rsidP="000349D5">
            <w:pPr>
              <w:jc w:val="center"/>
              <w:rPr>
                <w:color w:val="000000"/>
              </w:rPr>
            </w:pPr>
            <w:r w:rsidRPr="00637BB8">
              <w:rPr>
                <w:color w:val="000000"/>
              </w:rPr>
              <w:t>1.04</w:t>
            </w:r>
          </w:p>
        </w:tc>
        <w:tc>
          <w:tcPr>
            <w:tcW w:w="1134" w:type="dxa"/>
            <w:tcBorders>
              <w:top w:val="nil"/>
              <w:left w:val="nil"/>
              <w:bottom w:val="nil"/>
              <w:right w:val="nil"/>
            </w:tcBorders>
            <w:shd w:val="clear" w:color="auto" w:fill="auto"/>
            <w:noWrap/>
            <w:vAlign w:val="center"/>
            <w:hideMark/>
          </w:tcPr>
          <w:p w14:paraId="76A622CE" w14:textId="77777777" w:rsidR="00FE4655" w:rsidRPr="00637BB8" w:rsidRDefault="00FE4655" w:rsidP="000349D5">
            <w:pPr>
              <w:jc w:val="center"/>
              <w:rPr>
                <w:color w:val="000000"/>
              </w:rPr>
            </w:pPr>
            <w:r w:rsidRPr="00637BB8">
              <w:rPr>
                <w:color w:val="000000"/>
              </w:rPr>
              <w:t>1.08</w:t>
            </w:r>
          </w:p>
        </w:tc>
        <w:tc>
          <w:tcPr>
            <w:tcW w:w="992" w:type="dxa"/>
            <w:tcBorders>
              <w:top w:val="nil"/>
              <w:left w:val="nil"/>
              <w:bottom w:val="nil"/>
              <w:right w:val="nil"/>
            </w:tcBorders>
            <w:shd w:val="clear" w:color="auto" w:fill="auto"/>
            <w:noWrap/>
            <w:vAlign w:val="center"/>
            <w:hideMark/>
          </w:tcPr>
          <w:p w14:paraId="5E922BB3" w14:textId="77777777" w:rsidR="00FE4655" w:rsidRPr="00637BB8" w:rsidRDefault="00FE4655" w:rsidP="000349D5">
            <w:pPr>
              <w:jc w:val="center"/>
              <w:rPr>
                <w:color w:val="000000"/>
              </w:rPr>
            </w:pPr>
            <w:r w:rsidRPr="00637BB8">
              <w:rPr>
                <w:color w:val="000000"/>
              </w:rPr>
              <w:t>1.12</w:t>
            </w:r>
          </w:p>
        </w:tc>
        <w:tc>
          <w:tcPr>
            <w:tcW w:w="992" w:type="dxa"/>
            <w:tcBorders>
              <w:top w:val="nil"/>
              <w:left w:val="nil"/>
              <w:bottom w:val="nil"/>
              <w:right w:val="nil"/>
            </w:tcBorders>
            <w:shd w:val="clear" w:color="auto" w:fill="auto"/>
            <w:noWrap/>
            <w:vAlign w:val="center"/>
            <w:hideMark/>
          </w:tcPr>
          <w:p w14:paraId="28A35D67" w14:textId="77777777" w:rsidR="00FE4655" w:rsidRPr="00637BB8" w:rsidRDefault="00FE4655" w:rsidP="000349D5">
            <w:pPr>
              <w:jc w:val="center"/>
              <w:rPr>
                <w:color w:val="000000"/>
              </w:rPr>
            </w:pPr>
            <w:r w:rsidRPr="00637BB8">
              <w:rPr>
                <w:color w:val="000000"/>
              </w:rPr>
              <w:t>1.16</w:t>
            </w:r>
          </w:p>
        </w:tc>
        <w:tc>
          <w:tcPr>
            <w:tcW w:w="992" w:type="dxa"/>
            <w:tcBorders>
              <w:top w:val="nil"/>
              <w:left w:val="nil"/>
              <w:bottom w:val="nil"/>
              <w:right w:val="nil"/>
            </w:tcBorders>
            <w:shd w:val="clear" w:color="auto" w:fill="auto"/>
            <w:noWrap/>
            <w:vAlign w:val="center"/>
            <w:hideMark/>
          </w:tcPr>
          <w:p w14:paraId="1E42F70F" w14:textId="77777777" w:rsidR="00FE4655" w:rsidRPr="00637BB8" w:rsidRDefault="00FE4655" w:rsidP="000349D5">
            <w:pPr>
              <w:jc w:val="center"/>
              <w:rPr>
                <w:color w:val="000000"/>
              </w:rPr>
            </w:pPr>
            <w:r w:rsidRPr="00637BB8">
              <w:rPr>
                <w:color w:val="000000"/>
              </w:rPr>
              <w:t>1.21</w:t>
            </w:r>
          </w:p>
        </w:tc>
        <w:tc>
          <w:tcPr>
            <w:tcW w:w="993" w:type="dxa"/>
            <w:tcBorders>
              <w:top w:val="nil"/>
              <w:left w:val="nil"/>
              <w:bottom w:val="nil"/>
              <w:right w:val="nil"/>
            </w:tcBorders>
            <w:shd w:val="clear" w:color="auto" w:fill="auto"/>
            <w:noWrap/>
            <w:vAlign w:val="center"/>
            <w:hideMark/>
          </w:tcPr>
          <w:p w14:paraId="0A0CCE99" w14:textId="77777777" w:rsidR="00FE4655" w:rsidRPr="00637BB8" w:rsidRDefault="00FE4655" w:rsidP="000349D5">
            <w:pPr>
              <w:jc w:val="center"/>
              <w:rPr>
                <w:color w:val="000000"/>
              </w:rPr>
            </w:pPr>
            <w:r w:rsidRPr="00637BB8">
              <w:rPr>
                <w:color w:val="000000"/>
              </w:rPr>
              <w:t>1.25</w:t>
            </w:r>
          </w:p>
        </w:tc>
      </w:tr>
      <w:tr w:rsidR="00FE4655" w:rsidRPr="00637BB8" w14:paraId="6F2B19A9"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4AF06D49" w14:textId="77777777" w:rsidR="00FE4655" w:rsidRPr="00637BB8" w:rsidRDefault="00FE4655" w:rsidP="000349D5">
            <w:pPr>
              <w:jc w:val="center"/>
              <w:rPr>
                <w:color w:val="000000"/>
              </w:rPr>
            </w:pPr>
            <w:r w:rsidRPr="00637BB8">
              <w:rPr>
                <w:color w:val="000000"/>
              </w:rPr>
              <w:t>17</w:t>
            </w:r>
          </w:p>
        </w:tc>
        <w:tc>
          <w:tcPr>
            <w:tcW w:w="992" w:type="dxa"/>
            <w:tcBorders>
              <w:top w:val="nil"/>
              <w:left w:val="nil"/>
              <w:bottom w:val="nil"/>
              <w:right w:val="nil"/>
            </w:tcBorders>
            <w:shd w:val="clear" w:color="auto" w:fill="auto"/>
            <w:noWrap/>
            <w:vAlign w:val="center"/>
            <w:hideMark/>
          </w:tcPr>
          <w:p w14:paraId="049D61A4" w14:textId="77777777" w:rsidR="00FE4655" w:rsidRPr="00637BB8" w:rsidRDefault="00FE4655" w:rsidP="000349D5">
            <w:pPr>
              <w:jc w:val="center"/>
              <w:rPr>
                <w:color w:val="000000"/>
              </w:rPr>
            </w:pPr>
            <w:r w:rsidRPr="00637BB8">
              <w:rPr>
                <w:color w:val="000000"/>
              </w:rPr>
              <w:t>0.95</w:t>
            </w:r>
          </w:p>
        </w:tc>
        <w:tc>
          <w:tcPr>
            <w:tcW w:w="992" w:type="dxa"/>
            <w:tcBorders>
              <w:top w:val="nil"/>
              <w:left w:val="nil"/>
              <w:bottom w:val="nil"/>
              <w:right w:val="nil"/>
            </w:tcBorders>
            <w:shd w:val="clear" w:color="auto" w:fill="auto"/>
            <w:noWrap/>
            <w:vAlign w:val="center"/>
            <w:hideMark/>
          </w:tcPr>
          <w:p w14:paraId="24B77512" w14:textId="77777777" w:rsidR="00FE4655" w:rsidRPr="00637BB8" w:rsidRDefault="00FE4655" w:rsidP="000349D5">
            <w:pPr>
              <w:jc w:val="center"/>
              <w:rPr>
                <w:color w:val="000000"/>
              </w:rPr>
            </w:pPr>
            <w:r w:rsidRPr="00637BB8">
              <w:rPr>
                <w:color w:val="000000"/>
              </w:rPr>
              <w:t>0.97</w:t>
            </w:r>
          </w:p>
        </w:tc>
        <w:tc>
          <w:tcPr>
            <w:tcW w:w="992" w:type="dxa"/>
            <w:tcBorders>
              <w:top w:val="nil"/>
              <w:left w:val="nil"/>
              <w:bottom w:val="nil"/>
              <w:right w:val="nil"/>
            </w:tcBorders>
            <w:shd w:val="clear" w:color="auto" w:fill="auto"/>
            <w:noWrap/>
            <w:vAlign w:val="center"/>
            <w:hideMark/>
          </w:tcPr>
          <w:p w14:paraId="2D12F8A0" w14:textId="77777777" w:rsidR="00FE4655" w:rsidRPr="00637BB8" w:rsidRDefault="00FE4655" w:rsidP="000349D5">
            <w:pPr>
              <w:jc w:val="center"/>
              <w:rPr>
                <w:color w:val="000000"/>
              </w:rPr>
            </w:pPr>
            <w:r w:rsidRPr="00637BB8">
              <w:rPr>
                <w:color w:val="000000"/>
              </w:rPr>
              <w:t>1.00</w:t>
            </w:r>
          </w:p>
        </w:tc>
        <w:tc>
          <w:tcPr>
            <w:tcW w:w="993" w:type="dxa"/>
            <w:tcBorders>
              <w:top w:val="nil"/>
              <w:left w:val="nil"/>
              <w:bottom w:val="nil"/>
              <w:right w:val="nil"/>
            </w:tcBorders>
            <w:shd w:val="clear" w:color="auto" w:fill="auto"/>
            <w:noWrap/>
            <w:vAlign w:val="center"/>
            <w:hideMark/>
          </w:tcPr>
          <w:p w14:paraId="4BD8D7BC" w14:textId="77777777" w:rsidR="00FE4655" w:rsidRPr="00637BB8" w:rsidRDefault="00FE4655" w:rsidP="000349D5">
            <w:pPr>
              <w:jc w:val="center"/>
              <w:rPr>
                <w:color w:val="000000"/>
              </w:rPr>
            </w:pPr>
            <w:r w:rsidRPr="00637BB8">
              <w:rPr>
                <w:color w:val="000000"/>
              </w:rPr>
              <w:t>1.03</w:t>
            </w:r>
          </w:p>
        </w:tc>
        <w:tc>
          <w:tcPr>
            <w:tcW w:w="1134" w:type="dxa"/>
            <w:tcBorders>
              <w:top w:val="nil"/>
              <w:left w:val="nil"/>
              <w:bottom w:val="nil"/>
              <w:right w:val="nil"/>
            </w:tcBorders>
            <w:shd w:val="clear" w:color="auto" w:fill="auto"/>
            <w:noWrap/>
            <w:vAlign w:val="center"/>
            <w:hideMark/>
          </w:tcPr>
          <w:p w14:paraId="58D91752" w14:textId="77777777" w:rsidR="00FE4655" w:rsidRPr="00637BB8" w:rsidRDefault="00FE4655" w:rsidP="000349D5">
            <w:pPr>
              <w:jc w:val="center"/>
              <w:rPr>
                <w:color w:val="000000"/>
              </w:rPr>
            </w:pPr>
            <w:r w:rsidRPr="00637BB8">
              <w:rPr>
                <w:color w:val="000000"/>
              </w:rPr>
              <w:t>1.06</w:t>
            </w:r>
          </w:p>
        </w:tc>
        <w:tc>
          <w:tcPr>
            <w:tcW w:w="992" w:type="dxa"/>
            <w:tcBorders>
              <w:top w:val="nil"/>
              <w:left w:val="nil"/>
              <w:bottom w:val="nil"/>
              <w:right w:val="nil"/>
            </w:tcBorders>
            <w:shd w:val="clear" w:color="auto" w:fill="auto"/>
            <w:noWrap/>
            <w:vAlign w:val="center"/>
            <w:hideMark/>
          </w:tcPr>
          <w:p w14:paraId="1B607E55" w14:textId="77777777" w:rsidR="00FE4655" w:rsidRPr="00637BB8" w:rsidRDefault="00FE4655" w:rsidP="000349D5">
            <w:pPr>
              <w:jc w:val="center"/>
              <w:rPr>
                <w:color w:val="000000"/>
              </w:rPr>
            </w:pPr>
            <w:r w:rsidRPr="00637BB8">
              <w:rPr>
                <w:color w:val="000000"/>
              </w:rPr>
              <w:t>1.10</w:t>
            </w:r>
          </w:p>
        </w:tc>
        <w:tc>
          <w:tcPr>
            <w:tcW w:w="992" w:type="dxa"/>
            <w:tcBorders>
              <w:top w:val="nil"/>
              <w:left w:val="nil"/>
              <w:bottom w:val="nil"/>
              <w:right w:val="nil"/>
            </w:tcBorders>
            <w:shd w:val="clear" w:color="auto" w:fill="auto"/>
            <w:noWrap/>
            <w:vAlign w:val="center"/>
            <w:hideMark/>
          </w:tcPr>
          <w:p w14:paraId="5FDB38AD" w14:textId="77777777" w:rsidR="00FE4655" w:rsidRPr="00637BB8" w:rsidRDefault="00FE4655" w:rsidP="000349D5">
            <w:pPr>
              <w:jc w:val="center"/>
              <w:rPr>
                <w:color w:val="000000"/>
              </w:rPr>
            </w:pPr>
            <w:r w:rsidRPr="00637BB8">
              <w:rPr>
                <w:color w:val="000000"/>
              </w:rPr>
              <w:t>1.13</w:t>
            </w:r>
          </w:p>
        </w:tc>
        <w:tc>
          <w:tcPr>
            <w:tcW w:w="992" w:type="dxa"/>
            <w:tcBorders>
              <w:top w:val="nil"/>
              <w:left w:val="nil"/>
              <w:bottom w:val="nil"/>
              <w:right w:val="nil"/>
            </w:tcBorders>
            <w:shd w:val="clear" w:color="auto" w:fill="auto"/>
            <w:noWrap/>
            <w:vAlign w:val="center"/>
            <w:hideMark/>
          </w:tcPr>
          <w:p w14:paraId="781A2EB8" w14:textId="77777777" w:rsidR="00FE4655" w:rsidRPr="00637BB8" w:rsidRDefault="00FE4655" w:rsidP="000349D5">
            <w:pPr>
              <w:jc w:val="center"/>
              <w:rPr>
                <w:color w:val="000000"/>
              </w:rPr>
            </w:pPr>
            <w:r w:rsidRPr="00637BB8">
              <w:rPr>
                <w:color w:val="000000"/>
              </w:rPr>
              <w:t>1.18</w:t>
            </w:r>
          </w:p>
        </w:tc>
        <w:tc>
          <w:tcPr>
            <w:tcW w:w="993" w:type="dxa"/>
            <w:tcBorders>
              <w:top w:val="nil"/>
              <w:left w:val="nil"/>
              <w:bottom w:val="nil"/>
              <w:right w:val="nil"/>
            </w:tcBorders>
            <w:shd w:val="clear" w:color="auto" w:fill="auto"/>
            <w:noWrap/>
            <w:vAlign w:val="center"/>
            <w:hideMark/>
          </w:tcPr>
          <w:p w14:paraId="1F7F3BF0" w14:textId="77777777" w:rsidR="00FE4655" w:rsidRPr="00637BB8" w:rsidRDefault="00FE4655" w:rsidP="000349D5">
            <w:pPr>
              <w:jc w:val="center"/>
              <w:rPr>
                <w:color w:val="000000"/>
              </w:rPr>
            </w:pPr>
            <w:r w:rsidRPr="00637BB8">
              <w:rPr>
                <w:color w:val="000000"/>
              </w:rPr>
              <w:t>1.21</w:t>
            </w:r>
          </w:p>
        </w:tc>
      </w:tr>
      <w:tr w:rsidR="00FE4655" w:rsidRPr="00637BB8" w14:paraId="6DEE1FDF"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6384606E" w14:textId="77777777" w:rsidR="00FE4655" w:rsidRPr="00637BB8" w:rsidRDefault="00FE4655" w:rsidP="000349D5">
            <w:pPr>
              <w:jc w:val="center"/>
              <w:rPr>
                <w:color w:val="000000"/>
              </w:rPr>
            </w:pPr>
            <w:r w:rsidRPr="00637BB8">
              <w:rPr>
                <w:color w:val="000000"/>
              </w:rPr>
              <w:t>19</w:t>
            </w:r>
          </w:p>
        </w:tc>
        <w:tc>
          <w:tcPr>
            <w:tcW w:w="992" w:type="dxa"/>
            <w:tcBorders>
              <w:top w:val="nil"/>
              <w:left w:val="nil"/>
              <w:bottom w:val="nil"/>
              <w:right w:val="nil"/>
            </w:tcBorders>
            <w:shd w:val="clear" w:color="auto" w:fill="auto"/>
            <w:noWrap/>
            <w:vAlign w:val="center"/>
            <w:hideMark/>
          </w:tcPr>
          <w:p w14:paraId="68743580" w14:textId="77777777" w:rsidR="00FE4655" w:rsidRPr="00637BB8" w:rsidRDefault="00FE4655" w:rsidP="000349D5">
            <w:pPr>
              <w:jc w:val="center"/>
              <w:rPr>
                <w:color w:val="000000"/>
              </w:rPr>
            </w:pPr>
            <w:r w:rsidRPr="00637BB8">
              <w:rPr>
                <w:color w:val="000000"/>
              </w:rPr>
              <w:t>0.94</w:t>
            </w:r>
          </w:p>
        </w:tc>
        <w:tc>
          <w:tcPr>
            <w:tcW w:w="992" w:type="dxa"/>
            <w:tcBorders>
              <w:top w:val="nil"/>
              <w:left w:val="nil"/>
              <w:bottom w:val="nil"/>
              <w:right w:val="nil"/>
            </w:tcBorders>
            <w:shd w:val="clear" w:color="auto" w:fill="auto"/>
            <w:noWrap/>
            <w:vAlign w:val="center"/>
            <w:hideMark/>
          </w:tcPr>
          <w:p w14:paraId="4D354BA9" w14:textId="77777777" w:rsidR="00FE4655" w:rsidRPr="00637BB8" w:rsidRDefault="00FE4655" w:rsidP="000349D5">
            <w:pPr>
              <w:jc w:val="center"/>
              <w:rPr>
                <w:color w:val="000000"/>
              </w:rPr>
            </w:pPr>
            <w:r w:rsidRPr="00637BB8">
              <w:rPr>
                <w:color w:val="000000"/>
              </w:rPr>
              <w:t>0.96</w:t>
            </w:r>
          </w:p>
        </w:tc>
        <w:tc>
          <w:tcPr>
            <w:tcW w:w="992" w:type="dxa"/>
            <w:tcBorders>
              <w:top w:val="nil"/>
              <w:left w:val="nil"/>
              <w:bottom w:val="nil"/>
              <w:right w:val="nil"/>
            </w:tcBorders>
            <w:shd w:val="clear" w:color="auto" w:fill="auto"/>
            <w:noWrap/>
            <w:vAlign w:val="center"/>
            <w:hideMark/>
          </w:tcPr>
          <w:p w14:paraId="10A47C45" w14:textId="77777777" w:rsidR="00FE4655" w:rsidRPr="00637BB8" w:rsidRDefault="00FE4655" w:rsidP="000349D5">
            <w:pPr>
              <w:jc w:val="center"/>
              <w:rPr>
                <w:color w:val="000000"/>
              </w:rPr>
            </w:pPr>
            <w:r w:rsidRPr="00637BB8">
              <w:rPr>
                <w:color w:val="000000"/>
              </w:rPr>
              <w:t>0.99</w:t>
            </w:r>
          </w:p>
        </w:tc>
        <w:tc>
          <w:tcPr>
            <w:tcW w:w="993" w:type="dxa"/>
            <w:tcBorders>
              <w:top w:val="nil"/>
              <w:left w:val="nil"/>
              <w:bottom w:val="nil"/>
              <w:right w:val="nil"/>
            </w:tcBorders>
            <w:shd w:val="clear" w:color="auto" w:fill="auto"/>
            <w:noWrap/>
            <w:vAlign w:val="center"/>
            <w:hideMark/>
          </w:tcPr>
          <w:p w14:paraId="11402FCC" w14:textId="77777777" w:rsidR="00FE4655" w:rsidRPr="00637BB8" w:rsidRDefault="00FE4655" w:rsidP="000349D5">
            <w:pPr>
              <w:jc w:val="center"/>
              <w:rPr>
                <w:color w:val="000000"/>
              </w:rPr>
            </w:pPr>
            <w:r w:rsidRPr="00637BB8">
              <w:rPr>
                <w:color w:val="000000"/>
              </w:rPr>
              <w:t>1.02</w:t>
            </w:r>
          </w:p>
        </w:tc>
        <w:tc>
          <w:tcPr>
            <w:tcW w:w="1134" w:type="dxa"/>
            <w:tcBorders>
              <w:top w:val="nil"/>
              <w:left w:val="nil"/>
              <w:bottom w:val="nil"/>
              <w:right w:val="nil"/>
            </w:tcBorders>
            <w:shd w:val="clear" w:color="auto" w:fill="auto"/>
            <w:noWrap/>
            <w:vAlign w:val="center"/>
            <w:hideMark/>
          </w:tcPr>
          <w:p w14:paraId="66765895" w14:textId="77777777" w:rsidR="00FE4655" w:rsidRPr="00637BB8" w:rsidRDefault="00FE4655" w:rsidP="000349D5">
            <w:pPr>
              <w:jc w:val="center"/>
              <w:rPr>
                <w:color w:val="000000"/>
              </w:rPr>
            </w:pPr>
            <w:r w:rsidRPr="00637BB8">
              <w:rPr>
                <w:color w:val="000000"/>
              </w:rPr>
              <w:t>1.05</w:t>
            </w:r>
          </w:p>
        </w:tc>
        <w:tc>
          <w:tcPr>
            <w:tcW w:w="992" w:type="dxa"/>
            <w:tcBorders>
              <w:top w:val="nil"/>
              <w:left w:val="nil"/>
              <w:bottom w:val="nil"/>
              <w:right w:val="nil"/>
            </w:tcBorders>
            <w:shd w:val="clear" w:color="auto" w:fill="auto"/>
            <w:noWrap/>
            <w:vAlign w:val="center"/>
            <w:hideMark/>
          </w:tcPr>
          <w:p w14:paraId="65314429" w14:textId="77777777" w:rsidR="00FE4655" w:rsidRPr="00637BB8" w:rsidRDefault="00FE4655" w:rsidP="000349D5">
            <w:pPr>
              <w:jc w:val="center"/>
              <w:rPr>
                <w:color w:val="000000"/>
              </w:rPr>
            </w:pPr>
            <w:r w:rsidRPr="00637BB8">
              <w:rPr>
                <w:color w:val="000000"/>
              </w:rPr>
              <w:t>1.09</w:t>
            </w:r>
          </w:p>
        </w:tc>
        <w:tc>
          <w:tcPr>
            <w:tcW w:w="992" w:type="dxa"/>
            <w:tcBorders>
              <w:top w:val="nil"/>
              <w:left w:val="nil"/>
              <w:bottom w:val="nil"/>
              <w:right w:val="nil"/>
            </w:tcBorders>
            <w:shd w:val="clear" w:color="auto" w:fill="auto"/>
            <w:noWrap/>
            <w:vAlign w:val="center"/>
            <w:hideMark/>
          </w:tcPr>
          <w:p w14:paraId="2E10D8A6" w14:textId="77777777" w:rsidR="00FE4655" w:rsidRPr="00637BB8" w:rsidRDefault="00FE4655" w:rsidP="000349D5">
            <w:pPr>
              <w:jc w:val="center"/>
              <w:rPr>
                <w:color w:val="000000"/>
              </w:rPr>
            </w:pPr>
            <w:r w:rsidRPr="00637BB8">
              <w:rPr>
                <w:color w:val="000000"/>
              </w:rPr>
              <w:t>1.12</w:t>
            </w:r>
          </w:p>
        </w:tc>
        <w:tc>
          <w:tcPr>
            <w:tcW w:w="992" w:type="dxa"/>
            <w:tcBorders>
              <w:top w:val="nil"/>
              <w:left w:val="nil"/>
              <w:bottom w:val="nil"/>
              <w:right w:val="nil"/>
            </w:tcBorders>
            <w:shd w:val="clear" w:color="auto" w:fill="auto"/>
            <w:noWrap/>
            <w:vAlign w:val="center"/>
            <w:hideMark/>
          </w:tcPr>
          <w:p w14:paraId="57542687" w14:textId="77777777" w:rsidR="00FE4655" w:rsidRPr="00637BB8" w:rsidRDefault="00FE4655" w:rsidP="000349D5">
            <w:pPr>
              <w:jc w:val="center"/>
              <w:rPr>
                <w:color w:val="000000"/>
              </w:rPr>
            </w:pPr>
            <w:r w:rsidRPr="00637BB8">
              <w:rPr>
                <w:color w:val="000000"/>
              </w:rPr>
              <w:t>1.16</w:t>
            </w:r>
          </w:p>
        </w:tc>
        <w:tc>
          <w:tcPr>
            <w:tcW w:w="993" w:type="dxa"/>
            <w:tcBorders>
              <w:top w:val="nil"/>
              <w:left w:val="nil"/>
              <w:bottom w:val="nil"/>
              <w:right w:val="nil"/>
            </w:tcBorders>
            <w:shd w:val="clear" w:color="auto" w:fill="auto"/>
            <w:noWrap/>
            <w:vAlign w:val="center"/>
            <w:hideMark/>
          </w:tcPr>
          <w:p w14:paraId="5256FB28" w14:textId="77777777" w:rsidR="00FE4655" w:rsidRPr="00637BB8" w:rsidRDefault="00FE4655" w:rsidP="000349D5">
            <w:pPr>
              <w:jc w:val="center"/>
              <w:rPr>
                <w:color w:val="000000"/>
              </w:rPr>
            </w:pPr>
            <w:r w:rsidRPr="00637BB8">
              <w:rPr>
                <w:color w:val="000000"/>
              </w:rPr>
              <w:t>1.20</w:t>
            </w:r>
          </w:p>
        </w:tc>
      </w:tr>
      <w:tr w:rsidR="00FE4655" w:rsidRPr="00637BB8" w14:paraId="69E66C4D"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63498EE4" w14:textId="77777777" w:rsidR="00FE4655" w:rsidRPr="00637BB8" w:rsidRDefault="00FE4655" w:rsidP="000349D5">
            <w:pPr>
              <w:jc w:val="center"/>
              <w:rPr>
                <w:color w:val="000000"/>
              </w:rPr>
            </w:pPr>
            <w:r w:rsidRPr="00637BB8">
              <w:rPr>
                <w:color w:val="000000"/>
              </w:rPr>
              <w:t>21</w:t>
            </w:r>
          </w:p>
        </w:tc>
        <w:tc>
          <w:tcPr>
            <w:tcW w:w="992" w:type="dxa"/>
            <w:tcBorders>
              <w:top w:val="nil"/>
              <w:left w:val="nil"/>
              <w:bottom w:val="nil"/>
              <w:right w:val="nil"/>
            </w:tcBorders>
            <w:shd w:val="clear" w:color="auto" w:fill="auto"/>
            <w:noWrap/>
            <w:vAlign w:val="center"/>
            <w:hideMark/>
          </w:tcPr>
          <w:p w14:paraId="17FBBBCA" w14:textId="77777777" w:rsidR="00FE4655" w:rsidRPr="00637BB8" w:rsidRDefault="00FE4655" w:rsidP="000349D5">
            <w:pPr>
              <w:jc w:val="center"/>
              <w:rPr>
                <w:color w:val="000000"/>
              </w:rPr>
            </w:pPr>
            <w:r w:rsidRPr="00637BB8">
              <w:rPr>
                <w:color w:val="000000"/>
              </w:rPr>
              <w:t>0.93</w:t>
            </w:r>
          </w:p>
        </w:tc>
        <w:tc>
          <w:tcPr>
            <w:tcW w:w="992" w:type="dxa"/>
            <w:tcBorders>
              <w:top w:val="nil"/>
              <w:left w:val="nil"/>
              <w:bottom w:val="nil"/>
              <w:right w:val="nil"/>
            </w:tcBorders>
            <w:shd w:val="clear" w:color="auto" w:fill="auto"/>
            <w:noWrap/>
            <w:vAlign w:val="center"/>
            <w:hideMark/>
          </w:tcPr>
          <w:p w14:paraId="2F5FEAA2" w14:textId="77777777" w:rsidR="00FE4655" w:rsidRPr="00637BB8" w:rsidRDefault="00FE4655" w:rsidP="000349D5">
            <w:pPr>
              <w:jc w:val="center"/>
              <w:rPr>
                <w:color w:val="000000"/>
              </w:rPr>
            </w:pPr>
            <w:r w:rsidRPr="00637BB8">
              <w:rPr>
                <w:color w:val="000000"/>
              </w:rPr>
              <w:t>0.95</w:t>
            </w:r>
          </w:p>
        </w:tc>
        <w:tc>
          <w:tcPr>
            <w:tcW w:w="992" w:type="dxa"/>
            <w:tcBorders>
              <w:top w:val="nil"/>
              <w:left w:val="nil"/>
              <w:bottom w:val="nil"/>
              <w:right w:val="nil"/>
            </w:tcBorders>
            <w:shd w:val="clear" w:color="auto" w:fill="auto"/>
            <w:noWrap/>
            <w:vAlign w:val="center"/>
            <w:hideMark/>
          </w:tcPr>
          <w:p w14:paraId="0DB90FD0" w14:textId="77777777" w:rsidR="00FE4655" w:rsidRPr="00637BB8" w:rsidRDefault="00FE4655" w:rsidP="000349D5">
            <w:pPr>
              <w:jc w:val="center"/>
              <w:rPr>
                <w:color w:val="000000"/>
              </w:rPr>
            </w:pPr>
            <w:r w:rsidRPr="00637BB8">
              <w:rPr>
                <w:color w:val="000000"/>
              </w:rPr>
              <w:t>0.99</w:t>
            </w:r>
          </w:p>
        </w:tc>
        <w:tc>
          <w:tcPr>
            <w:tcW w:w="993" w:type="dxa"/>
            <w:tcBorders>
              <w:top w:val="nil"/>
              <w:left w:val="nil"/>
              <w:bottom w:val="nil"/>
              <w:right w:val="nil"/>
            </w:tcBorders>
            <w:shd w:val="clear" w:color="auto" w:fill="auto"/>
            <w:noWrap/>
            <w:vAlign w:val="center"/>
            <w:hideMark/>
          </w:tcPr>
          <w:p w14:paraId="0FA05291" w14:textId="77777777" w:rsidR="00FE4655" w:rsidRPr="00637BB8" w:rsidRDefault="00FE4655" w:rsidP="000349D5">
            <w:pPr>
              <w:jc w:val="center"/>
              <w:rPr>
                <w:color w:val="000000"/>
              </w:rPr>
            </w:pPr>
            <w:r w:rsidRPr="00637BB8">
              <w:rPr>
                <w:color w:val="000000"/>
              </w:rPr>
              <w:t>1.02</w:t>
            </w:r>
          </w:p>
        </w:tc>
        <w:tc>
          <w:tcPr>
            <w:tcW w:w="1134" w:type="dxa"/>
            <w:tcBorders>
              <w:top w:val="nil"/>
              <w:left w:val="nil"/>
              <w:bottom w:val="nil"/>
              <w:right w:val="nil"/>
            </w:tcBorders>
            <w:shd w:val="clear" w:color="auto" w:fill="auto"/>
            <w:noWrap/>
            <w:vAlign w:val="center"/>
            <w:hideMark/>
          </w:tcPr>
          <w:p w14:paraId="148C3A67" w14:textId="77777777" w:rsidR="00FE4655" w:rsidRPr="00637BB8" w:rsidRDefault="00FE4655" w:rsidP="000349D5">
            <w:pPr>
              <w:jc w:val="center"/>
              <w:rPr>
                <w:color w:val="000000"/>
              </w:rPr>
            </w:pPr>
            <w:r w:rsidRPr="00637BB8">
              <w:rPr>
                <w:color w:val="000000"/>
              </w:rPr>
              <w:t>1.05</w:t>
            </w:r>
          </w:p>
        </w:tc>
        <w:tc>
          <w:tcPr>
            <w:tcW w:w="992" w:type="dxa"/>
            <w:tcBorders>
              <w:top w:val="nil"/>
              <w:left w:val="nil"/>
              <w:bottom w:val="nil"/>
              <w:right w:val="nil"/>
            </w:tcBorders>
            <w:shd w:val="clear" w:color="auto" w:fill="auto"/>
            <w:noWrap/>
            <w:vAlign w:val="center"/>
            <w:hideMark/>
          </w:tcPr>
          <w:p w14:paraId="62A93DF5" w14:textId="77777777" w:rsidR="00FE4655" w:rsidRPr="00637BB8" w:rsidRDefault="00FE4655" w:rsidP="000349D5">
            <w:pPr>
              <w:jc w:val="center"/>
              <w:rPr>
                <w:color w:val="000000"/>
              </w:rPr>
            </w:pPr>
            <w:r w:rsidRPr="00637BB8">
              <w:rPr>
                <w:color w:val="000000"/>
              </w:rPr>
              <w:t>1.09</w:t>
            </w:r>
          </w:p>
        </w:tc>
        <w:tc>
          <w:tcPr>
            <w:tcW w:w="992" w:type="dxa"/>
            <w:tcBorders>
              <w:top w:val="nil"/>
              <w:left w:val="nil"/>
              <w:bottom w:val="nil"/>
              <w:right w:val="nil"/>
            </w:tcBorders>
            <w:shd w:val="clear" w:color="auto" w:fill="auto"/>
            <w:noWrap/>
            <w:vAlign w:val="center"/>
            <w:hideMark/>
          </w:tcPr>
          <w:p w14:paraId="11BAD738" w14:textId="77777777" w:rsidR="00FE4655" w:rsidRPr="00637BB8" w:rsidRDefault="00FE4655" w:rsidP="000349D5">
            <w:pPr>
              <w:jc w:val="center"/>
              <w:rPr>
                <w:color w:val="000000"/>
              </w:rPr>
            </w:pPr>
            <w:r w:rsidRPr="00637BB8">
              <w:rPr>
                <w:color w:val="000000"/>
              </w:rPr>
              <w:t>1.13</w:t>
            </w:r>
          </w:p>
        </w:tc>
        <w:tc>
          <w:tcPr>
            <w:tcW w:w="992" w:type="dxa"/>
            <w:tcBorders>
              <w:top w:val="nil"/>
              <w:left w:val="nil"/>
              <w:bottom w:val="nil"/>
              <w:right w:val="nil"/>
            </w:tcBorders>
            <w:shd w:val="clear" w:color="auto" w:fill="auto"/>
            <w:noWrap/>
            <w:vAlign w:val="center"/>
            <w:hideMark/>
          </w:tcPr>
          <w:p w14:paraId="47DF3272" w14:textId="77777777" w:rsidR="00FE4655" w:rsidRPr="00637BB8" w:rsidRDefault="00FE4655" w:rsidP="000349D5">
            <w:pPr>
              <w:jc w:val="center"/>
              <w:rPr>
                <w:color w:val="000000"/>
              </w:rPr>
            </w:pPr>
            <w:r w:rsidRPr="00637BB8">
              <w:rPr>
                <w:color w:val="000000"/>
              </w:rPr>
              <w:t>1.18</w:t>
            </w:r>
          </w:p>
        </w:tc>
        <w:tc>
          <w:tcPr>
            <w:tcW w:w="993" w:type="dxa"/>
            <w:tcBorders>
              <w:top w:val="nil"/>
              <w:left w:val="nil"/>
              <w:bottom w:val="nil"/>
              <w:right w:val="nil"/>
            </w:tcBorders>
            <w:shd w:val="clear" w:color="auto" w:fill="auto"/>
            <w:noWrap/>
            <w:vAlign w:val="center"/>
            <w:hideMark/>
          </w:tcPr>
          <w:p w14:paraId="589F149B" w14:textId="77777777" w:rsidR="00FE4655" w:rsidRPr="00637BB8" w:rsidRDefault="00FE4655" w:rsidP="000349D5">
            <w:pPr>
              <w:jc w:val="center"/>
              <w:rPr>
                <w:color w:val="000000"/>
              </w:rPr>
            </w:pPr>
            <w:r w:rsidRPr="00637BB8">
              <w:rPr>
                <w:color w:val="000000"/>
              </w:rPr>
              <w:t>1.22</w:t>
            </w:r>
          </w:p>
        </w:tc>
      </w:tr>
      <w:tr w:rsidR="00FE4655" w:rsidRPr="00637BB8" w14:paraId="0D8C5EB3"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47D5B8B0" w14:textId="77777777" w:rsidR="00FE4655" w:rsidRPr="00637BB8" w:rsidRDefault="00FE4655" w:rsidP="000349D5">
            <w:pPr>
              <w:jc w:val="center"/>
              <w:rPr>
                <w:color w:val="000000"/>
              </w:rPr>
            </w:pPr>
            <w:r w:rsidRPr="00637BB8">
              <w:rPr>
                <w:color w:val="000000"/>
              </w:rPr>
              <w:t>23</w:t>
            </w:r>
          </w:p>
        </w:tc>
        <w:tc>
          <w:tcPr>
            <w:tcW w:w="992" w:type="dxa"/>
            <w:tcBorders>
              <w:top w:val="nil"/>
              <w:left w:val="nil"/>
              <w:bottom w:val="nil"/>
              <w:right w:val="nil"/>
            </w:tcBorders>
            <w:shd w:val="clear" w:color="auto" w:fill="auto"/>
            <w:noWrap/>
            <w:vAlign w:val="center"/>
            <w:hideMark/>
          </w:tcPr>
          <w:p w14:paraId="6D1B154C" w14:textId="77777777" w:rsidR="00FE4655" w:rsidRPr="00637BB8" w:rsidRDefault="00FE4655" w:rsidP="000349D5">
            <w:pPr>
              <w:jc w:val="center"/>
              <w:rPr>
                <w:color w:val="000000"/>
              </w:rPr>
            </w:pPr>
            <w:r w:rsidRPr="00637BB8">
              <w:rPr>
                <w:color w:val="000000"/>
              </w:rPr>
              <w:t>0.93</w:t>
            </w:r>
          </w:p>
        </w:tc>
        <w:tc>
          <w:tcPr>
            <w:tcW w:w="992" w:type="dxa"/>
            <w:tcBorders>
              <w:top w:val="nil"/>
              <w:left w:val="nil"/>
              <w:bottom w:val="nil"/>
              <w:right w:val="nil"/>
            </w:tcBorders>
            <w:shd w:val="clear" w:color="auto" w:fill="auto"/>
            <w:noWrap/>
            <w:vAlign w:val="center"/>
            <w:hideMark/>
          </w:tcPr>
          <w:p w14:paraId="430CEAE3" w14:textId="77777777" w:rsidR="00FE4655" w:rsidRPr="00637BB8" w:rsidRDefault="00FE4655" w:rsidP="000349D5">
            <w:pPr>
              <w:jc w:val="center"/>
              <w:rPr>
                <w:color w:val="000000"/>
              </w:rPr>
            </w:pPr>
            <w:r w:rsidRPr="00637BB8">
              <w:rPr>
                <w:color w:val="000000"/>
              </w:rPr>
              <w:t>0.95</w:t>
            </w:r>
          </w:p>
        </w:tc>
        <w:tc>
          <w:tcPr>
            <w:tcW w:w="992" w:type="dxa"/>
            <w:tcBorders>
              <w:top w:val="nil"/>
              <w:left w:val="nil"/>
              <w:bottom w:val="nil"/>
              <w:right w:val="nil"/>
            </w:tcBorders>
            <w:shd w:val="clear" w:color="auto" w:fill="auto"/>
            <w:noWrap/>
            <w:vAlign w:val="center"/>
            <w:hideMark/>
          </w:tcPr>
          <w:p w14:paraId="619BDE0E" w14:textId="77777777" w:rsidR="00FE4655" w:rsidRPr="00637BB8" w:rsidRDefault="00FE4655" w:rsidP="000349D5">
            <w:pPr>
              <w:jc w:val="center"/>
              <w:rPr>
                <w:color w:val="000000"/>
              </w:rPr>
            </w:pPr>
            <w:r w:rsidRPr="00637BB8">
              <w:rPr>
                <w:color w:val="000000"/>
              </w:rPr>
              <w:t>0.98</w:t>
            </w:r>
          </w:p>
        </w:tc>
        <w:tc>
          <w:tcPr>
            <w:tcW w:w="993" w:type="dxa"/>
            <w:tcBorders>
              <w:top w:val="nil"/>
              <w:left w:val="nil"/>
              <w:bottom w:val="nil"/>
              <w:right w:val="nil"/>
            </w:tcBorders>
            <w:shd w:val="clear" w:color="auto" w:fill="auto"/>
            <w:noWrap/>
            <w:vAlign w:val="center"/>
            <w:hideMark/>
          </w:tcPr>
          <w:p w14:paraId="33A2A5E3" w14:textId="77777777" w:rsidR="00FE4655" w:rsidRPr="00637BB8" w:rsidRDefault="00FE4655" w:rsidP="000349D5">
            <w:pPr>
              <w:jc w:val="center"/>
              <w:rPr>
                <w:color w:val="000000"/>
              </w:rPr>
            </w:pPr>
            <w:r w:rsidRPr="00637BB8">
              <w:rPr>
                <w:color w:val="000000"/>
              </w:rPr>
              <w:t>1.02</w:t>
            </w:r>
          </w:p>
        </w:tc>
        <w:tc>
          <w:tcPr>
            <w:tcW w:w="1134" w:type="dxa"/>
            <w:tcBorders>
              <w:top w:val="nil"/>
              <w:left w:val="nil"/>
              <w:bottom w:val="nil"/>
              <w:right w:val="nil"/>
            </w:tcBorders>
            <w:shd w:val="clear" w:color="auto" w:fill="auto"/>
            <w:noWrap/>
            <w:vAlign w:val="center"/>
            <w:hideMark/>
          </w:tcPr>
          <w:p w14:paraId="01C2D766" w14:textId="77777777" w:rsidR="00FE4655" w:rsidRPr="00637BB8" w:rsidRDefault="00FE4655" w:rsidP="000349D5">
            <w:pPr>
              <w:jc w:val="center"/>
              <w:rPr>
                <w:color w:val="000000"/>
              </w:rPr>
            </w:pPr>
            <w:r w:rsidRPr="00637BB8">
              <w:rPr>
                <w:color w:val="000000"/>
              </w:rPr>
              <w:t>1.05</w:t>
            </w:r>
          </w:p>
        </w:tc>
        <w:tc>
          <w:tcPr>
            <w:tcW w:w="992" w:type="dxa"/>
            <w:tcBorders>
              <w:top w:val="nil"/>
              <w:left w:val="nil"/>
              <w:bottom w:val="nil"/>
              <w:right w:val="nil"/>
            </w:tcBorders>
            <w:shd w:val="clear" w:color="auto" w:fill="auto"/>
            <w:noWrap/>
            <w:vAlign w:val="center"/>
            <w:hideMark/>
          </w:tcPr>
          <w:p w14:paraId="2ACE270B" w14:textId="77777777" w:rsidR="00FE4655" w:rsidRPr="00637BB8" w:rsidRDefault="00FE4655" w:rsidP="000349D5">
            <w:pPr>
              <w:jc w:val="center"/>
              <w:rPr>
                <w:color w:val="000000"/>
              </w:rPr>
            </w:pPr>
            <w:r w:rsidRPr="00637BB8">
              <w:rPr>
                <w:color w:val="000000"/>
              </w:rPr>
              <w:t>1.09</w:t>
            </w:r>
          </w:p>
        </w:tc>
        <w:tc>
          <w:tcPr>
            <w:tcW w:w="992" w:type="dxa"/>
            <w:tcBorders>
              <w:top w:val="nil"/>
              <w:left w:val="nil"/>
              <w:bottom w:val="nil"/>
              <w:right w:val="nil"/>
            </w:tcBorders>
            <w:shd w:val="clear" w:color="auto" w:fill="auto"/>
            <w:noWrap/>
            <w:vAlign w:val="center"/>
            <w:hideMark/>
          </w:tcPr>
          <w:p w14:paraId="41BC934F" w14:textId="77777777" w:rsidR="00FE4655" w:rsidRPr="00637BB8" w:rsidRDefault="00FE4655" w:rsidP="000349D5">
            <w:pPr>
              <w:jc w:val="center"/>
              <w:rPr>
                <w:color w:val="000000"/>
              </w:rPr>
            </w:pPr>
            <w:r w:rsidRPr="00637BB8">
              <w:rPr>
                <w:color w:val="000000"/>
              </w:rPr>
              <w:t>1.13</w:t>
            </w:r>
          </w:p>
        </w:tc>
        <w:tc>
          <w:tcPr>
            <w:tcW w:w="992" w:type="dxa"/>
            <w:tcBorders>
              <w:top w:val="nil"/>
              <w:left w:val="nil"/>
              <w:bottom w:val="nil"/>
              <w:right w:val="nil"/>
            </w:tcBorders>
            <w:shd w:val="clear" w:color="auto" w:fill="auto"/>
            <w:noWrap/>
            <w:vAlign w:val="center"/>
            <w:hideMark/>
          </w:tcPr>
          <w:p w14:paraId="7A6C2506" w14:textId="77777777" w:rsidR="00FE4655" w:rsidRPr="00637BB8" w:rsidRDefault="00FE4655" w:rsidP="000349D5">
            <w:pPr>
              <w:jc w:val="center"/>
              <w:rPr>
                <w:color w:val="000000"/>
              </w:rPr>
            </w:pPr>
            <w:r w:rsidRPr="00637BB8">
              <w:rPr>
                <w:color w:val="000000"/>
              </w:rPr>
              <w:t>1.18</w:t>
            </w:r>
          </w:p>
        </w:tc>
        <w:tc>
          <w:tcPr>
            <w:tcW w:w="993" w:type="dxa"/>
            <w:tcBorders>
              <w:top w:val="nil"/>
              <w:left w:val="nil"/>
              <w:bottom w:val="nil"/>
              <w:right w:val="nil"/>
            </w:tcBorders>
            <w:shd w:val="clear" w:color="auto" w:fill="auto"/>
            <w:noWrap/>
            <w:vAlign w:val="center"/>
            <w:hideMark/>
          </w:tcPr>
          <w:p w14:paraId="21D54387" w14:textId="77777777" w:rsidR="00FE4655" w:rsidRPr="00637BB8" w:rsidRDefault="00FE4655" w:rsidP="000349D5">
            <w:pPr>
              <w:jc w:val="center"/>
              <w:rPr>
                <w:color w:val="000000"/>
              </w:rPr>
            </w:pPr>
            <w:r w:rsidRPr="00637BB8">
              <w:rPr>
                <w:color w:val="000000"/>
              </w:rPr>
              <w:t>1.23</w:t>
            </w:r>
          </w:p>
        </w:tc>
      </w:tr>
      <w:tr w:rsidR="00FE4655" w:rsidRPr="00637BB8" w14:paraId="577B008B"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5D19A589" w14:textId="77777777" w:rsidR="00FE4655" w:rsidRPr="00637BB8" w:rsidRDefault="00FE4655" w:rsidP="000349D5">
            <w:pPr>
              <w:jc w:val="center"/>
              <w:rPr>
                <w:color w:val="000000"/>
              </w:rPr>
            </w:pPr>
            <w:r w:rsidRPr="00637BB8">
              <w:rPr>
                <w:color w:val="000000"/>
              </w:rPr>
              <w:t>25</w:t>
            </w:r>
          </w:p>
        </w:tc>
        <w:tc>
          <w:tcPr>
            <w:tcW w:w="992" w:type="dxa"/>
            <w:tcBorders>
              <w:top w:val="nil"/>
              <w:left w:val="nil"/>
              <w:bottom w:val="nil"/>
              <w:right w:val="nil"/>
            </w:tcBorders>
            <w:shd w:val="clear" w:color="auto" w:fill="auto"/>
            <w:noWrap/>
            <w:vAlign w:val="center"/>
            <w:hideMark/>
          </w:tcPr>
          <w:p w14:paraId="3BF04E90" w14:textId="77777777" w:rsidR="00FE4655" w:rsidRPr="00637BB8" w:rsidRDefault="00FE4655" w:rsidP="000349D5">
            <w:pPr>
              <w:jc w:val="center"/>
              <w:rPr>
                <w:color w:val="000000"/>
              </w:rPr>
            </w:pPr>
            <w:r w:rsidRPr="00637BB8">
              <w:rPr>
                <w:color w:val="000000"/>
              </w:rPr>
              <w:t>0.93</w:t>
            </w:r>
          </w:p>
        </w:tc>
        <w:tc>
          <w:tcPr>
            <w:tcW w:w="992" w:type="dxa"/>
            <w:tcBorders>
              <w:top w:val="nil"/>
              <w:left w:val="nil"/>
              <w:bottom w:val="nil"/>
              <w:right w:val="nil"/>
            </w:tcBorders>
            <w:shd w:val="clear" w:color="auto" w:fill="auto"/>
            <w:noWrap/>
            <w:vAlign w:val="center"/>
            <w:hideMark/>
          </w:tcPr>
          <w:p w14:paraId="0D02C355" w14:textId="77777777" w:rsidR="00FE4655" w:rsidRPr="00637BB8" w:rsidRDefault="00FE4655" w:rsidP="000349D5">
            <w:pPr>
              <w:jc w:val="center"/>
              <w:rPr>
                <w:color w:val="000000"/>
              </w:rPr>
            </w:pPr>
            <w:r w:rsidRPr="00637BB8">
              <w:rPr>
                <w:color w:val="000000"/>
              </w:rPr>
              <w:t>0.95</w:t>
            </w:r>
          </w:p>
        </w:tc>
        <w:tc>
          <w:tcPr>
            <w:tcW w:w="992" w:type="dxa"/>
            <w:tcBorders>
              <w:top w:val="nil"/>
              <w:left w:val="nil"/>
              <w:bottom w:val="nil"/>
              <w:right w:val="nil"/>
            </w:tcBorders>
            <w:shd w:val="clear" w:color="auto" w:fill="auto"/>
            <w:noWrap/>
            <w:vAlign w:val="center"/>
            <w:hideMark/>
          </w:tcPr>
          <w:p w14:paraId="3E0C3F43" w14:textId="77777777" w:rsidR="00FE4655" w:rsidRPr="00637BB8" w:rsidRDefault="00FE4655" w:rsidP="000349D5">
            <w:pPr>
              <w:jc w:val="center"/>
              <w:rPr>
                <w:color w:val="000000"/>
              </w:rPr>
            </w:pPr>
            <w:r w:rsidRPr="00637BB8">
              <w:rPr>
                <w:color w:val="000000"/>
              </w:rPr>
              <w:t>0.98</w:t>
            </w:r>
          </w:p>
        </w:tc>
        <w:tc>
          <w:tcPr>
            <w:tcW w:w="993" w:type="dxa"/>
            <w:tcBorders>
              <w:top w:val="nil"/>
              <w:left w:val="nil"/>
              <w:bottom w:val="nil"/>
              <w:right w:val="nil"/>
            </w:tcBorders>
            <w:shd w:val="clear" w:color="auto" w:fill="auto"/>
            <w:noWrap/>
            <w:vAlign w:val="center"/>
            <w:hideMark/>
          </w:tcPr>
          <w:p w14:paraId="76E3CDB2" w14:textId="77777777" w:rsidR="00FE4655" w:rsidRPr="00637BB8" w:rsidRDefault="00FE4655" w:rsidP="000349D5">
            <w:pPr>
              <w:jc w:val="center"/>
              <w:rPr>
                <w:color w:val="000000"/>
              </w:rPr>
            </w:pPr>
            <w:r w:rsidRPr="00637BB8">
              <w:rPr>
                <w:color w:val="000000"/>
              </w:rPr>
              <w:t>1.01</w:t>
            </w:r>
          </w:p>
        </w:tc>
        <w:tc>
          <w:tcPr>
            <w:tcW w:w="1134" w:type="dxa"/>
            <w:tcBorders>
              <w:top w:val="nil"/>
              <w:left w:val="nil"/>
              <w:bottom w:val="nil"/>
              <w:right w:val="nil"/>
            </w:tcBorders>
            <w:shd w:val="clear" w:color="auto" w:fill="auto"/>
            <w:noWrap/>
            <w:vAlign w:val="center"/>
            <w:hideMark/>
          </w:tcPr>
          <w:p w14:paraId="1C571622" w14:textId="77777777" w:rsidR="00FE4655" w:rsidRPr="00637BB8" w:rsidRDefault="00FE4655" w:rsidP="000349D5">
            <w:pPr>
              <w:jc w:val="center"/>
              <w:rPr>
                <w:color w:val="000000"/>
              </w:rPr>
            </w:pPr>
            <w:r w:rsidRPr="00637BB8">
              <w:rPr>
                <w:color w:val="000000"/>
              </w:rPr>
              <w:t>1.05</w:t>
            </w:r>
          </w:p>
        </w:tc>
        <w:tc>
          <w:tcPr>
            <w:tcW w:w="992" w:type="dxa"/>
            <w:tcBorders>
              <w:top w:val="nil"/>
              <w:left w:val="nil"/>
              <w:bottom w:val="nil"/>
              <w:right w:val="nil"/>
            </w:tcBorders>
            <w:shd w:val="clear" w:color="auto" w:fill="auto"/>
            <w:noWrap/>
            <w:vAlign w:val="center"/>
            <w:hideMark/>
          </w:tcPr>
          <w:p w14:paraId="53F8E28E" w14:textId="77777777" w:rsidR="00FE4655" w:rsidRPr="00637BB8" w:rsidRDefault="00FE4655" w:rsidP="000349D5">
            <w:pPr>
              <w:jc w:val="center"/>
              <w:rPr>
                <w:color w:val="000000"/>
              </w:rPr>
            </w:pPr>
            <w:r w:rsidRPr="00637BB8">
              <w:rPr>
                <w:color w:val="000000"/>
              </w:rPr>
              <w:t>1.08</w:t>
            </w:r>
          </w:p>
        </w:tc>
        <w:tc>
          <w:tcPr>
            <w:tcW w:w="992" w:type="dxa"/>
            <w:tcBorders>
              <w:top w:val="nil"/>
              <w:left w:val="nil"/>
              <w:bottom w:val="nil"/>
              <w:right w:val="nil"/>
            </w:tcBorders>
            <w:shd w:val="clear" w:color="auto" w:fill="auto"/>
            <w:noWrap/>
            <w:vAlign w:val="center"/>
            <w:hideMark/>
          </w:tcPr>
          <w:p w14:paraId="0E183103" w14:textId="77777777" w:rsidR="00FE4655" w:rsidRPr="00637BB8" w:rsidRDefault="00FE4655" w:rsidP="000349D5">
            <w:pPr>
              <w:jc w:val="center"/>
              <w:rPr>
                <w:color w:val="000000"/>
              </w:rPr>
            </w:pPr>
            <w:r w:rsidRPr="00637BB8">
              <w:rPr>
                <w:color w:val="000000"/>
              </w:rPr>
              <w:t>1.12</w:t>
            </w:r>
          </w:p>
        </w:tc>
        <w:tc>
          <w:tcPr>
            <w:tcW w:w="992" w:type="dxa"/>
            <w:tcBorders>
              <w:top w:val="nil"/>
              <w:left w:val="nil"/>
              <w:bottom w:val="nil"/>
              <w:right w:val="nil"/>
            </w:tcBorders>
            <w:shd w:val="clear" w:color="auto" w:fill="auto"/>
            <w:noWrap/>
            <w:vAlign w:val="center"/>
            <w:hideMark/>
          </w:tcPr>
          <w:p w14:paraId="511D083F" w14:textId="77777777" w:rsidR="00FE4655" w:rsidRPr="00637BB8" w:rsidRDefault="00FE4655" w:rsidP="000349D5">
            <w:pPr>
              <w:jc w:val="center"/>
              <w:rPr>
                <w:color w:val="000000"/>
              </w:rPr>
            </w:pPr>
            <w:r w:rsidRPr="00637BB8">
              <w:rPr>
                <w:color w:val="000000"/>
              </w:rPr>
              <w:t>1.17</w:t>
            </w:r>
          </w:p>
        </w:tc>
        <w:tc>
          <w:tcPr>
            <w:tcW w:w="993" w:type="dxa"/>
            <w:tcBorders>
              <w:top w:val="nil"/>
              <w:left w:val="nil"/>
              <w:bottom w:val="nil"/>
              <w:right w:val="nil"/>
            </w:tcBorders>
            <w:shd w:val="clear" w:color="auto" w:fill="auto"/>
            <w:noWrap/>
            <w:vAlign w:val="center"/>
            <w:hideMark/>
          </w:tcPr>
          <w:p w14:paraId="61D22FA7" w14:textId="77777777" w:rsidR="00FE4655" w:rsidRPr="00637BB8" w:rsidRDefault="00FE4655" w:rsidP="000349D5">
            <w:pPr>
              <w:jc w:val="center"/>
              <w:rPr>
                <w:color w:val="000000"/>
              </w:rPr>
            </w:pPr>
            <w:r w:rsidRPr="00637BB8">
              <w:rPr>
                <w:color w:val="000000"/>
              </w:rPr>
              <w:t>1.21</w:t>
            </w:r>
          </w:p>
        </w:tc>
      </w:tr>
      <w:tr w:rsidR="00FE4655" w:rsidRPr="00637BB8" w14:paraId="6636AA30"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24D0BD66" w14:textId="77777777" w:rsidR="00FE4655" w:rsidRPr="00637BB8" w:rsidRDefault="00FE4655" w:rsidP="000349D5">
            <w:pPr>
              <w:jc w:val="center"/>
              <w:rPr>
                <w:color w:val="000000"/>
              </w:rPr>
            </w:pPr>
            <w:r w:rsidRPr="00637BB8">
              <w:rPr>
                <w:color w:val="000000"/>
              </w:rPr>
              <w:t>27</w:t>
            </w:r>
          </w:p>
        </w:tc>
        <w:tc>
          <w:tcPr>
            <w:tcW w:w="992" w:type="dxa"/>
            <w:tcBorders>
              <w:top w:val="nil"/>
              <w:left w:val="nil"/>
              <w:bottom w:val="nil"/>
              <w:right w:val="nil"/>
            </w:tcBorders>
            <w:shd w:val="clear" w:color="auto" w:fill="auto"/>
            <w:noWrap/>
            <w:vAlign w:val="center"/>
            <w:hideMark/>
          </w:tcPr>
          <w:p w14:paraId="76FEB0EB" w14:textId="77777777" w:rsidR="00FE4655" w:rsidRPr="00637BB8" w:rsidRDefault="00FE4655" w:rsidP="000349D5">
            <w:pPr>
              <w:jc w:val="center"/>
              <w:rPr>
                <w:color w:val="000000"/>
              </w:rPr>
            </w:pPr>
            <w:r w:rsidRPr="00637BB8">
              <w:rPr>
                <w:color w:val="000000"/>
              </w:rPr>
              <w:t>0.94</w:t>
            </w:r>
          </w:p>
        </w:tc>
        <w:tc>
          <w:tcPr>
            <w:tcW w:w="992" w:type="dxa"/>
            <w:tcBorders>
              <w:top w:val="nil"/>
              <w:left w:val="nil"/>
              <w:bottom w:val="nil"/>
              <w:right w:val="nil"/>
            </w:tcBorders>
            <w:shd w:val="clear" w:color="auto" w:fill="auto"/>
            <w:noWrap/>
            <w:vAlign w:val="center"/>
            <w:hideMark/>
          </w:tcPr>
          <w:p w14:paraId="23D6106C" w14:textId="77777777" w:rsidR="00FE4655" w:rsidRPr="00637BB8" w:rsidRDefault="00FE4655" w:rsidP="000349D5">
            <w:pPr>
              <w:jc w:val="center"/>
              <w:rPr>
                <w:color w:val="000000"/>
              </w:rPr>
            </w:pPr>
            <w:r w:rsidRPr="00637BB8">
              <w:rPr>
                <w:color w:val="000000"/>
              </w:rPr>
              <w:t>0.96</w:t>
            </w:r>
          </w:p>
        </w:tc>
        <w:tc>
          <w:tcPr>
            <w:tcW w:w="992" w:type="dxa"/>
            <w:tcBorders>
              <w:top w:val="nil"/>
              <w:left w:val="nil"/>
              <w:bottom w:val="nil"/>
              <w:right w:val="nil"/>
            </w:tcBorders>
            <w:shd w:val="clear" w:color="auto" w:fill="auto"/>
            <w:noWrap/>
            <w:vAlign w:val="center"/>
            <w:hideMark/>
          </w:tcPr>
          <w:p w14:paraId="6640CC2F" w14:textId="77777777" w:rsidR="00FE4655" w:rsidRPr="00637BB8" w:rsidRDefault="00FE4655" w:rsidP="000349D5">
            <w:pPr>
              <w:jc w:val="center"/>
              <w:rPr>
                <w:color w:val="000000"/>
              </w:rPr>
            </w:pPr>
            <w:r w:rsidRPr="00637BB8">
              <w:rPr>
                <w:color w:val="000000"/>
              </w:rPr>
              <w:t>0.99</w:t>
            </w:r>
          </w:p>
        </w:tc>
        <w:tc>
          <w:tcPr>
            <w:tcW w:w="993" w:type="dxa"/>
            <w:tcBorders>
              <w:top w:val="nil"/>
              <w:left w:val="nil"/>
              <w:bottom w:val="nil"/>
              <w:right w:val="nil"/>
            </w:tcBorders>
            <w:shd w:val="clear" w:color="auto" w:fill="auto"/>
            <w:noWrap/>
            <w:vAlign w:val="center"/>
            <w:hideMark/>
          </w:tcPr>
          <w:p w14:paraId="5EE615D1" w14:textId="77777777" w:rsidR="00FE4655" w:rsidRPr="00637BB8" w:rsidRDefault="00FE4655" w:rsidP="000349D5">
            <w:pPr>
              <w:jc w:val="center"/>
              <w:rPr>
                <w:color w:val="000000"/>
              </w:rPr>
            </w:pPr>
            <w:r w:rsidRPr="00637BB8">
              <w:rPr>
                <w:color w:val="000000"/>
              </w:rPr>
              <w:t>1.02</w:t>
            </w:r>
          </w:p>
        </w:tc>
        <w:tc>
          <w:tcPr>
            <w:tcW w:w="1134" w:type="dxa"/>
            <w:tcBorders>
              <w:top w:val="nil"/>
              <w:left w:val="nil"/>
              <w:bottom w:val="nil"/>
              <w:right w:val="nil"/>
            </w:tcBorders>
            <w:shd w:val="clear" w:color="auto" w:fill="auto"/>
            <w:noWrap/>
            <w:vAlign w:val="center"/>
            <w:hideMark/>
          </w:tcPr>
          <w:p w14:paraId="3BDFDE99" w14:textId="77777777" w:rsidR="00FE4655" w:rsidRPr="00637BB8" w:rsidRDefault="00FE4655" w:rsidP="000349D5">
            <w:pPr>
              <w:jc w:val="center"/>
              <w:rPr>
                <w:color w:val="000000"/>
              </w:rPr>
            </w:pPr>
            <w:r w:rsidRPr="00637BB8">
              <w:rPr>
                <w:color w:val="000000"/>
              </w:rPr>
              <w:t>1.05</w:t>
            </w:r>
          </w:p>
        </w:tc>
        <w:tc>
          <w:tcPr>
            <w:tcW w:w="992" w:type="dxa"/>
            <w:tcBorders>
              <w:top w:val="nil"/>
              <w:left w:val="nil"/>
              <w:bottom w:val="nil"/>
              <w:right w:val="nil"/>
            </w:tcBorders>
            <w:shd w:val="clear" w:color="auto" w:fill="auto"/>
            <w:noWrap/>
            <w:vAlign w:val="center"/>
            <w:hideMark/>
          </w:tcPr>
          <w:p w14:paraId="166B6E19" w14:textId="77777777" w:rsidR="00FE4655" w:rsidRPr="00637BB8" w:rsidRDefault="00FE4655" w:rsidP="000349D5">
            <w:pPr>
              <w:jc w:val="center"/>
              <w:rPr>
                <w:color w:val="000000"/>
              </w:rPr>
            </w:pPr>
            <w:r w:rsidRPr="00637BB8">
              <w:rPr>
                <w:color w:val="000000"/>
              </w:rPr>
              <w:t>1.08</w:t>
            </w:r>
          </w:p>
        </w:tc>
        <w:tc>
          <w:tcPr>
            <w:tcW w:w="992" w:type="dxa"/>
            <w:tcBorders>
              <w:top w:val="nil"/>
              <w:left w:val="nil"/>
              <w:bottom w:val="nil"/>
              <w:right w:val="nil"/>
            </w:tcBorders>
            <w:shd w:val="clear" w:color="auto" w:fill="auto"/>
            <w:noWrap/>
            <w:vAlign w:val="center"/>
            <w:hideMark/>
          </w:tcPr>
          <w:p w14:paraId="326B78BE" w14:textId="77777777" w:rsidR="00FE4655" w:rsidRPr="00637BB8" w:rsidRDefault="00FE4655" w:rsidP="000349D5">
            <w:pPr>
              <w:jc w:val="center"/>
              <w:rPr>
                <w:color w:val="000000"/>
              </w:rPr>
            </w:pPr>
            <w:r w:rsidRPr="00637BB8">
              <w:rPr>
                <w:color w:val="000000"/>
              </w:rPr>
              <w:t>1.12</w:t>
            </w:r>
          </w:p>
        </w:tc>
        <w:tc>
          <w:tcPr>
            <w:tcW w:w="992" w:type="dxa"/>
            <w:tcBorders>
              <w:top w:val="nil"/>
              <w:left w:val="nil"/>
              <w:bottom w:val="nil"/>
              <w:right w:val="nil"/>
            </w:tcBorders>
            <w:shd w:val="clear" w:color="auto" w:fill="auto"/>
            <w:noWrap/>
            <w:vAlign w:val="center"/>
            <w:hideMark/>
          </w:tcPr>
          <w:p w14:paraId="6003EBAF" w14:textId="77777777" w:rsidR="00FE4655" w:rsidRPr="00637BB8" w:rsidRDefault="00FE4655" w:rsidP="000349D5">
            <w:pPr>
              <w:jc w:val="center"/>
              <w:rPr>
                <w:color w:val="000000"/>
              </w:rPr>
            </w:pPr>
            <w:r w:rsidRPr="00637BB8">
              <w:rPr>
                <w:color w:val="000000"/>
              </w:rPr>
              <w:t>1.16</w:t>
            </w:r>
          </w:p>
        </w:tc>
        <w:tc>
          <w:tcPr>
            <w:tcW w:w="993" w:type="dxa"/>
            <w:tcBorders>
              <w:top w:val="nil"/>
              <w:left w:val="nil"/>
              <w:bottom w:val="nil"/>
              <w:right w:val="nil"/>
            </w:tcBorders>
            <w:shd w:val="clear" w:color="auto" w:fill="auto"/>
            <w:noWrap/>
            <w:vAlign w:val="center"/>
            <w:hideMark/>
          </w:tcPr>
          <w:p w14:paraId="1175908A" w14:textId="77777777" w:rsidR="00FE4655" w:rsidRPr="00637BB8" w:rsidRDefault="00FE4655" w:rsidP="000349D5">
            <w:pPr>
              <w:jc w:val="center"/>
              <w:rPr>
                <w:color w:val="000000"/>
              </w:rPr>
            </w:pPr>
            <w:r w:rsidRPr="00637BB8">
              <w:rPr>
                <w:color w:val="000000"/>
              </w:rPr>
              <w:t>1.21</w:t>
            </w:r>
          </w:p>
        </w:tc>
      </w:tr>
      <w:tr w:rsidR="00FE4655" w:rsidRPr="00637BB8" w14:paraId="3381CF3A" w14:textId="77777777" w:rsidTr="000349D5">
        <w:trPr>
          <w:trHeight w:val="320"/>
          <w:jc w:val="center"/>
        </w:trPr>
        <w:tc>
          <w:tcPr>
            <w:tcW w:w="993" w:type="dxa"/>
            <w:tcBorders>
              <w:top w:val="nil"/>
              <w:left w:val="nil"/>
              <w:right w:val="nil"/>
            </w:tcBorders>
            <w:shd w:val="clear" w:color="auto" w:fill="auto"/>
            <w:noWrap/>
            <w:vAlign w:val="center"/>
            <w:hideMark/>
          </w:tcPr>
          <w:p w14:paraId="5A2BEC25" w14:textId="77777777" w:rsidR="00FE4655" w:rsidRPr="00637BB8" w:rsidRDefault="00FE4655" w:rsidP="000349D5">
            <w:pPr>
              <w:jc w:val="center"/>
              <w:rPr>
                <w:color w:val="000000"/>
              </w:rPr>
            </w:pPr>
            <w:r w:rsidRPr="00637BB8">
              <w:rPr>
                <w:color w:val="000000"/>
              </w:rPr>
              <w:t>29</w:t>
            </w:r>
          </w:p>
        </w:tc>
        <w:tc>
          <w:tcPr>
            <w:tcW w:w="992" w:type="dxa"/>
            <w:tcBorders>
              <w:top w:val="nil"/>
              <w:left w:val="nil"/>
              <w:right w:val="nil"/>
            </w:tcBorders>
            <w:shd w:val="clear" w:color="auto" w:fill="auto"/>
            <w:noWrap/>
            <w:vAlign w:val="center"/>
            <w:hideMark/>
          </w:tcPr>
          <w:p w14:paraId="620F392E" w14:textId="77777777" w:rsidR="00FE4655" w:rsidRPr="00637BB8" w:rsidRDefault="00FE4655" w:rsidP="000349D5">
            <w:pPr>
              <w:jc w:val="center"/>
              <w:rPr>
                <w:color w:val="000000"/>
              </w:rPr>
            </w:pPr>
            <w:r w:rsidRPr="00637BB8">
              <w:rPr>
                <w:color w:val="000000"/>
              </w:rPr>
              <w:t>0.95</w:t>
            </w:r>
          </w:p>
        </w:tc>
        <w:tc>
          <w:tcPr>
            <w:tcW w:w="992" w:type="dxa"/>
            <w:tcBorders>
              <w:top w:val="nil"/>
              <w:left w:val="nil"/>
              <w:right w:val="nil"/>
            </w:tcBorders>
            <w:shd w:val="clear" w:color="auto" w:fill="auto"/>
            <w:noWrap/>
            <w:vAlign w:val="center"/>
            <w:hideMark/>
          </w:tcPr>
          <w:p w14:paraId="7D118F92" w14:textId="77777777" w:rsidR="00FE4655" w:rsidRPr="00637BB8" w:rsidRDefault="00FE4655" w:rsidP="000349D5">
            <w:pPr>
              <w:jc w:val="center"/>
              <w:rPr>
                <w:color w:val="000000"/>
              </w:rPr>
            </w:pPr>
            <w:r w:rsidRPr="00637BB8">
              <w:rPr>
                <w:color w:val="000000"/>
              </w:rPr>
              <w:t>0.98</w:t>
            </w:r>
          </w:p>
        </w:tc>
        <w:tc>
          <w:tcPr>
            <w:tcW w:w="992" w:type="dxa"/>
            <w:tcBorders>
              <w:top w:val="nil"/>
              <w:left w:val="nil"/>
              <w:right w:val="nil"/>
            </w:tcBorders>
            <w:shd w:val="clear" w:color="auto" w:fill="auto"/>
            <w:noWrap/>
            <w:vAlign w:val="center"/>
            <w:hideMark/>
          </w:tcPr>
          <w:p w14:paraId="25BDC987" w14:textId="77777777" w:rsidR="00FE4655" w:rsidRPr="00637BB8" w:rsidRDefault="00FE4655" w:rsidP="000349D5">
            <w:pPr>
              <w:jc w:val="center"/>
              <w:rPr>
                <w:color w:val="000000"/>
              </w:rPr>
            </w:pPr>
            <w:r w:rsidRPr="00637BB8">
              <w:rPr>
                <w:color w:val="000000"/>
              </w:rPr>
              <w:t>1.00</w:t>
            </w:r>
          </w:p>
        </w:tc>
        <w:tc>
          <w:tcPr>
            <w:tcW w:w="993" w:type="dxa"/>
            <w:tcBorders>
              <w:top w:val="nil"/>
              <w:left w:val="nil"/>
              <w:right w:val="nil"/>
            </w:tcBorders>
            <w:shd w:val="clear" w:color="auto" w:fill="auto"/>
            <w:noWrap/>
            <w:vAlign w:val="center"/>
            <w:hideMark/>
          </w:tcPr>
          <w:p w14:paraId="7CE912AF" w14:textId="77777777" w:rsidR="00FE4655" w:rsidRPr="00637BB8" w:rsidRDefault="00FE4655" w:rsidP="000349D5">
            <w:pPr>
              <w:jc w:val="center"/>
              <w:rPr>
                <w:color w:val="000000"/>
              </w:rPr>
            </w:pPr>
            <w:r w:rsidRPr="00637BB8">
              <w:rPr>
                <w:color w:val="000000"/>
              </w:rPr>
              <w:t>1.03</w:t>
            </w:r>
          </w:p>
        </w:tc>
        <w:tc>
          <w:tcPr>
            <w:tcW w:w="1134" w:type="dxa"/>
            <w:tcBorders>
              <w:top w:val="nil"/>
              <w:left w:val="nil"/>
              <w:right w:val="nil"/>
            </w:tcBorders>
            <w:shd w:val="clear" w:color="auto" w:fill="auto"/>
            <w:noWrap/>
            <w:vAlign w:val="center"/>
            <w:hideMark/>
          </w:tcPr>
          <w:p w14:paraId="147ED131" w14:textId="77777777" w:rsidR="00FE4655" w:rsidRPr="00637BB8" w:rsidRDefault="00FE4655" w:rsidP="000349D5">
            <w:pPr>
              <w:jc w:val="center"/>
              <w:rPr>
                <w:color w:val="000000"/>
              </w:rPr>
            </w:pPr>
            <w:r w:rsidRPr="00637BB8">
              <w:rPr>
                <w:color w:val="000000"/>
              </w:rPr>
              <w:t>1.06</w:t>
            </w:r>
          </w:p>
        </w:tc>
        <w:tc>
          <w:tcPr>
            <w:tcW w:w="992" w:type="dxa"/>
            <w:tcBorders>
              <w:top w:val="nil"/>
              <w:left w:val="nil"/>
              <w:right w:val="nil"/>
            </w:tcBorders>
            <w:shd w:val="clear" w:color="auto" w:fill="auto"/>
            <w:noWrap/>
            <w:vAlign w:val="center"/>
            <w:hideMark/>
          </w:tcPr>
          <w:p w14:paraId="602C03F7" w14:textId="77777777" w:rsidR="00FE4655" w:rsidRPr="00637BB8" w:rsidRDefault="00FE4655" w:rsidP="000349D5">
            <w:pPr>
              <w:jc w:val="center"/>
              <w:rPr>
                <w:color w:val="000000"/>
              </w:rPr>
            </w:pPr>
            <w:r w:rsidRPr="00637BB8">
              <w:rPr>
                <w:color w:val="000000"/>
              </w:rPr>
              <w:t>1.10</w:t>
            </w:r>
          </w:p>
        </w:tc>
        <w:tc>
          <w:tcPr>
            <w:tcW w:w="992" w:type="dxa"/>
            <w:tcBorders>
              <w:top w:val="nil"/>
              <w:left w:val="nil"/>
              <w:right w:val="nil"/>
            </w:tcBorders>
            <w:shd w:val="clear" w:color="auto" w:fill="auto"/>
            <w:noWrap/>
            <w:vAlign w:val="center"/>
            <w:hideMark/>
          </w:tcPr>
          <w:p w14:paraId="13A0F94B" w14:textId="77777777" w:rsidR="00FE4655" w:rsidRPr="00637BB8" w:rsidRDefault="00FE4655" w:rsidP="000349D5">
            <w:pPr>
              <w:jc w:val="center"/>
              <w:rPr>
                <w:color w:val="000000"/>
              </w:rPr>
            </w:pPr>
            <w:r w:rsidRPr="00637BB8">
              <w:rPr>
                <w:color w:val="000000"/>
              </w:rPr>
              <w:t>1.13</w:t>
            </w:r>
          </w:p>
        </w:tc>
        <w:tc>
          <w:tcPr>
            <w:tcW w:w="992" w:type="dxa"/>
            <w:tcBorders>
              <w:top w:val="nil"/>
              <w:left w:val="nil"/>
              <w:right w:val="nil"/>
            </w:tcBorders>
            <w:shd w:val="clear" w:color="auto" w:fill="auto"/>
            <w:noWrap/>
            <w:vAlign w:val="center"/>
            <w:hideMark/>
          </w:tcPr>
          <w:p w14:paraId="21886E91" w14:textId="77777777" w:rsidR="00FE4655" w:rsidRPr="00637BB8" w:rsidRDefault="00FE4655" w:rsidP="000349D5">
            <w:pPr>
              <w:jc w:val="center"/>
              <w:rPr>
                <w:color w:val="000000"/>
              </w:rPr>
            </w:pPr>
            <w:r w:rsidRPr="00637BB8">
              <w:rPr>
                <w:color w:val="000000"/>
              </w:rPr>
              <w:t>1.18</w:t>
            </w:r>
          </w:p>
        </w:tc>
        <w:tc>
          <w:tcPr>
            <w:tcW w:w="993" w:type="dxa"/>
            <w:tcBorders>
              <w:top w:val="nil"/>
              <w:left w:val="nil"/>
              <w:right w:val="nil"/>
            </w:tcBorders>
            <w:shd w:val="clear" w:color="auto" w:fill="auto"/>
            <w:noWrap/>
            <w:vAlign w:val="center"/>
            <w:hideMark/>
          </w:tcPr>
          <w:p w14:paraId="0A066C9F" w14:textId="77777777" w:rsidR="00FE4655" w:rsidRPr="00637BB8" w:rsidRDefault="00FE4655" w:rsidP="000349D5">
            <w:pPr>
              <w:jc w:val="center"/>
              <w:rPr>
                <w:color w:val="000000"/>
              </w:rPr>
            </w:pPr>
            <w:r w:rsidRPr="00637BB8">
              <w:rPr>
                <w:color w:val="000000"/>
              </w:rPr>
              <w:t>1.21</w:t>
            </w:r>
          </w:p>
        </w:tc>
      </w:tr>
      <w:tr w:rsidR="00FE4655" w:rsidRPr="00637BB8" w14:paraId="5B600F46" w14:textId="77777777" w:rsidTr="000349D5">
        <w:trPr>
          <w:trHeight w:val="320"/>
          <w:jc w:val="center"/>
        </w:trPr>
        <w:tc>
          <w:tcPr>
            <w:tcW w:w="10065" w:type="dxa"/>
            <w:gridSpan w:val="10"/>
            <w:tcBorders>
              <w:top w:val="single" w:sz="4" w:space="0" w:color="auto"/>
              <w:left w:val="nil"/>
              <w:right w:val="nil"/>
            </w:tcBorders>
            <w:shd w:val="clear" w:color="auto" w:fill="auto"/>
            <w:noWrap/>
            <w:vAlign w:val="center"/>
          </w:tcPr>
          <w:p w14:paraId="15F7B825" w14:textId="77777777" w:rsidR="00FE4655" w:rsidRPr="00637BB8" w:rsidRDefault="00FE4655" w:rsidP="000349D5">
            <w:pPr>
              <w:rPr>
                <w:color w:val="000000"/>
              </w:rPr>
            </w:pPr>
            <w:bookmarkStart w:id="4" w:name="OLE_LINK3"/>
            <w:bookmarkStart w:id="5" w:name="OLE_LINK4"/>
            <w:bookmarkStart w:id="6" w:name="OLE_LINK5"/>
            <w:r>
              <w:rPr>
                <w:color w:val="000000"/>
              </w:rPr>
              <w:t xml:space="preserve">Age range: 12.7 years to 36.0 years. </w:t>
            </w:r>
            <w:r w:rsidRPr="00637BB8">
              <w:rPr>
                <w:color w:val="000000"/>
              </w:rPr>
              <w:t>Sparse data for chronological age &gt; 25 years</w:t>
            </w:r>
            <w:bookmarkEnd w:id="4"/>
            <w:bookmarkEnd w:id="5"/>
            <w:bookmarkEnd w:id="6"/>
          </w:p>
        </w:tc>
      </w:tr>
    </w:tbl>
    <w:p w14:paraId="0F36D43D" w14:textId="77777777" w:rsidR="00FE4655" w:rsidRDefault="00FE4655" w:rsidP="00FE4655"/>
    <w:p w14:paraId="51BEC557" w14:textId="153C7D5D" w:rsidR="00FE4655" w:rsidRDefault="00FE4655" w:rsidP="00B227C8"/>
    <w:tbl>
      <w:tblPr>
        <w:tblW w:w="10065" w:type="dxa"/>
        <w:jc w:val="center"/>
        <w:tblLook w:val="04A0" w:firstRow="1" w:lastRow="0" w:firstColumn="1" w:lastColumn="0" w:noHBand="0" w:noVBand="1"/>
      </w:tblPr>
      <w:tblGrid>
        <w:gridCol w:w="993"/>
        <w:gridCol w:w="992"/>
        <w:gridCol w:w="992"/>
        <w:gridCol w:w="992"/>
        <w:gridCol w:w="993"/>
        <w:gridCol w:w="1134"/>
        <w:gridCol w:w="992"/>
        <w:gridCol w:w="992"/>
        <w:gridCol w:w="992"/>
        <w:gridCol w:w="993"/>
      </w:tblGrid>
      <w:tr w:rsidR="00FE4655" w:rsidRPr="00C41C59" w14:paraId="665682CE" w14:textId="77777777" w:rsidTr="000349D5">
        <w:trPr>
          <w:trHeight w:val="320"/>
          <w:jc w:val="center"/>
        </w:trPr>
        <w:tc>
          <w:tcPr>
            <w:tcW w:w="10065" w:type="dxa"/>
            <w:gridSpan w:val="10"/>
            <w:tcBorders>
              <w:top w:val="nil"/>
              <w:left w:val="nil"/>
              <w:bottom w:val="single" w:sz="4" w:space="0" w:color="auto"/>
              <w:right w:val="nil"/>
            </w:tcBorders>
            <w:shd w:val="clear" w:color="auto" w:fill="auto"/>
            <w:noWrap/>
            <w:vAlign w:val="center"/>
            <w:hideMark/>
          </w:tcPr>
          <w:p w14:paraId="561B09DF" w14:textId="77777777" w:rsidR="00FE4655" w:rsidRPr="00C41C59" w:rsidRDefault="00FE4655" w:rsidP="000349D5">
            <w:pPr>
              <w:rPr>
                <w:color w:val="000000"/>
              </w:rPr>
            </w:pPr>
            <w:r w:rsidRPr="00C41C59">
              <w:rPr>
                <w:b/>
                <w:bCs/>
                <w:color w:val="000000"/>
              </w:rPr>
              <w:t>Table 2</w:t>
            </w:r>
            <w:r w:rsidRPr="00C41C59">
              <w:rPr>
                <w:color w:val="000000"/>
              </w:rPr>
              <w:t>. Predicted reference centiles for 30-m sprinting time by chronological age (N=436, n=1327)</w:t>
            </w:r>
          </w:p>
        </w:tc>
      </w:tr>
      <w:tr w:rsidR="00FE4655" w:rsidRPr="00C41C59" w14:paraId="69D2F208" w14:textId="77777777" w:rsidTr="000349D5">
        <w:trPr>
          <w:trHeight w:val="320"/>
          <w:jc w:val="center"/>
        </w:trPr>
        <w:tc>
          <w:tcPr>
            <w:tcW w:w="993" w:type="dxa"/>
            <w:tcBorders>
              <w:top w:val="nil"/>
              <w:left w:val="nil"/>
              <w:bottom w:val="single" w:sz="4" w:space="0" w:color="auto"/>
              <w:right w:val="nil"/>
            </w:tcBorders>
            <w:shd w:val="clear" w:color="auto" w:fill="auto"/>
            <w:noWrap/>
            <w:vAlign w:val="center"/>
            <w:hideMark/>
          </w:tcPr>
          <w:p w14:paraId="1FE50E07" w14:textId="77777777" w:rsidR="00FE4655" w:rsidRPr="00C41C59" w:rsidRDefault="00FE4655" w:rsidP="000349D5">
            <w:pPr>
              <w:jc w:val="center"/>
              <w:rPr>
                <w:color w:val="000000"/>
              </w:rPr>
            </w:pPr>
            <w:r w:rsidRPr="00C41C59">
              <w:rPr>
                <w:color w:val="000000"/>
              </w:rPr>
              <w:t>Age</w:t>
            </w:r>
          </w:p>
        </w:tc>
        <w:tc>
          <w:tcPr>
            <w:tcW w:w="992" w:type="dxa"/>
            <w:tcBorders>
              <w:top w:val="nil"/>
              <w:left w:val="nil"/>
              <w:bottom w:val="single" w:sz="4" w:space="0" w:color="auto"/>
              <w:right w:val="nil"/>
            </w:tcBorders>
            <w:shd w:val="clear" w:color="auto" w:fill="auto"/>
            <w:noWrap/>
            <w:vAlign w:val="center"/>
            <w:hideMark/>
          </w:tcPr>
          <w:p w14:paraId="3157D951" w14:textId="77777777" w:rsidR="00FE4655" w:rsidRPr="00C41C59" w:rsidRDefault="00FE4655" w:rsidP="000349D5">
            <w:pPr>
              <w:jc w:val="center"/>
              <w:rPr>
                <w:color w:val="000000"/>
              </w:rPr>
            </w:pPr>
            <w:r w:rsidRPr="00C41C59">
              <w:rPr>
                <w:color w:val="000000"/>
              </w:rPr>
              <w:t>0.4</w:t>
            </w:r>
            <w:r w:rsidRPr="00C41C59">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1238C9CD" w14:textId="77777777" w:rsidR="00FE4655" w:rsidRPr="00C41C59" w:rsidRDefault="00FE4655" w:rsidP="000349D5">
            <w:pPr>
              <w:jc w:val="center"/>
              <w:rPr>
                <w:color w:val="000000"/>
              </w:rPr>
            </w:pPr>
            <w:r w:rsidRPr="00C41C59">
              <w:rPr>
                <w:color w:val="000000"/>
              </w:rPr>
              <w:t>2</w:t>
            </w:r>
            <w:r w:rsidRPr="00C41C59">
              <w:rPr>
                <w:color w:val="000000"/>
                <w:vertAlign w:val="superscript"/>
              </w:rPr>
              <w:t>nd</w:t>
            </w:r>
          </w:p>
        </w:tc>
        <w:tc>
          <w:tcPr>
            <w:tcW w:w="992" w:type="dxa"/>
            <w:tcBorders>
              <w:top w:val="nil"/>
              <w:left w:val="nil"/>
              <w:bottom w:val="single" w:sz="4" w:space="0" w:color="auto"/>
              <w:right w:val="nil"/>
            </w:tcBorders>
            <w:shd w:val="clear" w:color="auto" w:fill="auto"/>
            <w:noWrap/>
            <w:vAlign w:val="center"/>
            <w:hideMark/>
          </w:tcPr>
          <w:p w14:paraId="27A27AFE" w14:textId="77777777" w:rsidR="00FE4655" w:rsidRPr="00C41C59" w:rsidRDefault="00FE4655" w:rsidP="000349D5">
            <w:pPr>
              <w:jc w:val="center"/>
              <w:rPr>
                <w:color w:val="000000"/>
              </w:rPr>
            </w:pPr>
            <w:r w:rsidRPr="00C41C59">
              <w:rPr>
                <w:color w:val="000000"/>
              </w:rPr>
              <w:t>9</w:t>
            </w:r>
            <w:r w:rsidRPr="00C41C59">
              <w:rPr>
                <w:color w:val="000000"/>
                <w:vertAlign w:val="superscript"/>
              </w:rPr>
              <w:t>th</w:t>
            </w:r>
          </w:p>
        </w:tc>
        <w:tc>
          <w:tcPr>
            <w:tcW w:w="993" w:type="dxa"/>
            <w:tcBorders>
              <w:top w:val="nil"/>
              <w:left w:val="nil"/>
              <w:bottom w:val="single" w:sz="4" w:space="0" w:color="auto"/>
              <w:right w:val="nil"/>
            </w:tcBorders>
            <w:shd w:val="clear" w:color="auto" w:fill="auto"/>
            <w:noWrap/>
            <w:vAlign w:val="center"/>
            <w:hideMark/>
          </w:tcPr>
          <w:p w14:paraId="1F551A9F" w14:textId="77777777" w:rsidR="00FE4655" w:rsidRPr="00C41C59" w:rsidRDefault="00FE4655" w:rsidP="000349D5">
            <w:pPr>
              <w:jc w:val="center"/>
              <w:rPr>
                <w:color w:val="000000"/>
              </w:rPr>
            </w:pPr>
            <w:r w:rsidRPr="00C41C59">
              <w:rPr>
                <w:color w:val="000000"/>
              </w:rPr>
              <w:t>25</w:t>
            </w:r>
            <w:r w:rsidRPr="00C41C59">
              <w:rPr>
                <w:color w:val="000000"/>
                <w:vertAlign w:val="superscript"/>
              </w:rPr>
              <w:t>th</w:t>
            </w:r>
          </w:p>
        </w:tc>
        <w:tc>
          <w:tcPr>
            <w:tcW w:w="1134" w:type="dxa"/>
            <w:tcBorders>
              <w:top w:val="nil"/>
              <w:left w:val="nil"/>
              <w:bottom w:val="single" w:sz="4" w:space="0" w:color="auto"/>
              <w:right w:val="nil"/>
            </w:tcBorders>
            <w:shd w:val="clear" w:color="auto" w:fill="auto"/>
            <w:noWrap/>
            <w:vAlign w:val="center"/>
            <w:hideMark/>
          </w:tcPr>
          <w:p w14:paraId="1EEB1005" w14:textId="77777777" w:rsidR="00FE4655" w:rsidRPr="00C41C59" w:rsidRDefault="00FE4655" w:rsidP="000349D5">
            <w:pPr>
              <w:jc w:val="center"/>
              <w:rPr>
                <w:color w:val="000000"/>
              </w:rPr>
            </w:pPr>
            <w:r w:rsidRPr="00C41C59">
              <w:rPr>
                <w:color w:val="000000"/>
              </w:rPr>
              <w:t>50</w:t>
            </w:r>
            <w:r w:rsidRPr="00C41C59">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3AD24384" w14:textId="77777777" w:rsidR="00FE4655" w:rsidRPr="00C41C59" w:rsidRDefault="00FE4655" w:rsidP="000349D5">
            <w:pPr>
              <w:jc w:val="center"/>
              <w:rPr>
                <w:color w:val="000000"/>
              </w:rPr>
            </w:pPr>
            <w:r w:rsidRPr="00C41C59">
              <w:rPr>
                <w:color w:val="000000"/>
              </w:rPr>
              <w:t>75</w:t>
            </w:r>
            <w:r w:rsidRPr="00C41C59">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2F750588" w14:textId="77777777" w:rsidR="00FE4655" w:rsidRPr="00C41C59" w:rsidRDefault="00FE4655" w:rsidP="000349D5">
            <w:pPr>
              <w:jc w:val="center"/>
              <w:rPr>
                <w:color w:val="000000"/>
              </w:rPr>
            </w:pPr>
            <w:r w:rsidRPr="00C41C59">
              <w:rPr>
                <w:color w:val="000000"/>
              </w:rPr>
              <w:t>91</w:t>
            </w:r>
            <w:r w:rsidRPr="00C41C59">
              <w:rPr>
                <w:color w:val="000000"/>
                <w:vertAlign w:val="superscript"/>
              </w:rPr>
              <w:t>st</w:t>
            </w:r>
          </w:p>
        </w:tc>
        <w:tc>
          <w:tcPr>
            <w:tcW w:w="992" w:type="dxa"/>
            <w:tcBorders>
              <w:top w:val="nil"/>
              <w:left w:val="nil"/>
              <w:bottom w:val="single" w:sz="4" w:space="0" w:color="auto"/>
              <w:right w:val="nil"/>
            </w:tcBorders>
            <w:shd w:val="clear" w:color="auto" w:fill="auto"/>
            <w:noWrap/>
            <w:vAlign w:val="center"/>
            <w:hideMark/>
          </w:tcPr>
          <w:p w14:paraId="3761FF6F" w14:textId="77777777" w:rsidR="00FE4655" w:rsidRPr="00C41C59" w:rsidRDefault="00FE4655" w:rsidP="000349D5">
            <w:pPr>
              <w:jc w:val="center"/>
              <w:rPr>
                <w:color w:val="000000"/>
              </w:rPr>
            </w:pPr>
            <w:r w:rsidRPr="00C41C59">
              <w:rPr>
                <w:color w:val="000000"/>
              </w:rPr>
              <w:t>98</w:t>
            </w:r>
            <w:r w:rsidRPr="00C41C59">
              <w:rPr>
                <w:color w:val="000000"/>
                <w:vertAlign w:val="superscript"/>
              </w:rPr>
              <w:t>th</w:t>
            </w:r>
          </w:p>
        </w:tc>
        <w:tc>
          <w:tcPr>
            <w:tcW w:w="993" w:type="dxa"/>
            <w:tcBorders>
              <w:top w:val="nil"/>
              <w:left w:val="nil"/>
              <w:bottom w:val="single" w:sz="4" w:space="0" w:color="auto"/>
              <w:right w:val="nil"/>
            </w:tcBorders>
            <w:shd w:val="clear" w:color="auto" w:fill="auto"/>
            <w:noWrap/>
            <w:vAlign w:val="center"/>
            <w:hideMark/>
          </w:tcPr>
          <w:p w14:paraId="459114AC" w14:textId="77777777" w:rsidR="00FE4655" w:rsidRPr="00C41C59" w:rsidRDefault="00FE4655" w:rsidP="000349D5">
            <w:pPr>
              <w:jc w:val="center"/>
              <w:rPr>
                <w:color w:val="000000"/>
              </w:rPr>
            </w:pPr>
            <w:r w:rsidRPr="00C41C59">
              <w:rPr>
                <w:color w:val="000000"/>
              </w:rPr>
              <w:t>99.6</w:t>
            </w:r>
            <w:r w:rsidRPr="00C41C59">
              <w:rPr>
                <w:color w:val="000000"/>
                <w:vertAlign w:val="superscript"/>
              </w:rPr>
              <w:t>th</w:t>
            </w:r>
          </w:p>
        </w:tc>
      </w:tr>
      <w:tr w:rsidR="00FE4655" w:rsidRPr="00C41C59" w14:paraId="44CB5A54"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5C9C1E28" w14:textId="77777777" w:rsidR="00FE4655" w:rsidRPr="00C41C59" w:rsidRDefault="00FE4655" w:rsidP="000349D5">
            <w:pPr>
              <w:jc w:val="center"/>
              <w:rPr>
                <w:color w:val="000000"/>
              </w:rPr>
            </w:pPr>
            <w:r w:rsidRPr="00C41C59">
              <w:rPr>
                <w:color w:val="000000"/>
              </w:rPr>
              <w:t>13</w:t>
            </w:r>
          </w:p>
        </w:tc>
        <w:tc>
          <w:tcPr>
            <w:tcW w:w="992" w:type="dxa"/>
            <w:tcBorders>
              <w:top w:val="nil"/>
              <w:left w:val="nil"/>
              <w:bottom w:val="nil"/>
              <w:right w:val="nil"/>
            </w:tcBorders>
            <w:shd w:val="clear" w:color="auto" w:fill="auto"/>
            <w:noWrap/>
            <w:vAlign w:val="center"/>
            <w:hideMark/>
          </w:tcPr>
          <w:p w14:paraId="6C3DCB08" w14:textId="77777777" w:rsidR="00FE4655" w:rsidRPr="00C41C59" w:rsidRDefault="00FE4655" w:rsidP="000349D5">
            <w:pPr>
              <w:jc w:val="center"/>
              <w:rPr>
                <w:color w:val="000000"/>
              </w:rPr>
            </w:pPr>
            <w:r w:rsidRPr="00C41C59">
              <w:rPr>
                <w:color w:val="000000"/>
              </w:rPr>
              <w:t>4.28</w:t>
            </w:r>
          </w:p>
        </w:tc>
        <w:tc>
          <w:tcPr>
            <w:tcW w:w="992" w:type="dxa"/>
            <w:tcBorders>
              <w:top w:val="nil"/>
              <w:left w:val="nil"/>
              <w:bottom w:val="nil"/>
              <w:right w:val="nil"/>
            </w:tcBorders>
            <w:shd w:val="clear" w:color="auto" w:fill="auto"/>
            <w:noWrap/>
            <w:vAlign w:val="center"/>
            <w:hideMark/>
          </w:tcPr>
          <w:p w14:paraId="19A2DE55" w14:textId="77777777" w:rsidR="00FE4655" w:rsidRPr="00C41C59" w:rsidRDefault="00FE4655" w:rsidP="000349D5">
            <w:pPr>
              <w:jc w:val="center"/>
              <w:rPr>
                <w:color w:val="000000"/>
              </w:rPr>
            </w:pPr>
            <w:r w:rsidRPr="00C41C59">
              <w:rPr>
                <w:color w:val="000000"/>
              </w:rPr>
              <w:t>4.41</w:t>
            </w:r>
          </w:p>
        </w:tc>
        <w:tc>
          <w:tcPr>
            <w:tcW w:w="992" w:type="dxa"/>
            <w:tcBorders>
              <w:top w:val="nil"/>
              <w:left w:val="nil"/>
              <w:bottom w:val="nil"/>
              <w:right w:val="nil"/>
            </w:tcBorders>
            <w:shd w:val="clear" w:color="auto" w:fill="auto"/>
            <w:noWrap/>
            <w:vAlign w:val="center"/>
            <w:hideMark/>
          </w:tcPr>
          <w:p w14:paraId="18381010" w14:textId="77777777" w:rsidR="00FE4655" w:rsidRPr="00C41C59" w:rsidRDefault="00FE4655" w:rsidP="000349D5">
            <w:pPr>
              <w:jc w:val="center"/>
              <w:rPr>
                <w:color w:val="000000"/>
              </w:rPr>
            </w:pPr>
            <w:r w:rsidRPr="00C41C59">
              <w:rPr>
                <w:color w:val="000000"/>
              </w:rPr>
              <w:t>4.56</w:t>
            </w:r>
          </w:p>
        </w:tc>
        <w:tc>
          <w:tcPr>
            <w:tcW w:w="993" w:type="dxa"/>
            <w:tcBorders>
              <w:top w:val="nil"/>
              <w:left w:val="nil"/>
              <w:bottom w:val="nil"/>
              <w:right w:val="nil"/>
            </w:tcBorders>
            <w:shd w:val="clear" w:color="auto" w:fill="auto"/>
            <w:noWrap/>
            <w:vAlign w:val="center"/>
            <w:hideMark/>
          </w:tcPr>
          <w:p w14:paraId="39CCFD98" w14:textId="77777777" w:rsidR="00FE4655" w:rsidRPr="00C41C59" w:rsidRDefault="00FE4655" w:rsidP="000349D5">
            <w:pPr>
              <w:jc w:val="center"/>
              <w:rPr>
                <w:color w:val="000000"/>
              </w:rPr>
            </w:pPr>
            <w:r w:rsidRPr="00C41C59">
              <w:rPr>
                <w:color w:val="000000"/>
              </w:rPr>
              <w:t>4.70</w:t>
            </w:r>
          </w:p>
        </w:tc>
        <w:tc>
          <w:tcPr>
            <w:tcW w:w="1134" w:type="dxa"/>
            <w:tcBorders>
              <w:top w:val="nil"/>
              <w:left w:val="nil"/>
              <w:bottom w:val="nil"/>
              <w:right w:val="nil"/>
            </w:tcBorders>
            <w:shd w:val="clear" w:color="auto" w:fill="auto"/>
            <w:noWrap/>
            <w:vAlign w:val="center"/>
            <w:hideMark/>
          </w:tcPr>
          <w:p w14:paraId="08298A83" w14:textId="77777777" w:rsidR="00FE4655" w:rsidRPr="00C41C59" w:rsidRDefault="00FE4655" w:rsidP="000349D5">
            <w:pPr>
              <w:jc w:val="center"/>
              <w:rPr>
                <w:color w:val="000000"/>
              </w:rPr>
            </w:pPr>
            <w:r w:rsidRPr="00C41C59">
              <w:rPr>
                <w:color w:val="000000"/>
              </w:rPr>
              <w:t>4.85</w:t>
            </w:r>
          </w:p>
        </w:tc>
        <w:tc>
          <w:tcPr>
            <w:tcW w:w="992" w:type="dxa"/>
            <w:tcBorders>
              <w:top w:val="nil"/>
              <w:left w:val="nil"/>
              <w:bottom w:val="nil"/>
              <w:right w:val="nil"/>
            </w:tcBorders>
            <w:shd w:val="clear" w:color="auto" w:fill="auto"/>
            <w:noWrap/>
            <w:vAlign w:val="center"/>
            <w:hideMark/>
          </w:tcPr>
          <w:p w14:paraId="3CB37258" w14:textId="77777777" w:rsidR="00FE4655" w:rsidRPr="00C41C59" w:rsidRDefault="00FE4655" w:rsidP="000349D5">
            <w:pPr>
              <w:jc w:val="center"/>
              <w:rPr>
                <w:color w:val="000000"/>
              </w:rPr>
            </w:pPr>
            <w:r w:rsidRPr="00C41C59">
              <w:rPr>
                <w:color w:val="000000"/>
              </w:rPr>
              <w:t>5.00</w:t>
            </w:r>
          </w:p>
        </w:tc>
        <w:tc>
          <w:tcPr>
            <w:tcW w:w="992" w:type="dxa"/>
            <w:tcBorders>
              <w:top w:val="nil"/>
              <w:left w:val="nil"/>
              <w:bottom w:val="nil"/>
              <w:right w:val="nil"/>
            </w:tcBorders>
            <w:shd w:val="clear" w:color="auto" w:fill="auto"/>
            <w:noWrap/>
            <w:vAlign w:val="center"/>
            <w:hideMark/>
          </w:tcPr>
          <w:p w14:paraId="4B3680FF" w14:textId="77777777" w:rsidR="00FE4655" w:rsidRPr="00C41C59" w:rsidRDefault="00FE4655" w:rsidP="000349D5">
            <w:pPr>
              <w:jc w:val="center"/>
              <w:rPr>
                <w:color w:val="000000"/>
              </w:rPr>
            </w:pPr>
            <w:r w:rsidRPr="00C41C59">
              <w:rPr>
                <w:color w:val="000000"/>
              </w:rPr>
              <w:t>5.16</w:t>
            </w:r>
          </w:p>
        </w:tc>
        <w:tc>
          <w:tcPr>
            <w:tcW w:w="992" w:type="dxa"/>
            <w:tcBorders>
              <w:top w:val="nil"/>
              <w:left w:val="nil"/>
              <w:bottom w:val="nil"/>
              <w:right w:val="nil"/>
            </w:tcBorders>
            <w:shd w:val="clear" w:color="auto" w:fill="auto"/>
            <w:noWrap/>
            <w:vAlign w:val="center"/>
            <w:hideMark/>
          </w:tcPr>
          <w:p w14:paraId="04FF871D" w14:textId="77777777" w:rsidR="00FE4655" w:rsidRPr="00C41C59" w:rsidRDefault="00FE4655" w:rsidP="000349D5">
            <w:pPr>
              <w:jc w:val="center"/>
              <w:rPr>
                <w:color w:val="000000"/>
              </w:rPr>
            </w:pPr>
            <w:r w:rsidRPr="00C41C59">
              <w:rPr>
                <w:color w:val="000000"/>
              </w:rPr>
              <w:t>5.34</w:t>
            </w:r>
          </w:p>
        </w:tc>
        <w:tc>
          <w:tcPr>
            <w:tcW w:w="993" w:type="dxa"/>
            <w:tcBorders>
              <w:top w:val="nil"/>
              <w:left w:val="nil"/>
              <w:bottom w:val="nil"/>
              <w:right w:val="nil"/>
            </w:tcBorders>
            <w:shd w:val="clear" w:color="auto" w:fill="auto"/>
            <w:noWrap/>
            <w:vAlign w:val="center"/>
            <w:hideMark/>
          </w:tcPr>
          <w:p w14:paraId="59EF1A28" w14:textId="77777777" w:rsidR="00FE4655" w:rsidRPr="00C41C59" w:rsidRDefault="00FE4655" w:rsidP="000349D5">
            <w:pPr>
              <w:jc w:val="center"/>
              <w:rPr>
                <w:color w:val="000000"/>
              </w:rPr>
            </w:pPr>
            <w:r w:rsidRPr="00C41C59">
              <w:rPr>
                <w:color w:val="000000"/>
              </w:rPr>
              <w:t>5.51</w:t>
            </w:r>
          </w:p>
        </w:tc>
      </w:tr>
      <w:tr w:rsidR="00FE4655" w:rsidRPr="00C41C59" w14:paraId="6F89DBA3"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485534A3" w14:textId="77777777" w:rsidR="00FE4655" w:rsidRPr="00C41C59" w:rsidRDefault="00FE4655" w:rsidP="000349D5">
            <w:pPr>
              <w:jc w:val="center"/>
              <w:rPr>
                <w:color w:val="000000"/>
              </w:rPr>
            </w:pPr>
            <w:r w:rsidRPr="00C41C59">
              <w:rPr>
                <w:color w:val="000000"/>
              </w:rPr>
              <w:t>15</w:t>
            </w:r>
          </w:p>
        </w:tc>
        <w:tc>
          <w:tcPr>
            <w:tcW w:w="992" w:type="dxa"/>
            <w:tcBorders>
              <w:top w:val="nil"/>
              <w:left w:val="nil"/>
              <w:bottom w:val="nil"/>
              <w:right w:val="nil"/>
            </w:tcBorders>
            <w:shd w:val="clear" w:color="auto" w:fill="auto"/>
            <w:noWrap/>
            <w:vAlign w:val="center"/>
            <w:hideMark/>
          </w:tcPr>
          <w:p w14:paraId="07D12F2E" w14:textId="77777777" w:rsidR="00FE4655" w:rsidRPr="00C41C59" w:rsidRDefault="00FE4655" w:rsidP="000349D5">
            <w:pPr>
              <w:jc w:val="center"/>
              <w:rPr>
                <w:color w:val="000000"/>
              </w:rPr>
            </w:pPr>
            <w:r w:rsidRPr="00C41C59">
              <w:rPr>
                <w:color w:val="000000"/>
              </w:rPr>
              <w:t>4.19</w:t>
            </w:r>
          </w:p>
        </w:tc>
        <w:tc>
          <w:tcPr>
            <w:tcW w:w="992" w:type="dxa"/>
            <w:tcBorders>
              <w:top w:val="nil"/>
              <w:left w:val="nil"/>
              <w:bottom w:val="nil"/>
              <w:right w:val="nil"/>
            </w:tcBorders>
            <w:shd w:val="clear" w:color="auto" w:fill="auto"/>
            <w:noWrap/>
            <w:vAlign w:val="center"/>
            <w:hideMark/>
          </w:tcPr>
          <w:p w14:paraId="7F0BA2A4" w14:textId="77777777" w:rsidR="00FE4655" w:rsidRPr="00C41C59" w:rsidRDefault="00FE4655" w:rsidP="000349D5">
            <w:pPr>
              <w:jc w:val="center"/>
              <w:rPr>
                <w:color w:val="000000"/>
              </w:rPr>
            </w:pPr>
            <w:r w:rsidRPr="00C41C59">
              <w:rPr>
                <w:color w:val="000000"/>
              </w:rPr>
              <w:t>4.31</w:t>
            </w:r>
          </w:p>
        </w:tc>
        <w:tc>
          <w:tcPr>
            <w:tcW w:w="992" w:type="dxa"/>
            <w:tcBorders>
              <w:top w:val="nil"/>
              <w:left w:val="nil"/>
              <w:bottom w:val="nil"/>
              <w:right w:val="nil"/>
            </w:tcBorders>
            <w:shd w:val="clear" w:color="auto" w:fill="auto"/>
            <w:noWrap/>
            <w:vAlign w:val="center"/>
            <w:hideMark/>
          </w:tcPr>
          <w:p w14:paraId="7C6B70D9" w14:textId="77777777" w:rsidR="00FE4655" w:rsidRPr="00C41C59" w:rsidRDefault="00FE4655" w:rsidP="000349D5">
            <w:pPr>
              <w:jc w:val="center"/>
              <w:rPr>
                <w:color w:val="000000"/>
              </w:rPr>
            </w:pPr>
            <w:r w:rsidRPr="00C41C59">
              <w:rPr>
                <w:color w:val="000000"/>
              </w:rPr>
              <w:t>4.45</w:t>
            </w:r>
          </w:p>
        </w:tc>
        <w:tc>
          <w:tcPr>
            <w:tcW w:w="993" w:type="dxa"/>
            <w:tcBorders>
              <w:top w:val="nil"/>
              <w:left w:val="nil"/>
              <w:bottom w:val="nil"/>
              <w:right w:val="nil"/>
            </w:tcBorders>
            <w:shd w:val="clear" w:color="auto" w:fill="auto"/>
            <w:noWrap/>
            <w:vAlign w:val="center"/>
            <w:hideMark/>
          </w:tcPr>
          <w:p w14:paraId="40D53E07" w14:textId="77777777" w:rsidR="00FE4655" w:rsidRPr="00C41C59" w:rsidRDefault="00FE4655" w:rsidP="000349D5">
            <w:pPr>
              <w:jc w:val="center"/>
              <w:rPr>
                <w:color w:val="000000"/>
              </w:rPr>
            </w:pPr>
            <w:r w:rsidRPr="00C41C59">
              <w:rPr>
                <w:color w:val="000000"/>
              </w:rPr>
              <w:t>4.57</w:t>
            </w:r>
          </w:p>
        </w:tc>
        <w:tc>
          <w:tcPr>
            <w:tcW w:w="1134" w:type="dxa"/>
            <w:tcBorders>
              <w:top w:val="nil"/>
              <w:left w:val="nil"/>
              <w:bottom w:val="nil"/>
              <w:right w:val="nil"/>
            </w:tcBorders>
            <w:shd w:val="clear" w:color="auto" w:fill="auto"/>
            <w:noWrap/>
            <w:vAlign w:val="center"/>
            <w:hideMark/>
          </w:tcPr>
          <w:p w14:paraId="4FB95C7F" w14:textId="77777777" w:rsidR="00FE4655" w:rsidRPr="00C41C59" w:rsidRDefault="00FE4655" w:rsidP="000349D5">
            <w:pPr>
              <w:jc w:val="center"/>
              <w:rPr>
                <w:color w:val="000000"/>
              </w:rPr>
            </w:pPr>
            <w:r w:rsidRPr="00C41C59">
              <w:rPr>
                <w:color w:val="000000"/>
              </w:rPr>
              <w:t>4.71</w:t>
            </w:r>
          </w:p>
        </w:tc>
        <w:tc>
          <w:tcPr>
            <w:tcW w:w="992" w:type="dxa"/>
            <w:tcBorders>
              <w:top w:val="nil"/>
              <w:left w:val="nil"/>
              <w:bottom w:val="nil"/>
              <w:right w:val="nil"/>
            </w:tcBorders>
            <w:shd w:val="clear" w:color="auto" w:fill="auto"/>
            <w:noWrap/>
            <w:vAlign w:val="center"/>
            <w:hideMark/>
          </w:tcPr>
          <w:p w14:paraId="151E58B2" w14:textId="77777777" w:rsidR="00FE4655" w:rsidRPr="00C41C59" w:rsidRDefault="00FE4655" w:rsidP="000349D5">
            <w:pPr>
              <w:jc w:val="center"/>
              <w:rPr>
                <w:color w:val="000000"/>
              </w:rPr>
            </w:pPr>
            <w:r w:rsidRPr="00C41C59">
              <w:rPr>
                <w:color w:val="000000"/>
              </w:rPr>
              <w:t>4.85</w:t>
            </w:r>
          </w:p>
        </w:tc>
        <w:tc>
          <w:tcPr>
            <w:tcW w:w="992" w:type="dxa"/>
            <w:tcBorders>
              <w:top w:val="nil"/>
              <w:left w:val="nil"/>
              <w:bottom w:val="nil"/>
              <w:right w:val="nil"/>
            </w:tcBorders>
            <w:shd w:val="clear" w:color="auto" w:fill="auto"/>
            <w:noWrap/>
            <w:vAlign w:val="center"/>
            <w:hideMark/>
          </w:tcPr>
          <w:p w14:paraId="483D4F00" w14:textId="77777777" w:rsidR="00FE4655" w:rsidRPr="00C41C59" w:rsidRDefault="00FE4655" w:rsidP="000349D5">
            <w:pPr>
              <w:jc w:val="center"/>
              <w:rPr>
                <w:color w:val="000000"/>
              </w:rPr>
            </w:pPr>
            <w:r w:rsidRPr="00C41C59">
              <w:rPr>
                <w:color w:val="000000"/>
              </w:rPr>
              <w:t>4.99</w:t>
            </w:r>
          </w:p>
        </w:tc>
        <w:tc>
          <w:tcPr>
            <w:tcW w:w="992" w:type="dxa"/>
            <w:tcBorders>
              <w:top w:val="nil"/>
              <w:left w:val="nil"/>
              <w:bottom w:val="nil"/>
              <w:right w:val="nil"/>
            </w:tcBorders>
            <w:shd w:val="clear" w:color="auto" w:fill="auto"/>
            <w:noWrap/>
            <w:vAlign w:val="center"/>
            <w:hideMark/>
          </w:tcPr>
          <w:p w14:paraId="730C7E86" w14:textId="77777777" w:rsidR="00FE4655" w:rsidRPr="00C41C59" w:rsidRDefault="00FE4655" w:rsidP="000349D5">
            <w:pPr>
              <w:jc w:val="center"/>
              <w:rPr>
                <w:color w:val="000000"/>
              </w:rPr>
            </w:pPr>
            <w:r w:rsidRPr="00C41C59">
              <w:rPr>
                <w:color w:val="000000"/>
              </w:rPr>
              <w:t>5.16</w:t>
            </w:r>
          </w:p>
        </w:tc>
        <w:tc>
          <w:tcPr>
            <w:tcW w:w="993" w:type="dxa"/>
            <w:tcBorders>
              <w:top w:val="nil"/>
              <w:left w:val="nil"/>
              <w:bottom w:val="nil"/>
              <w:right w:val="nil"/>
            </w:tcBorders>
            <w:shd w:val="clear" w:color="auto" w:fill="auto"/>
            <w:noWrap/>
            <w:vAlign w:val="center"/>
            <w:hideMark/>
          </w:tcPr>
          <w:p w14:paraId="415EDE7B" w14:textId="77777777" w:rsidR="00FE4655" w:rsidRPr="00C41C59" w:rsidRDefault="00FE4655" w:rsidP="000349D5">
            <w:pPr>
              <w:jc w:val="center"/>
              <w:rPr>
                <w:color w:val="000000"/>
              </w:rPr>
            </w:pPr>
            <w:r w:rsidRPr="00C41C59">
              <w:rPr>
                <w:color w:val="000000"/>
              </w:rPr>
              <w:t>5.32</w:t>
            </w:r>
          </w:p>
        </w:tc>
      </w:tr>
      <w:tr w:rsidR="00FE4655" w:rsidRPr="00C41C59" w14:paraId="4544D59C"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16BBFCF2" w14:textId="77777777" w:rsidR="00FE4655" w:rsidRPr="00C41C59" w:rsidRDefault="00FE4655" w:rsidP="000349D5">
            <w:pPr>
              <w:jc w:val="center"/>
              <w:rPr>
                <w:color w:val="000000"/>
              </w:rPr>
            </w:pPr>
            <w:r w:rsidRPr="00C41C59">
              <w:rPr>
                <w:color w:val="000000"/>
              </w:rPr>
              <w:t>17</w:t>
            </w:r>
          </w:p>
        </w:tc>
        <w:tc>
          <w:tcPr>
            <w:tcW w:w="992" w:type="dxa"/>
            <w:tcBorders>
              <w:top w:val="nil"/>
              <w:left w:val="nil"/>
              <w:bottom w:val="nil"/>
              <w:right w:val="nil"/>
            </w:tcBorders>
            <w:shd w:val="clear" w:color="auto" w:fill="auto"/>
            <w:noWrap/>
            <w:vAlign w:val="center"/>
            <w:hideMark/>
          </w:tcPr>
          <w:p w14:paraId="44E385CA" w14:textId="77777777" w:rsidR="00FE4655" w:rsidRPr="00C41C59" w:rsidRDefault="00FE4655" w:rsidP="000349D5">
            <w:pPr>
              <w:jc w:val="center"/>
              <w:rPr>
                <w:color w:val="000000"/>
              </w:rPr>
            </w:pPr>
            <w:r w:rsidRPr="00C41C59">
              <w:rPr>
                <w:color w:val="000000"/>
              </w:rPr>
              <w:t>4.11</w:t>
            </w:r>
          </w:p>
        </w:tc>
        <w:tc>
          <w:tcPr>
            <w:tcW w:w="992" w:type="dxa"/>
            <w:tcBorders>
              <w:top w:val="nil"/>
              <w:left w:val="nil"/>
              <w:bottom w:val="nil"/>
              <w:right w:val="nil"/>
            </w:tcBorders>
            <w:shd w:val="clear" w:color="auto" w:fill="auto"/>
            <w:noWrap/>
            <w:vAlign w:val="center"/>
            <w:hideMark/>
          </w:tcPr>
          <w:p w14:paraId="679060DC" w14:textId="77777777" w:rsidR="00FE4655" w:rsidRPr="00C41C59" w:rsidRDefault="00FE4655" w:rsidP="000349D5">
            <w:pPr>
              <w:jc w:val="center"/>
              <w:rPr>
                <w:color w:val="000000"/>
              </w:rPr>
            </w:pPr>
            <w:r w:rsidRPr="00C41C59">
              <w:rPr>
                <w:color w:val="000000"/>
              </w:rPr>
              <w:t>4.22</w:t>
            </w:r>
          </w:p>
        </w:tc>
        <w:tc>
          <w:tcPr>
            <w:tcW w:w="992" w:type="dxa"/>
            <w:tcBorders>
              <w:top w:val="nil"/>
              <w:left w:val="nil"/>
              <w:bottom w:val="nil"/>
              <w:right w:val="nil"/>
            </w:tcBorders>
            <w:shd w:val="clear" w:color="auto" w:fill="auto"/>
            <w:noWrap/>
            <w:vAlign w:val="center"/>
            <w:hideMark/>
          </w:tcPr>
          <w:p w14:paraId="28E0C6E4" w14:textId="77777777" w:rsidR="00FE4655" w:rsidRPr="00C41C59" w:rsidRDefault="00FE4655" w:rsidP="000349D5">
            <w:pPr>
              <w:jc w:val="center"/>
              <w:rPr>
                <w:color w:val="000000"/>
              </w:rPr>
            </w:pPr>
            <w:r w:rsidRPr="00C41C59">
              <w:rPr>
                <w:color w:val="000000"/>
              </w:rPr>
              <w:t>4.34</w:t>
            </w:r>
          </w:p>
        </w:tc>
        <w:tc>
          <w:tcPr>
            <w:tcW w:w="993" w:type="dxa"/>
            <w:tcBorders>
              <w:top w:val="nil"/>
              <w:left w:val="nil"/>
              <w:bottom w:val="nil"/>
              <w:right w:val="nil"/>
            </w:tcBorders>
            <w:shd w:val="clear" w:color="auto" w:fill="auto"/>
            <w:noWrap/>
            <w:vAlign w:val="center"/>
            <w:hideMark/>
          </w:tcPr>
          <w:p w14:paraId="523AF30A" w14:textId="77777777" w:rsidR="00FE4655" w:rsidRPr="00C41C59" w:rsidRDefault="00FE4655" w:rsidP="000349D5">
            <w:pPr>
              <w:jc w:val="center"/>
              <w:rPr>
                <w:color w:val="000000"/>
              </w:rPr>
            </w:pPr>
            <w:r w:rsidRPr="00C41C59">
              <w:rPr>
                <w:color w:val="000000"/>
              </w:rPr>
              <w:t>4.46</w:t>
            </w:r>
          </w:p>
        </w:tc>
        <w:tc>
          <w:tcPr>
            <w:tcW w:w="1134" w:type="dxa"/>
            <w:tcBorders>
              <w:top w:val="nil"/>
              <w:left w:val="nil"/>
              <w:bottom w:val="nil"/>
              <w:right w:val="nil"/>
            </w:tcBorders>
            <w:shd w:val="clear" w:color="auto" w:fill="auto"/>
            <w:noWrap/>
            <w:vAlign w:val="center"/>
            <w:hideMark/>
          </w:tcPr>
          <w:p w14:paraId="3A8ABB26" w14:textId="77777777" w:rsidR="00FE4655" w:rsidRPr="00C41C59" w:rsidRDefault="00FE4655" w:rsidP="000349D5">
            <w:pPr>
              <w:jc w:val="center"/>
              <w:rPr>
                <w:color w:val="000000"/>
              </w:rPr>
            </w:pPr>
            <w:r w:rsidRPr="00C41C59">
              <w:rPr>
                <w:color w:val="000000"/>
              </w:rPr>
              <w:t>4.58</w:t>
            </w:r>
          </w:p>
        </w:tc>
        <w:tc>
          <w:tcPr>
            <w:tcW w:w="992" w:type="dxa"/>
            <w:tcBorders>
              <w:top w:val="nil"/>
              <w:left w:val="nil"/>
              <w:bottom w:val="nil"/>
              <w:right w:val="nil"/>
            </w:tcBorders>
            <w:shd w:val="clear" w:color="auto" w:fill="auto"/>
            <w:noWrap/>
            <w:vAlign w:val="center"/>
            <w:hideMark/>
          </w:tcPr>
          <w:p w14:paraId="773A6596" w14:textId="77777777" w:rsidR="00FE4655" w:rsidRPr="00C41C59" w:rsidRDefault="00FE4655" w:rsidP="000349D5">
            <w:pPr>
              <w:jc w:val="center"/>
              <w:rPr>
                <w:color w:val="000000"/>
              </w:rPr>
            </w:pPr>
            <w:r w:rsidRPr="00C41C59">
              <w:rPr>
                <w:color w:val="000000"/>
              </w:rPr>
              <w:t>4.71</w:t>
            </w:r>
          </w:p>
        </w:tc>
        <w:tc>
          <w:tcPr>
            <w:tcW w:w="992" w:type="dxa"/>
            <w:tcBorders>
              <w:top w:val="nil"/>
              <w:left w:val="nil"/>
              <w:bottom w:val="nil"/>
              <w:right w:val="nil"/>
            </w:tcBorders>
            <w:shd w:val="clear" w:color="auto" w:fill="auto"/>
            <w:noWrap/>
            <w:vAlign w:val="center"/>
            <w:hideMark/>
          </w:tcPr>
          <w:p w14:paraId="165821F5" w14:textId="77777777" w:rsidR="00FE4655" w:rsidRPr="00C41C59" w:rsidRDefault="00FE4655" w:rsidP="000349D5">
            <w:pPr>
              <w:jc w:val="center"/>
              <w:rPr>
                <w:color w:val="000000"/>
              </w:rPr>
            </w:pPr>
            <w:r w:rsidRPr="00C41C59">
              <w:rPr>
                <w:color w:val="000000"/>
              </w:rPr>
              <w:t>4.84</w:t>
            </w:r>
          </w:p>
        </w:tc>
        <w:tc>
          <w:tcPr>
            <w:tcW w:w="992" w:type="dxa"/>
            <w:tcBorders>
              <w:top w:val="nil"/>
              <w:left w:val="nil"/>
              <w:bottom w:val="nil"/>
              <w:right w:val="nil"/>
            </w:tcBorders>
            <w:shd w:val="clear" w:color="auto" w:fill="auto"/>
            <w:noWrap/>
            <w:vAlign w:val="center"/>
            <w:hideMark/>
          </w:tcPr>
          <w:p w14:paraId="4E1B6E39" w14:textId="77777777" w:rsidR="00FE4655" w:rsidRPr="00C41C59" w:rsidRDefault="00FE4655" w:rsidP="000349D5">
            <w:pPr>
              <w:jc w:val="center"/>
              <w:rPr>
                <w:color w:val="000000"/>
              </w:rPr>
            </w:pPr>
            <w:r w:rsidRPr="00C41C59">
              <w:rPr>
                <w:color w:val="000000"/>
              </w:rPr>
              <w:t>5.00</w:t>
            </w:r>
          </w:p>
        </w:tc>
        <w:tc>
          <w:tcPr>
            <w:tcW w:w="993" w:type="dxa"/>
            <w:tcBorders>
              <w:top w:val="nil"/>
              <w:left w:val="nil"/>
              <w:bottom w:val="nil"/>
              <w:right w:val="nil"/>
            </w:tcBorders>
            <w:shd w:val="clear" w:color="auto" w:fill="auto"/>
            <w:noWrap/>
            <w:vAlign w:val="center"/>
            <w:hideMark/>
          </w:tcPr>
          <w:p w14:paraId="0D605FB8" w14:textId="77777777" w:rsidR="00FE4655" w:rsidRPr="00C41C59" w:rsidRDefault="00FE4655" w:rsidP="000349D5">
            <w:pPr>
              <w:jc w:val="center"/>
              <w:rPr>
                <w:color w:val="000000"/>
              </w:rPr>
            </w:pPr>
            <w:r w:rsidRPr="00C41C59">
              <w:rPr>
                <w:color w:val="000000"/>
              </w:rPr>
              <w:t>5.15</w:t>
            </w:r>
          </w:p>
        </w:tc>
      </w:tr>
      <w:tr w:rsidR="00FE4655" w:rsidRPr="00C41C59" w14:paraId="5FCA6453"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7CC38B40" w14:textId="77777777" w:rsidR="00FE4655" w:rsidRPr="00C41C59" w:rsidRDefault="00FE4655" w:rsidP="000349D5">
            <w:pPr>
              <w:jc w:val="center"/>
              <w:rPr>
                <w:color w:val="000000"/>
              </w:rPr>
            </w:pPr>
            <w:r w:rsidRPr="00C41C59">
              <w:rPr>
                <w:color w:val="000000"/>
              </w:rPr>
              <w:t>19</w:t>
            </w:r>
          </w:p>
        </w:tc>
        <w:tc>
          <w:tcPr>
            <w:tcW w:w="992" w:type="dxa"/>
            <w:tcBorders>
              <w:top w:val="nil"/>
              <w:left w:val="nil"/>
              <w:bottom w:val="nil"/>
              <w:right w:val="nil"/>
            </w:tcBorders>
            <w:shd w:val="clear" w:color="auto" w:fill="auto"/>
            <w:noWrap/>
            <w:vAlign w:val="center"/>
            <w:hideMark/>
          </w:tcPr>
          <w:p w14:paraId="74C1FE53" w14:textId="77777777" w:rsidR="00FE4655" w:rsidRPr="00C41C59" w:rsidRDefault="00FE4655" w:rsidP="000349D5">
            <w:pPr>
              <w:jc w:val="center"/>
              <w:rPr>
                <w:color w:val="000000"/>
              </w:rPr>
            </w:pPr>
            <w:r w:rsidRPr="00C41C59">
              <w:rPr>
                <w:color w:val="000000"/>
              </w:rPr>
              <w:t>4.10</w:t>
            </w:r>
          </w:p>
        </w:tc>
        <w:tc>
          <w:tcPr>
            <w:tcW w:w="992" w:type="dxa"/>
            <w:tcBorders>
              <w:top w:val="nil"/>
              <w:left w:val="nil"/>
              <w:bottom w:val="nil"/>
              <w:right w:val="nil"/>
            </w:tcBorders>
            <w:shd w:val="clear" w:color="auto" w:fill="auto"/>
            <w:noWrap/>
            <w:vAlign w:val="center"/>
            <w:hideMark/>
          </w:tcPr>
          <w:p w14:paraId="51469B88" w14:textId="77777777" w:rsidR="00FE4655" w:rsidRPr="00C41C59" w:rsidRDefault="00FE4655" w:rsidP="000349D5">
            <w:pPr>
              <w:jc w:val="center"/>
              <w:rPr>
                <w:color w:val="000000"/>
              </w:rPr>
            </w:pPr>
            <w:r w:rsidRPr="00C41C59">
              <w:rPr>
                <w:color w:val="000000"/>
              </w:rPr>
              <w:t>4.20</w:t>
            </w:r>
          </w:p>
        </w:tc>
        <w:tc>
          <w:tcPr>
            <w:tcW w:w="992" w:type="dxa"/>
            <w:tcBorders>
              <w:top w:val="nil"/>
              <w:left w:val="nil"/>
              <w:bottom w:val="nil"/>
              <w:right w:val="nil"/>
            </w:tcBorders>
            <w:shd w:val="clear" w:color="auto" w:fill="auto"/>
            <w:noWrap/>
            <w:vAlign w:val="center"/>
            <w:hideMark/>
          </w:tcPr>
          <w:p w14:paraId="1CC9811B" w14:textId="77777777" w:rsidR="00FE4655" w:rsidRPr="00C41C59" w:rsidRDefault="00FE4655" w:rsidP="000349D5">
            <w:pPr>
              <w:jc w:val="center"/>
              <w:rPr>
                <w:color w:val="000000"/>
              </w:rPr>
            </w:pPr>
            <w:r w:rsidRPr="00C41C59">
              <w:rPr>
                <w:color w:val="000000"/>
              </w:rPr>
              <w:t>4.32</w:t>
            </w:r>
          </w:p>
        </w:tc>
        <w:tc>
          <w:tcPr>
            <w:tcW w:w="993" w:type="dxa"/>
            <w:tcBorders>
              <w:top w:val="nil"/>
              <w:left w:val="nil"/>
              <w:bottom w:val="nil"/>
              <w:right w:val="nil"/>
            </w:tcBorders>
            <w:shd w:val="clear" w:color="auto" w:fill="auto"/>
            <w:noWrap/>
            <w:vAlign w:val="center"/>
            <w:hideMark/>
          </w:tcPr>
          <w:p w14:paraId="796AB455" w14:textId="77777777" w:rsidR="00FE4655" w:rsidRPr="00C41C59" w:rsidRDefault="00FE4655" w:rsidP="000349D5">
            <w:pPr>
              <w:jc w:val="center"/>
              <w:rPr>
                <w:color w:val="000000"/>
              </w:rPr>
            </w:pPr>
            <w:r w:rsidRPr="00C41C59">
              <w:rPr>
                <w:color w:val="000000"/>
              </w:rPr>
              <w:t>4.42</w:t>
            </w:r>
          </w:p>
        </w:tc>
        <w:tc>
          <w:tcPr>
            <w:tcW w:w="1134" w:type="dxa"/>
            <w:tcBorders>
              <w:top w:val="nil"/>
              <w:left w:val="nil"/>
              <w:bottom w:val="nil"/>
              <w:right w:val="nil"/>
            </w:tcBorders>
            <w:shd w:val="clear" w:color="auto" w:fill="auto"/>
            <w:noWrap/>
            <w:vAlign w:val="center"/>
            <w:hideMark/>
          </w:tcPr>
          <w:p w14:paraId="0D9524AE" w14:textId="77777777" w:rsidR="00FE4655" w:rsidRPr="00C41C59" w:rsidRDefault="00FE4655" w:rsidP="000349D5">
            <w:pPr>
              <w:jc w:val="center"/>
              <w:rPr>
                <w:color w:val="000000"/>
              </w:rPr>
            </w:pPr>
            <w:r w:rsidRPr="00C41C59">
              <w:rPr>
                <w:color w:val="000000"/>
              </w:rPr>
              <w:t>4.53</w:t>
            </w:r>
          </w:p>
        </w:tc>
        <w:tc>
          <w:tcPr>
            <w:tcW w:w="992" w:type="dxa"/>
            <w:tcBorders>
              <w:top w:val="nil"/>
              <w:left w:val="nil"/>
              <w:bottom w:val="nil"/>
              <w:right w:val="nil"/>
            </w:tcBorders>
            <w:shd w:val="clear" w:color="auto" w:fill="auto"/>
            <w:noWrap/>
            <w:vAlign w:val="center"/>
            <w:hideMark/>
          </w:tcPr>
          <w:p w14:paraId="2DACEE2B" w14:textId="77777777" w:rsidR="00FE4655" w:rsidRPr="00C41C59" w:rsidRDefault="00FE4655" w:rsidP="000349D5">
            <w:pPr>
              <w:jc w:val="center"/>
              <w:rPr>
                <w:color w:val="000000"/>
              </w:rPr>
            </w:pPr>
            <w:r w:rsidRPr="00C41C59">
              <w:rPr>
                <w:color w:val="000000"/>
              </w:rPr>
              <w:t>4.65</w:t>
            </w:r>
          </w:p>
        </w:tc>
        <w:tc>
          <w:tcPr>
            <w:tcW w:w="992" w:type="dxa"/>
            <w:tcBorders>
              <w:top w:val="nil"/>
              <w:left w:val="nil"/>
              <w:bottom w:val="nil"/>
              <w:right w:val="nil"/>
            </w:tcBorders>
            <w:shd w:val="clear" w:color="auto" w:fill="auto"/>
            <w:noWrap/>
            <w:vAlign w:val="center"/>
            <w:hideMark/>
          </w:tcPr>
          <w:p w14:paraId="5E39C1FC" w14:textId="77777777" w:rsidR="00FE4655" w:rsidRPr="00C41C59" w:rsidRDefault="00FE4655" w:rsidP="000349D5">
            <w:pPr>
              <w:jc w:val="center"/>
              <w:rPr>
                <w:color w:val="000000"/>
              </w:rPr>
            </w:pPr>
            <w:r w:rsidRPr="00C41C59">
              <w:rPr>
                <w:color w:val="000000"/>
              </w:rPr>
              <w:t>4.77</w:t>
            </w:r>
          </w:p>
        </w:tc>
        <w:tc>
          <w:tcPr>
            <w:tcW w:w="992" w:type="dxa"/>
            <w:tcBorders>
              <w:top w:val="nil"/>
              <w:left w:val="nil"/>
              <w:bottom w:val="nil"/>
              <w:right w:val="nil"/>
            </w:tcBorders>
            <w:shd w:val="clear" w:color="auto" w:fill="auto"/>
            <w:noWrap/>
            <w:vAlign w:val="center"/>
            <w:hideMark/>
          </w:tcPr>
          <w:p w14:paraId="68D3BCA2" w14:textId="77777777" w:rsidR="00FE4655" w:rsidRPr="00C41C59" w:rsidRDefault="00FE4655" w:rsidP="000349D5">
            <w:pPr>
              <w:jc w:val="center"/>
              <w:rPr>
                <w:color w:val="000000"/>
              </w:rPr>
            </w:pPr>
            <w:r w:rsidRPr="00C41C59">
              <w:rPr>
                <w:color w:val="000000"/>
              </w:rPr>
              <w:t>4.92</w:t>
            </w:r>
          </w:p>
        </w:tc>
        <w:tc>
          <w:tcPr>
            <w:tcW w:w="993" w:type="dxa"/>
            <w:tcBorders>
              <w:top w:val="nil"/>
              <w:left w:val="nil"/>
              <w:bottom w:val="nil"/>
              <w:right w:val="nil"/>
            </w:tcBorders>
            <w:shd w:val="clear" w:color="auto" w:fill="auto"/>
            <w:noWrap/>
            <w:vAlign w:val="center"/>
            <w:hideMark/>
          </w:tcPr>
          <w:p w14:paraId="1DF875C2" w14:textId="77777777" w:rsidR="00FE4655" w:rsidRPr="00C41C59" w:rsidRDefault="00FE4655" w:rsidP="000349D5">
            <w:pPr>
              <w:jc w:val="center"/>
              <w:rPr>
                <w:color w:val="000000"/>
              </w:rPr>
            </w:pPr>
            <w:r w:rsidRPr="00C41C59">
              <w:rPr>
                <w:color w:val="000000"/>
              </w:rPr>
              <w:t>5.06</w:t>
            </w:r>
          </w:p>
        </w:tc>
      </w:tr>
      <w:tr w:rsidR="00FE4655" w:rsidRPr="00C41C59" w14:paraId="5AE707B5"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72779D9D" w14:textId="77777777" w:rsidR="00FE4655" w:rsidRPr="00C41C59" w:rsidRDefault="00FE4655" w:rsidP="000349D5">
            <w:pPr>
              <w:jc w:val="center"/>
              <w:rPr>
                <w:color w:val="000000"/>
              </w:rPr>
            </w:pPr>
            <w:r w:rsidRPr="00C41C59">
              <w:rPr>
                <w:color w:val="000000"/>
              </w:rPr>
              <w:t>21</w:t>
            </w:r>
          </w:p>
        </w:tc>
        <w:tc>
          <w:tcPr>
            <w:tcW w:w="992" w:type="dxa"/>
            <w:tcBorders>
              <w:top w:val="nil"/>
              <w:left w:val="nil"/>
              <w:bottom w:val="nil"/>
              <w:right w:val="nil"/>
            </w:tcBorders>
            <w:shd w:val="clear" w:color="auto" w:fill="auto"/>
            <w:noWrap/>
            <w:vAlign w:val="center"/>
            <w:hideMark/>
          </w:tcPr>
          <w:p w14:paraId="71E68B97" w14:textId="77777777" w:rsidR="00FE4655" w:rsidRPr="00C41C59" w:rsidRDefault="00FE4655" w:rsidP="000349D5">
            <w:pPr>
              <w:jc w:val="center"/>
              <w:rPr>
                <w:color w:val="000000"/>
              </w:rPr>
            </w:pPr>
            <w:r w:rsidRPr="00C41C59">
              <w:rPr>
                <w:color w:val="000000"/>
              </w:rPr>
              <w:t>4.13</w:t>
            </w:r>
          </w:p>
        </w:tc>
        <w:tc>
          <w:tcPr>
            <w:tcW w:w="992" w:type="dxa"/>
            <w:tcBorders>
              <w:top w:val="nil"/>
              <w:left w:val="nil"/>
              <w:bottom w:val="nil"/>
              <w:right w:val="nil"/>
            </w:tcBorders>
            <w:shd w:val="clear" w:color="auto" w:fill="auto"/>
            <w:noWrap/>
            <w:vAlign w:val="center"/>
            <w:hideMark/>
          </w:tcPr>
          <w:p w14:paraId="34860DED" w14:textId="77777777" w:rsidR="00FE4655" w:rsidRPr="00C41C59" w:rsidRDefault="00FE4655" w:rsidP="000349D5">
            <w:pPr>
              <w:jc w:val="center"/>
              <w:rPr>
                <w:color w:val="000000"/>
              </w:rPr>
            </w:pPr>
            <w:r w:rsidRPr="00C41C59">
              <w:rPr>
                <w:color w:val="000000"/>
              </w:rPr>
              <w:t>4.23</w:t>
            </w:r>
          </w:p>
        </w:tc>
        <w:tc>
          <w:tcPr>
            <w:tcW w:w="992" w:type="dxa"/>
            <w:tcBorders>
              <w:top w:val="nil"/>
              <w:left w:val="nil"/>
              <w:bottom w:val="nil"/>
              <w:right w:val="nil"/>
            </w:tcBorders>
            <w:shd w:val="clear" w:color="auto" w:fill="auto"/>
            <w:noWrap/>
            <w:vAlign w:val="center"/>
            <w:hideMark/>
          </w:tcPr>
          <w:p w14:paraId="15D1107F" w14:textId="77777777" w:rsidR="00FE4655" w:rsidRPr="00C41C59" w:rsidRDefault="00FE4655" w:rsidP="000349D5">
            <w:pPr>
              <w:jc w:val="center"/>
              <w:rPr>
                <w:color w:val="000000"/>
              </w:rPr>
            </w:pPr>
            <w:r w:rsidRPr="00C41C59">
              <w:rPr>
                <w:color w:val="000000"/>
              </w:rPr>
              <w:t>4.33</w:t>
            </w:r>
          </w:p>
        </w:tc>
        <w:tc>
          <w:tcPr>
            <w:tcW w:w="993" w:type="dxa"/>
            <w:tcBorders>
              <w:top w:val="nil"/>
              <w:left w:val="nil"/>
              <w:bottom w:val="nil"/>
              <w:right w:val="nil"/>
            </w:tcBorders>
            <w:shd w:val="clear" w:color="auto" w:fill="auto"/>
            <w:noWrap/>
            <w:vAlign w:val="center"/>
            <w:hideMark/>
          </w:tcPr>
          <w:p w14:paraId="107291FC" w14:textId="77777777" w:rsidR="00FE4655" w:rsidRPr="00C41C59" w:rsidRDefault="00FE4655" w:rsidP="000349D5">
            <w:pPr>
              <w:jc w:val="center"/>
              <w:rPr>
                <w:color w:val="000000"/>
              </w:rPr>
            </w:pPr>
            <w:r w:rsidRPr="00C41C59">
              <w:rPr>
                <w:color w:val="000000"/>
              </w:rPr>
              <w:t>4.43</w:t>
            </w:r>
          </w:p>
        </w:tc>
        <w:tc>
          <w:tcPr>
            <w:tcW w:w="1134" w:type="dxa"/>
            <w:tcBorders>
              <w:top w:val="nil"/>
              <w:left w:val="nil"/>
              <w:bottom w:val="nil"/>
              <w:right w:val="nil"/>
            </w:tcBorders>
            <w:shd w:val="clear" w:color="auto" w:fill="auto"/>
            <w:noWrap/>
            <w:vAlign w:val="center"/>
            <w:hideMark/>
          </w:tcPr>
          <w:p w14:paraId="16572CB8" w14:textId="77777777" w:rsidR="00FE4655" w:rsidRPr="00C41C59" w:rsidRDefault="00FE4655" w:rsidP="000349D5">
            <w:pPr>
              <w:jc w:val="center"/>
              <w:rPr>
                <w:color w:val="000000"/>
              </w:rPr>
            </w:pPr>
            <w:r w:rsidRPr="00C41C59">
              <w:rPr>
                <w:color w:val="000000"/>
              </w:rPr>
              <w:t>4.53</w:t>
            </w:r>
          </w:p>
        </w:tc>
        <w:tc>
          <w:tcPr>
            <w:tcW w:w="992" w:type="dxa"/>
            <w:tcBorders>
              <w:top w:val="nil"/>
              <w:left w:val="nil"/>
              <w:bottom w:val="nil"/>
              <w:right w:val="nil"/>
            </w:tcBorders>
            <w:shd w:val="clear" w:color="auto" w:fill="auto"/>
            <w:noWrap/>
            <w:vAlign w:val="center"/>
            <w:hideMark/>
          </w:tcPr>
          <w:p w14:paraId="295B3CDA" w14:textId="77777777" w:rsidR="00FE4655" w:rsidRPr="00C41C59" w:rsidRDefault="00FE4655" w:rsidP="000349D5">
            <w:pPr>
              <w:jc w:val="center"/>
              <w:rPr>
                <w:color w:val="000000"/>
              </w:rPr>
            </w:pPr>
            <w:r w:rsidRPr="00C41C59">
              <w:rPr>
                <w:color w:val="000000"/>
              </w:rPr>
              <w:t>4.64</w:t>
            </w:r>
          </w:p>
        </w:tc>
        <w:tc>
          <w:tcPr>
            <w:tcW w:w="992" w:type="dxa"/>
            <w:tcBorders>
              <w:top w:val="nil"/>
              <w:left w:val="nil"/>
              <w:bottom w:val="nil"/>
              <w:right w:val="nil"/>
            </w:tcBorders>
            <w:shd w:val="clear" w:color="auto" w:fill="auto"/>
            <w:noWrap/>
            <w:vAlign w:val="center"/>
            <w:hideMark/>
          </w:tcPr>
          <w:p w14:paraId="2C3A3EE7" w14:textId="77777777" w:rsidR="00FE4655" w:rsidRPr="00C41C59" w:rsidRDefault="00FE4655" w:rsidP="000349D5">
            <w:pPr>
              <w:jc w:val="center"/>
              <w:rPr>
                <w:color w:val="000000"/>
              </w:rPr>
            </w:pPr>
            <w:r w:rsidRPr="00C41C59">
              <w:rPr>
                <w:color w:val="000000"/>
              </w:rPr>
              <w:t>4.76</w:t>
            </w:r>
          </w:p>
        </w:tc>
        <w:tc>
          <w:tcPr>
            <w:tcW w:w="992" w:type="dxa"/>
            <w:tcBorders>
              <w:top w:val="nil"/>
              <w:left w:val="nil"/>
              <w:bottom w:val="nil"/>
              <w:right w:val="nil"/>
            </w:tcBorders>
            <w:shd w:val="clear" w:color="auto" w:fill="auto"/>
            <w:noWrap/>
            <w:vAlign w:val="center"/>
            <w:hideMark/>
          </w:tcPr>
          <w:p w14:paraId="518BF73D" w14:textId="77777777" w:rsidR="00FE4655" w:rsidRPr="00C41C59" w:rsidRDefault="00FE4655" w:rsidP="000349D5">
            <w:pPr>
              <w:jc w:val="center"/>
              <w:rPr>
                <w:color w:val="000000"/>
              </w:rPr>
            </w:pPr>
            <w:r w:rsidRPr="00C41C59">
              <w:rPr>
                <w:color w:val="000000"/>
              </w:rPr>
              <w:t>4.90</w:t>
            </w:r>
          </w:p>
        </w:tc>
        <w:tc>
          <w:tcPr>
            <w:tcW w:w="993" w:type="dxa"/>
            <w:tcBorders>
              <w:top w:val="nil"/>
              <w:left w:val="nil"/>
              <w:bottom w:val="nil"/>
              <w:right w:val="nil"/>
            </w:tcBorders>
            <w:shd w:val="clear" w:color="auto" w:fill="auto"/>
            <w:noWrap/>
            <w:vAlign w:val="center"/>
            <w:hideMark/>
          </w:tcPr>
          <w:p w14:paraId="0198B867" w14:textId="77777777" w:rsidR="00FE4655" w:rsidRPr="00C41C59" w:rsidRDefault="00FE4655" w:rsidP="000349D5">
            <w:pPr>
              <w:jc w:val="center"/>
              <w:rPr>
                <w:color w:val="000000"/>
              </w:rPr>
            </w:pPr>
            <w:r w:rsidRPr="00C41C59">
              <w:rPr>
                <w:color w:val="000000"/>
              </w:rPr>
              <w:t>5.04</w:t>
            </w:r>
          </w:p>
        </w:tc>
      </w:tr>
      <w:tr w:rsidR="00FE4655" w:rsidRPr="00C41C59" w14:paraId="17C1F164"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6C1F7EBF" w14:textId="77777777" w:rsidR="00FE4655" w:rsidRPr="00C41C59" w:rsidRDefault="00FE4655" w:rsidP="000349D5">
            <w:pPr>
              <w:jc w:val="center"/>
              <w:rPr>
                <w:color w:val="000000"/>
              </w:rPr>
            </w:pPr>
            <w:r w:rsidRPr="00C41C59">
              <w:rPr>
                <w:color w:val="000000"/>
              </w:rPr>
              <w:t>23</w:t>
            </w:r>
          </w:p>
        </w:tc>
        <w:tc>
          <w:tcPr>
            <w:tcW w:w="992" w:type="dxa"/>
            <w:tcBorders>
              <w:top w:val="nil"/>
              <w:left w:val="nil"/>
              <w:bottom w:val="nil"/>
              <w:right w:val="nil"/>
            </w:tcBorders>
            <w:shd w:val="clear" w:color="auto" w:fill="auto"/>
            <w:noWrap/>
            <w:vAlign w:val="center"/>
            <w:hideMark/>
          </w:tcPr>
          <w:p w14:paraId="0F4E6272" w14:textId="77777777" w:rsidR="00FE4655" w:rsidRPr="00C41C59" w:rsidRDefault="00FE4655" w:rsidP="000349D5">
            <w:pPr>
              <w:jc w:val="center"/>
              <w:rPr>
                <w:color w:val="000000"/>
              </w:rPr>
            </w:pPr>
            <w:r w:rsidRPr="00C41C59">
              <w:rPr>
                <w:color w:val="000000"/>
              </w:rPr>
              <w:t>4.12</w:t>
            </w:r>
          </w:p>
        </w:tc>
        <w:tc>
          <w:tcPr>
            <w:tcW w:w="992" w:type="dxa"/>
            <w:tcBorders>
              <w:top w:val="nil"/>
              <w:left w:val="nil"/>
              <w:bottom w:val="nil"/>
              <w:right w:val="nil"/>
            </w:tcBorders>
            <w:shd w:val="clear" w:color="auto" w:fill="auto"/>
            <w:noWrap/>
            <w:vAlign w:val="center"/>
            <w:hideMark/>
          </w:tcPr>
          <w:p w14:paraId="4D236909" w14:textId="77777777" w:rsidR="00FE4655" w:rsidRPr="00C41C59" w:rsidRDefault="00FE4655" w:rsidP="000349D5">
            <w:pPr>
              <w:jc w:val="center"/>
              <w:rPr>
                <w:color w:val="000000"/>
              </w:rPr>
            </w:pPr>
            <w:r w:rsidRPr="00C41C59">
              <w:rPr>
                <w:color w:val="000000"/>
              </w:rPr>
              <w:t>4.21</w:t>
            </w:r>
          </w:p>
        </w:tc>
        <w:tc>
          <w:tcPr>
            <w:tcW w:w="992" w:type="dxa"/>
            <w:tcBorders>
              <w:top w:val="nil"/>
              <w:left w:val="nil"/>
              <w:bottom w:val="nil"/>
              <w:right w:val="nil"/>
            </w:tcBorders>
            <w:shd w:val="clear" w:color="auto" w:fill="auto"/>
            <w:noWrap/>
            <w:vAlign w:val="center"/>
            <w:hideMark/>
          </w:tcPr>
          <w:p w14:paraId="62814BE5" w14:textId="77777777" w:rsidR="00FE4655" w:rsidRPr="00C41C59" w:rsidRDefault="00FE4655" w:rsidP="000349D5">
            <w:pPr>
              <w:jc w:val="center"/>
              <w:rPr>
                <w:color w:val="000000"/>
              </w:rPr>
            </w:pPr>
            <w:r w:rsidRPr="00C41C59">
              <w:rPr>
                <w:color w:val="000000"/>
              </w:rPr>
              <w:t>4.32</w:t>
            </w:r>
          </w:p>
        </w:tc>
        <w:tc>
          <w:tcPr>
            <w:tcW w:w="993" w:type="dxa"/>
            <w:tcBorders>
              <w:top w:val="nil"/>
              <w:left w:val="nil"/>
              <w:bottom w:val="nil"/>
              <w:right w:val="nil"/>
            </w:tcBorders>
            <w:shd w:val="clear" w:color="auto" w:fill="auto"/>
            <w:noWrap/>
            <w:vAlign w:val="center"/>
            <w:hideMark/>
          </w:tcPr>
          <w:p w14:paraId="154970ED" w14:textId="77777777" w:rsidR="00FE4655" w:rsidRPr="00C41C59" w:rsidRDefault="00FE4655" w:rsidP="000349D5">
            <w:pPr>
              <w:jc w:val="center"/>
              <w:rPr>
                <w:color w:val="000000"/>
              </w:rPr>
            </w:pPr>
            <w:r w:rsidRPr="00C41C59">
              <w:rPr>
                <w:color w:val="000000"/>
              </w:rPr>
              <w:t>4.41</w:t>
            </w:r>
          </w:p>
        </w:tc>
        <w:tc>
          <w:tcPr>
            <w:tcW w:w="1134" w:type="dxa"/>
            <w:tcBorders>
              <w:top w:val="nil"/>
              <w:left w:val="nil"/>
              <w:bottom w:val="nil"/>
              <w:right w:val="nil"/>
            </w:tcBorders>
            <w:shd w:val="clear" w:color="auto" w:fill="auto"/>
            <w:noWrap/>
            <w:vAlign w:val="center"/>
            <w:hideMark/>
          </w:tcPr>
          <w:p w14:paraId="3D7DFAAE" w14:textId="77777777" w:rsidR="00FE4655" w:rsidRPr="00C41C59" w:rsidRDefault="00FE4655" w:rsidP="000349D5">
            <w:pPr>
              <w:jc w:val="center"/>
              <w:rPr>
                <w:color w:val="000000"/>
              </w:rPr>
            </w:pPr>
            <w:r w:rsidRPr="00C41C59">
              <w:rPr>
                <w:color w:val="000000"/>
              </w:rPr>
              <w:t>4.50</w:t>
            </w:r>
          </w:p>
        </w:tc>
        <w:tc>
          <w:tcPr>
            <w:tcW w:w="992" w:type="dxa"/>
            <w:tcBorders>
              <w:top w:val="nil"/>
              <w:left w:val="nil"/>
              <w:bottom w:val="nil"/>
              <w:right w:val="nil"/>
            </w:tcBorders>
            <w:shd w:val="clear" w:color="auto" w:fill="auto"/>
            <w:noWrap/>
            <w:vAlign w:val="center"/>
            <w:hideMark/>
          </w:tcPr>
          <w:p w14:paraId="2506C319" w14:textId="77777777" w:rsidR="00FE4655" w:rsidRPr="00C41C59" w:rsidRDefault="00FE4655" w:rsidP="000349D5">
            <w:pPr>
              <w:jc w:val="center"/>
              <w:rPr>
                <w:color w:val="000000"/>
              </w:rPr>
            </w:pPr>
            <w:r w:rsidRPr="00C41C59">
              <w:rPr>
                <w:color w:val="000000"/>
              </w:rPr>
              <w:t>4.60</w:t>
            </w:r>
          </w:p>
        </w:tc>
        <w:tc>
          <w:tcPr>
            <w:tcW w:w="992" w:type="dxa"/>
            <w:tcBorders>
              <w:top w:val="nil"/>
              <w:left w:val="nil"/>
              <w:bottom w:val="nil"/>
              <w:right w:val="nil"/>
            </w:tcBorders>
            <w:shd w:val="clear" w:color="auto" w:fill="auto"/>
            <w:noWrap/>
            <w:vAlign w:val="center"/>
            <w:hideMark/>
          </w:tcPr>
          <w:p w14:paraId="0F77606A" w14:textId="77777777" w:rsidR="00FE4655" w:rsidRPr="00C41C59" w:rsidRDefault="00FE4655" w:rsidP="000349D5">
            <w:pPr>
              <w:jc w:val="center"/>
              <w:rPr>
                <w:color w:val="000000"/>
              </w:rPr>
            </w:pPr>
            <w:r w:rsidRPr="00C41C59">
              <w:rPr>
                <w:color w:val="000000"/>
              </w:rPr>
              <w:t>4.70</w:t>
            </w:r>
          </w:p>
        </w:tc>
        <w:tc>
          <w:tcPr>
            <w:tcW w:w="992" w:type="dxa"/>
            <w:tcBorders>
              <w:top w:val="nil"/>
              <w:left w:val="nil"/>
              <w:bottom w:val="nil"/>
              <w:right w:val="nil"/>
            </w:tcBorders>
            <w:shd w:val="clear" w:color="auto" w:fill="auto"/>
            <w:noWrap/>
            <w:vAlign w:val="center"/>
            <w:hideMark/>
          </w:tcPr>
          <w:p w14:paraId="71BA7D2D" w14:textId="77777777" w:rsidR="00FE4655" w:rsidRPr="00C41C59" w:rsidRDefault="00FE4655" w:rsidP="000349D5">
            <w:pPr>
              <w:jc w:val="center"/>
              <w:rPr>
                <w:color w:val="000000"/>
              </w:rPr>
            </w:pPr>
            <w:r w:rsidRPr="00C41C59">
              <w:rPr>
                <w:color w:val="000000"/>
              </w:rPr>
              <w:t>4.84</w:t>
            </w:r>
          </w:p>
        </w:tc>
        <w:tc>
          <w:tcPr>
            <w:tcW w:w="993" w:type="dxa"/>
            <w:tcBorders>
              <w:top w:val="nil"/>
              <w:left w:val="nil"/>
              <w:bottom w:val="nil"/>
              <w:right w:val="nil"/>
            </w:tcBorders>
            <w:shd w:val="clear" w:color="auto" w:fill="auto"/>
            <w:noWrap/>
            <w:vAlign w:val="center"/>
            <w:hideMark/>
          </w:tcPr>
          <w:p w14:paraId="1A6109CE" w14:textId="77777777" w:rsidR="00FE4655" w:rsidRPr="00C41C59" w:rsidRDefault="00FE4655" w:rsidP="000349D5">
            <w:pPr>
              <w:jc w:val="center"/>
              <w:rPr>
                <w:color w:val="000000"/>
              </w:rPr>
            </w:pPr>
            <w:r w:rsidRPr="00C41C59">
              <w:rPr>
                <w:color w:val="000000"/>
              </w:rPr>
              <w:t>4.99</w:t>
            </w:r>
          </w:p>
        </w:tc>
      </w:tr>
      <w:tr w:rsidR="00FE4655" w:rsidRPr="00C41C59" w14:paraId="01EB2C7B"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06563CBC" w14:textId="77777777" w:rsidR="00FE4655" w:rsidRPr="00C41C59" w:rsidRDefault="00FE4655" w:rsidP="000349D5">
            <w:pPr>
              <w:jc w:val="center"/>
              <w:rPr>
                <w:color w:val="000000"/>
              </w:rPr>
            </w:pPr>
            <w:r w:rsidRPr="00C41C59">
              <w:rPr>
                <w:color w:val="000000"/>
              </w:rPr>
              <w:t>25</w:t>
            </w:r>
          </w:p>
        </w:tc>
        <w:tc>
          <w:tcPr>
            <w:tcW w:w="992" w:type="dxa"/>
            <w:tcBorders>
              <w:top w:val="nil"/>
              <w:left w:val="nil"/>
              <w:bottom w:val="nil"/>
              <w:right w:val="nil"/>
            </w:tcBorders>
            <w:shd w:val="clear" w:color="auto" w:fill="auto"/>
            <w:noWrap/>
            <w:vAlign w:val="center"/>
            <w:hideMark/>
          </w:tcPr>
          <w:p w14:paraId="35649CA3" w14:textId="77777777" w:rsidR="00FE4655" w:rsidRPr="00C41C59" w:rsidRDefault="00FE4655" w:rsidP="000349D5">
            <w:pPr>
              <w:jc w:val="center"/>
              <w:rPr>
                <w:color w:val="000000"/>
              </w:rPr>
            </w:pPr>
            <w:r w:rsidRPr="00C41C59">
              <w:rPr>
                <w:color w:val="000000"/>
              </w:rPr>
              <w:t>4.09</w:t>
            </w:r>
          </w:p>
        </w:tc>
        <w:tc>
          <w:tcPr>
            <w:tcW w:w="992" w:type="dxa"/>
            <w:tcBorders>
              <w:top w:val="nil"/>
              <w:left w:val="nil"/>
              <w:bottom w:val="nil"/>
              <w:right w:val="nil"/>
            </w:tcBorders>
            <w:shd w:val="clear" w:color="auto" w:fill="auto"/>
            <w:noWrap/>
            <w:vAlign w:val="center"/>
            <w:hideMark/>
          </w:tcPr>
          <w:p w14:paraId="6FD9F6B9" w14:textId="77777777" w:rsidR="00FE4655" w:rsidRPr="00C41C59" w:rsidRDefault="00FE4655" w:rsidP="000349D5">
            <w:pPr>
              <w:jc w:val="center"/>
              <w:rPr>
                <w:color w:val="000000"/>
              </w:rPr>
            </w:pPr>
            <w:r w:rsidRPr="00C41C59">
              <w:rPr>
                <w:color w:val="000000"/>
              </w:rPr>
              <w:t>4.18</w:t>
            </w:r>
          </w:p>
        </w:tc>
        <w:tc>
          <w:tcPr>
            <w:tcW w:w="992" w:type="dxa"/>
            <w:tcBorders>
              <w:top w:val="nil"/>
              <w:left w:val="nil"/>
              <w:bottom w:val="nil"/>
              <w:right w:val="nil"/>
            </w:tcBorders>
            <w:shd w:val="clear" w:color="auto" w:fill="auto"/>
            <w:noWrap/>
            <w:vAlign w:val="center"/>
            <w:hideMark/>
          </w:tcPr>
          <w:p w14:paraId="17DB0B6C" w14:textId="77777777" w:rsidR="00FE4655" w:rsidRPr="00C41C59" w:rsidRDefault="00FE4655" w:rsidP="000349D5">
            <w:pPr>
              <w:jc w:val="center"/>
              <w:rPr>
                <w:color w:val="000000"/>
              </w:rPr>
            </w:pPr>
            <w:r w:rsidRPr="00C41C59">
              <w:rPr>
                <w:color w:val="000000"/>
              </w:rPr>
              <w:t>4.28</w:t>
            </w:r>
          </w:p>
        </w:tc>
        <w:tc>
          <w:tcPr>
            <w:tcW w:w="993" w:type="dxa"/>
            <w:tcBorders>
              <w:top w:val="nil"/>
              <w:left w:val="nil"/>
              <w:bottom w:val="nil"/>
              <w:right w:val="nil"/>
            </w:tcBorders>
            <w:shd w:val="clear" w:color="auto" w:fill="auto"/>
            <w:noWrap/>
            <w:vAlign w:val="center"/>
            <w:hideMark/>
          </w:tcPr>
          <w:p w14:paraId="4951FD95" w14:textId="77777777" w:rsidR="00FE4655" w:rsidRPr="00C41C59" w:rsidRDefault="00FE4655" w:rsidP="000349D5">
            <w:pPr>
              <w:jc w:val="center"/>
              <w:rPr>
                <w:color w:val="000000"/>
              </w:rPr>
            </w:pPr>
            <w:r w:rsidRPr="00C41C59">
              <w:rPr>
                <w:color w:val="000000"/>
              </w:rPr>
              <w:t>4.36</w:t>
            </w:r>
          </w:p>
        </w:tc>
        <w:tc>
          <w:tcPr>
            <w:tcW w:w="1134" w:type="dxa"/>
            <w:tcBorders>
              <w:top w:val="nil"/>
              <w:left w:val="nil"/>
              <w:bottom w:val="nil"/>
              <w:right w:val="nil"/>
            </w:tcBorders>
            <w:shd w:val="clear" w:color="auto" w:fill="auto"/>
            <w:noWrap/>
            <w:vAlign w:val="center"/>
            <w:hideMark/>
          </w:tcPr>
          <w:p w14:paraId="697A24AD" w14:textId="77777777" w:rsidR="00FE4655" w:rsidRPr="00C41C59" w:rsidRDefault="00FE4655" w:rsidP="000349D5">
            <w:pPr>
              <w:jc w:val="center"/>
              <w:rPr>
                <w:color w:val="000000"/>
              </w:rPr>
            </w:pPr>
            <w:r w:rsidRPr="00C41C59">
              <w:rPr>
                <w:color w:val="000000"/>
              </w:rPr>
              <w:t>4.45</w:t>
            </w:r>
          </w:p>
        </w:tc>
        <w:tc>
          <w:tcPr>
            <w:tcW w:w="992" w:type="dxa"/>
            <w:tcBorders>
              <w:top w:val="nil"/>
              <w:left w:val="nil"/>
              <w:bottom w:val="nil"/>
              <w:right w:val="nil"/>
            </w:tcBorders>
            <w:shd w:val="clear" w:color="auto" w:fill="auto"/>
            <w:noWrap/>
            <w:vAlign w:val="center"/>
            <w:hideMark/>
          </w:tcPr>
          <w:p w14:paraId="0DDE021A" w14:textId="77777777" w:rsidR="00FE4655" w:rsidRPr="00C41C59" w:rsidRDefault="00FE4655" w:rsidP="000349D5">
            <w:pPr>
              <w:jc w:val="center"/>
              <w:rPr>
                <w:color w:val="000000"/>
              </w:rPr>
            </w:pPr>
            <w:r w:rsidRPr="00C41C59">
              <w:rPr>
                <w:color w:val="000000"/>
              </w:rPr>
              <w:t>4.54</w:t>
            </w:r>
          </w:p>
        </w:tc>
        <w:tc>
          <w:tcPr>
            <w:tcW w:w="992" w:type="dxa"/>
            <w:tcBorders>
              <w:top w:val="nil"/>
              <w:left w:val="nil"/>
              <w:bottom w:val="nil"/>
              <w:right w:val="nil"/>
            </w:tcBorders>
            <w:shd w:val="clear" w:color="auto" w:fill="auto"/>
            <w:noWrap/>
            <w:vAlign w:val="center"/>
            <w:hideMark/>
          </w:tcPr>
          <w:p w14:paraId="19035F96" w14:textId="77777777" w:rsidR="00FE4655" w:rsidRPr="00C41C59" w:rsidRDefault="00FE4655" w:rsidP="000349D5">
            <w:pPr>
              <w:jc w:val="center"/>
              <w:rPr>
                <w:color w:val="000000"/>
              </w:rPr>
            </w:pPr>
            <w:r w:rsidRPr="00C41C59">
              <w:rPr>
                <w:color w:val="000000"/>
              </w:rPr>
              <w:t>4.64</w:t>
            </w:r>
          </w:p>
        </w:tc>
        <w:tc>
          <w:tcPr>
            <w:tcW w:w="992" w:type="dxa"/>
            <w:tcBorders>
              <w:top w:val="nil"/>
              <w:left w:val="nil"/>
              <w:bottom w:val="nil"/>
              <w:right w:val="nil"/>
            </w:tcBorders>
            <w:shd w:val="clear" w:color="auto" w:fill="auto"/>
            <w:noWrap/>
            <w:vAlign w:val="center"/>
            <w:hideMark/>
          </w:tcPr>
          <w:p w14:paraId="3176C38D" w14:textId="77777777" w:rsidR="00FE4655" w:rsidRPr="00C41C59" w:rsidRDefault="00FE4655" w:rsidP="000349D5">
            <w:pPr>
              <w:jc w:val="center"/>
              <w:rPr>
                <w:color w:val="000000"/>
              </w:rPr>
            </w:pPr>
            <w:r w:rsidRPr="00C41C59">
              <w:rPr>
                <w:color w:val="000000"/>
              </w:rPr>
              <w:t>4.77</w:t>
            </w:r>
          </w:p>
        </w:tc>
        <w:tc>
          <w:tcPr>
            <w:tcW w:w="993" w:type="dxa"/>
            <w:tcBorders>
              <w:top w:val="nil"/>
              <w:left w:val="nil"/>
              <w:bottom w:val="nil"/>
              <w:right w:val="nil"/>
            </w:tcBorders>
            <w:shd w:val="clear" w:color="auto" w:fill="auto"/>
            <w:noWrap/>
            <w:vAlign w:val="center"/>
            <w:hideMark/>
          </w:tcPr>
          <w:p w14:paraId="3438CBB2" w14:textId="77777777" w:rsidR="00FE4655" w:rsidRPr="00C41C59" w:rsidRDefault="00FE4655" w:rsidP="000349D5">
            <w:pPr>
              <w:jc w:val="center"/>
              <w:rPr>
                <w:color w:val="000000"/>
              </w:rPr>
            </w:pPr>
            <w:r w:rsidRPr="00C41C59">
              <w:rPr>
                <w:color w:val="000000"/>
              </w:rPr>
              <w:t>4.93</w:t>
            </w:r>
          </w:p>
        </w:tc>
      </w:tr>
      <w:tr w:rsidR="00FE4655" w:rsidRPr="00C41C59" w14:paraId="50553DE8"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361622BB" w14:textId="77777777" w:rsidR="00FE4655" w:rsidRPr="00C41C59" w:rsidRDefault="00FE4655" w:rsidP="000349D5">
            <w:pPr>
              <w:jc w:val="center"/>
              <w:rPr>
                <w:color w:val="000000"/>
              </w:rPr>
            </w:pPr>
            <w:r w:rsidRPr="00C41C59">
              <w:rPr>
                <w:color w:val="000000"/>
              </w:rPr>
              <w:t>27</w:t>
            </w:r>
          </w:p>
        </w:tc>
        <w:tc>
          <w:tcPr>
            <w:tcW w:w="992" w:type="dxa"/>
            <w:tcBorders>
              <w:top w:val="nil"/>
              <w:left w:val="nil"/>
              <w:bottom w:val="nil"/>
              <w:right w:val="nil"/>
            </w:tcBorders>
            <w:shd w:val="clear" w:color="auto" w:fill="auto"/>
            <w:noWrap/>
            <w:vAlign w:val="center"/>
            <w:hideMark/>
          </w:tcPr>
          <w:p w14:paraId="0A3F34AF" w14:textId="77777777" w:rsidR="00FE4655" w:rsidRPr="00C41C59" w:rsidRDefault="00FE4655" w:rsidP="000349D5">
            <w:pPr>
              <w:jc w:val="center"/>
              <w:rPr>
                <w:color w:val="000000"/>
              </w:rPr>
            </w:pPr>
            <w:r w:rsidRPr="00C41C59">
              <w:rPr>
                <w:color w:val="000000"/>
              </w:rPr>
              <w:t>4.10</w:t>
            </w:r>
          </w:p>
        </w:tc>
        <w:tc>
          <w:tcPr>
            <w:tcW w:w="992" w:type="dxa"/>
            <w:tcBorders>
              <w:top w:val="nil"/>
              <w:left w:val="nil"/>
              <w:bottom w:val="nil"/>
              <w:right w:val="nil"/>
            </w:tcBorders>
            <w:shd w:val="clear" w:color="auto" w:fill="auto"/>
            <w:noWrap/>
            <w:vAlign w:val="center"/>
            <w:hideMark/>
          </w:tcPr>
          <w:p w14:paraId="35D4D266" w14:textId="77777777" w:rsidR="00FE4655" w:rsidRPr="00C41C59" w:rsidRDefault="00FE4655" w:rsidP="000349D5">
            <w:pPr>
              <w:jc w:val="center"/>
              <w:rPr>
                <w:color w:val="000000"/>
              </w:rPr>
            </w:pPr>
            <w:r w:rsidRPr="00C41C59">
              <w:rPr>
                <w:color w:val="000000"/>
              </w:rPr>
              <w:t>4.20</w:t>
            </w:r>
          </w:p>
        </w:tc>
        <w:tc>
          <w:tcPr>
            <w:tcW w:w="992" w:type="dxa"/>
            <w:tcBorders>
              <w:top w:val="nil"/>
              <w:left w:val="nil"/>
              <w:bottom w:val="nil"/>
              <w:right w:val="nil"/>
            </w:tcBorders>
            <w:shd w:val="clear" w:color="auto" w:fill="auto"/>
            <w:noWrap/>
            <w:vAlign w:val="center"/>
            <w:hideMark/>
          </w:tcPr>
          <w:p w14:paraId="40986F11" w14:textId="77777777" w:rsidR="00FE4655" w:rsidRPr="00C41C59" w:rsidRDefault="00FE4655" w:rsidP="000349D5">
            <w:pPr>
              <w:jc w:val="center"/>
              <w:rPr>
                <w:color w:val="000000"/>
              </w:rPr>
            </w:pPr>
            <w:r w:rsidRPr="00C41C59">
              <w:rPr>
                <w:color w:val="000000"/>
              </w:rPr>
              <w:t>4.30</w:t>
            </w:r>
          </w:p>
        </w:tc>
        <w:tc>
          <w:tcPr>
            <w:tcW w:w="993" w:type="dxa"/>
            <w:tcBorders>
              <w:top w:val="nil"/>
              <w:left w:val="nil"/>
              <w:bottom w:val="nil"/>
              <w:right w:val="nil"/>
            </w:tcBorders>
            <w:shd w:val="clear" w:color="auto" w:fill="auto"/>
            <w:noWrap/>
            <w:vAlign w:val="center"/>
            <w:hideMark/>
          </w:tcPr>
          <w:p w14:paraId="32E9BB1D" w14:textId="77777777" w:rsidR="00FE4655" w:rsidRPr="00C41C59" w:rsidRDefault="00FE4655" w:rsidP="000349D5">
            <w:pPr>
              <w:jc w:val="center"/>
              <w:rPr>
                <w:color w:val="000000"/>
              </w:rPr>
            </w:pPr>
            <w:r w:rsidRPr="00C41C59">
              <w:rPr>
                <w:color w:val="000000"/>
              </w:rPr>
              <w:t>4.38</w:t>
            </w:r>
          </w:p>
        </w:tc>
        <w:tc>
          <w:tcPr>
            <w:tcW w:w="1134" w:type="dxa"/>
            <w:tcBorders>
              <w:top w:val="nil"/>
              <w:left w:val="nil"/>
              <w:bottom w:val="nil"/>
              <w:right w:val="nil"/>
            </w:tcBorders>
            <w:shd w:val="clear" w:color="auto" w:fill="auto"/>
            <w:noWrap/>
            <w:vAlign w:val="center"/>
            <w:hideMark/>
          </w:tcPr>
          <w:p w14:paraId="4BBC1C81" w14:textId="77777777" w:rsidR="00FE4655" w:rsidRPr="00C41C59" w:rsidRDefault="00FE4655" w:rsidP="000349D5">
            <w:pPr>
              <w:jc w:val="center"/>
              <w:rPr>
                <w:color w:val="000000"/>
              </w:rPr>
            </w:pPr>
            <w:r w:rsidRPr="00C41C59">
              <w:rPr>
                <w:color w:val="000000"/>
              </w:rPr>
              <w:t>4.46</w:t>
            </w:r>
          </w:p>
        </w:tc>
        <w:tc>
          <w:tcPr>
            <w:tcW w:w="992" w:type="dxa"/>
            <w:tcBorders>
              <w:top w:val="nil"/>
              <w:left w:val="nil"/>
              <w:bottom w:val="nil"/>
              <w:right w:val="nil"/>
            </w:tcBorders>
            <w:shd w:val="clear" w:color="auto" w:fill="auto"/>
            <w:noWrap/>
            <w:vAlign w:val="center"/>
            <w:hideMark/>
          </w:tcPr>
          <w:p w14:paraId="0A9E59F5" w14:textId="77777777" w:rsidR="00FE4655" w:rsidRPr="00C41C59" w:rsidRDefault="00FE4655" w:rsidP="000349D5">
            <w:pPr>
              <w:jc w:val="center"/>
              <w:rPr>
                <w:color w:val="000000"/>
              </w:rPr>
            </w:pPr>
            <w:r w:rsidRPr="00C41C59">
              <w:rPr>
                <w:color w:val="000000"/>
              </w:rPr>
              <w:t>4.54</w:t>
            </w:r>
          </w:p>
        </w:tc>
        <w:tc>
          <w:tcPr>
            <w:tcW w:w="992" w:type="dxa"/>
            <w:tcBorders>
              <w:top w:val="nil"/>
              <w:left w:val="nil"/>
              <w:bottom w:val="nil"/>
              <w:right w:val="nil"/>
            </w:tcBorders>
            <w:shd w:val="clear" w:color="auto" w:fill="auto"/>
            <w:noWrap/>
            <w:vAlign w:val="center"/>
            <w:hideMark/>
          </w:tcPr>
          <w:p w14:paraId="77EDBE5A" w14:textId="77777777" w:rsidR="00FE4655" w:rsidRPr="00C41C59" w:rsidRDefault="00FE4655" w:rsidP="000349D5">
            <w:pPr>
              <w:jc w:val="center"/>
              <w:rPr>
                <w:color w:val="000000"/>
              </w:rPr>
            </w:pPr>
            <w:r w:rsidRPr="00C41C59">
              <w:rPr>
                <w:color w:val="000000"/>
              </w:rPr>
              <w:t>4.64</w:t>
            </w:r>
          </w:p>
        </w:tc>
        <w:tc>
          <w:tcPr>
            <w:tcW w:w="992" w:type="dxa"/>
            <w:tcBorders>
              <w:top w:val="nil"/>
              <w:left w:val="nil"/>
              <w:bottom w:val="nil"/>
              <w:right w:val="nil"/>
            </w:tcBorders>
            <w:shd w:val="clear" w:color="auto" w:fill="auto"/>
            <w:noWrap/>
            <w:vAlign w:val="center"/>
            <w:hideMark/>
          </w:tcPr>
          <w:p w14:paraId="76AC854B" w14:textId="77777777" w:rsidR="00FE4655" w:rsidRPr="00C41C59" w:rsidRDefault="00FE4655" w:rsidP="000349D5">
            <w:pPr>
              <w:jc w:val="center"/>
              <w:rPr>
                <w:color w:val="000000"/>
              </w:rPr>
            </w:pPr>
            <w:r w:rsidRPr="00C41C59">
              <w:rPr>
                <w:color w:val="000000"/>
              </w:rPr>
              <w:t>4.78</w:t>
            </w:r>
          </w:p>
        </w:tc>
        <w:tc>
          <w:tcPr>
            <w:tcW w:w="993" w:type="dxa"/>
            <w:tcBorders>
              <w:top w:val="nil"/>
              <w:left w:val="nil"/>
              <w:bottom w:val="nil"/>
              <w:right w:val="nil"/>
            </w:tcBorders>
            <w:shd w:val="clear" w:color="auto" w:fill="auto"/>
            <w:noWrap/>
            <w:vAlign w:val="center"/>
            <w:hideMark/>
          </w:tcPr>
          <w:p w14:paraId="53827F2A" w14:textId="77777777" w:rsidR="00FE4655" w:rsidRPr="00C41C59" w:rsidRDefault="00FE4655" w:rsidP="000349D5">
            <w:pPr>
              <w:jc w:val="center"/>
              <w:rPr>
                <w:color w:val="000000"/>
              </w:rPr>
            </w:pPr>
            <w:r w:rsidRPr="00C41C59">
              <w:rPr>
                <w:color w:val="000000"/>
              </w:rPr>
              <w:t>4.97</w:t>
            </w:r>
          </w:p>
        </w:tc>
      </w:tr>
      <w:tr w:rsidR="00FE4655" w:rsidRPr="00C41C59" w14:paraId="75B03C9C" w14:textId="77777777" w:rsidTr="000349D5">
        <w:trPr>
          <w:trHeight w:val="320"/>
          <w:jc w:val="center"/>
        </w:trPr>
        <w:tc>
          <w:tcPr>
            <w:tcW w:w="993" w:type="dxa"/>
            <w:tcBorders>
              <w:top w:val="nil"/>
              <w:left w:val="nil"/>
              <w:right w:val="nil"/>
            </w:tcBorders>
            <w:shd w:val="clear" w:color="auto" w:fill="auto"/>
            <w:noWrap/>
            <w:vAlign w:val="center"/>
            <w:hideMark/>
          </w:tcPr>
          <w:p w14:paraId="7134CA57" w14:textId="77777777" w:rsidR="00FE4655" w:rsidRPr="00C41C59" w:rsidRDefault="00FE4655" w:rsidP="000349D5">
            <w:pPr>
              <w:jc w:val="center"/>
              <w:rPr>
                <w:color w:val="000000"/>
              </w:rPr>
            </w:pPr>
            <w:r w:rsidRPr="00C41C59">
              <w:rPr>
                <w:color w:val="000000"/>
              </w:rPr>
              <w:t>29</w:t>
            </w:r>
          </w:p>
        </w:tc>
        <w:tc>
          <w:tcPr>
            <w:tcW w:w="992" w:type="dxa"/>
            <w:tcBorders>
              <w:top w:val="nil"/>
              <w:left w:val="nil"/>
              <w:right w:val="nil"/>
            </w:tcBorders>
            <w:shd w:val="clear" w:color="auto" w:fill="auto"/>
            <w:noWrap/>
            <w:vAlign w:val="center"/>
            <w:hideMark/>
          </w:tcPr>
          <w:p w14:paraId="11435C60" w14:textId="77777777" w:rsidR="00FE4655" w:rsidRPr="00C41C59" w:rsidRDefault="00FE4655" w:rsidP="000349D5">
            <w:pPr>
              <w:jc w:val="center"/>
              <w:rPr>
                <w:color w:val="000000"/>
              </w:rPr>
            </w:pPr>
            <w:r w:rsidRPr="00C41C59">
              <w:rPr>
                <w:color w:val="000000"/>
              </w:rPr>
              <w:t>4.17</w:t>
            </w:r>
          </w:p>
        </w:tc>
        <w:tc>
          <w:tcPr>
            <w:tcW w:w="992" w:type="dxa"/>
            <w:tcBorders>
              <w:top w:val="nil"/>
              <w:left w:val="nil"/>
              <w:right w:val="nil"/>
            </w:tcBorders>
            <w:shd w:val="clear" w:color="auto" w:fill="auto"/>
            <w:noWrap/>
            <w:vAlign w:val="center"/>
            <w:hideMark/>
          </w:tcPr>
          <w:p w14:paraId="603B9096" w14:textId="77777777" w:rsidR="00FE4655" w:rsidRPr="00C41C59" w:rsidRDefault="00FE4655" w:rsidP="000349D5">
            <w:pPr>
              <w:jc w:val="center"/>
              <w:rPr>
                <w:color w:val="000000"/>
              </w:rPr>
            </w:pPr>
            <w:r w:rsidRPr="00C41C59">
              <w:rPr>
                <w:color w:val="000000"/>
              </w:rPr>
              <w:t>4.30</w:t>
            </w:r>
          </w:p>
        </w:tc>
        <w:tc>
          <w:tcPr>
            <w:tcW w:w="992" w:type="dxa"/>
            <w:tcBorders>
              <w:top w:val="nil"/>
              <w:left w:val="nil"/>
              <w:right w:val="nil"/>
            </w:tcBorders>
            <w:shd w:val="clear" w:color="auto" w:fill="auto"/>
            <w:noWrap/>
            <w:vAlign w:val="center"/>
            <w:hideMark/>
          </w:tcPr>
          <w:p w14:paraId="6826AFCB" w14:textId="77777777" w:rsidR="00FE4655" w:rsidRPr="00C41C59" w:rsidRDefault="00FE4655" w:rsidP="000349D5">
            <w:pPr>
              <w:jc w:val="center"/>
              <w:rPr>
                <w:color w:val="000000"/>
              </w:rPr>
            </w:pPr>
            <w:r w:rsidRPr="00C41C59">
              <w:rPr>
                <w:color w:val="000000"/>
              </w:rPr>
              <w:t>4.42</w:t>
            </w:r>
          </w:p>
        </w:tc>
        <w:tc>
          <w:tcPr>
            <w:tcW w:w="993" w:type="dxa"/>
            <w:tcBorders>
              <w:top w:val="nil"/>
              <w:left w:val="nil"/>
              <w:right w:val="nil"/>
            </w:tcBorders>
            <w:shd w:val="clear" w:color="auto" w:fill="auto"/>
            <w:noWrap/>
            <w:vAlign w:val="center"/>
            <w:hideMark/>
          </w:tcPr>
          <w:p w14:paraId="2F32EEC4" w14:textId="77777777" w:rsidR="00FE4655" w:rsidRPr="00C41C59" w:rsidRDefault="00FE4655" w:rsidP="000349D5">
            <w:pPr>
              <w:jc w:val="center"/>
              <w:rPr>
                <w:color w:val="000000"/>
              </w:rPr>
            </w:pPr>
            <w:r w:rsidRPr="00C41C59">
              <w:rPr>
                <w:color w:val="000000"/>
              </w:rPr>
              <w:t>4.50</w:t>
            </w:r>
          </w:p>
        </w:tc>
        <w:tc>
          <w:tcPr>
            <w:tcW w:w="1134" w:type="dxa"/>
            <w:tcBorders>
              <w:top w:val="nil"/>
              <w:left w:val="nil"/>
              <w:right w:val="nil"/>
            </w:tcBorders>
            <w:shd w:val="clear" w:color="auto" w:fill="auto"/>
            <w:noWrap/>
            <w:vAlign w:val="center"/>
            <w:hideMark/>
          </w:tcPr>
          <w:p w14:paraId="4FFE9DE2" w14:textId="77777777" w:rsidR="00FE4655" w:rsidRPr="00C41C59" w:rsidRDefault="00FE4655" w:rsidP="000349D5">
            <w:pPr>
              <w:jc w:val="center"/>
              <w:rPr>
                <w:color w:val="000000"/>
              </w:rPr>
            </w:pPr>
            <w:r w:rsidRPr="00C41C59">
              <w:rPr>
                <w:color w:val="000000"/>
              </w:rPr>
              <w:t>4.57</w:t>
            </w:r>
          </w:p>
        </w:tc>
        <w:tc>
          <w:tcPr>
            <w:tcW w:w="992" w:type="dxa"/>
            <w:tcBorders>
              <w:top w:val="nil"/>
              <w:left w:val="nil"/>
              <w:right w:val="nil"/>
            </w:tcBorders>
            <w:shd w:val="clear" w:color="auto" w:fill="auto"/>
            <w:noWrap/>
            <w:vAlign w:val="center"/>
            <w:hideMark/>
          </w:tcPr>
          <w:p w14:paraId="75FBC848" w14:textId="77777777" w:rsidR="00FE4655" w:rsidRPr="00C41C59" w:rsidRDefault="00FE4655" w:rsidP="000349D5">
            <w:pPr>
              <w:jc w:val="center"/>
              <w:rPr>
                <w:color w:val="000000"/>
              </w:rPr>
            </w:pPr>
            <w:r w:rsidRPr="00C41C59">
              <w:rPr>
                <w:color w:val="000000"/>
              </w:rPr>
              <w:t>4.65</w:t>
            </w:r>
          </w:p>
        </w:tc>
        <w:tc>
          <w:tcPr>
            <w:tcW w:w="992" w:type="dxa"/>
            <w:tcBorders>
              <w:top w:val="nil"/>
              <w:left w:val="nil"/>
              <w:right w:val="nil"/>
            </w:tcBorders>
            <w:shd w:val="clear" w:color="auto" w:fill="auto"/>
            <w:noWrap/>
            <w:vAlign w:val="center"/>
            <w:hideMark/>
          </w:tcPr>
          <w:p w14:paraId="573F628C" w14:textId="77777777" w:rsidR="00FE4655" w:rsidRPr="00C41C59" w:rsidRDefault="00FE4655" w:rsidP="000349D5">
            <w:pPr>
              <w:jc w:val="center"/>
              <w:rPr>
                <w:color w:val="000000"/>
              </w:rPr>
            </w:pPr>
            <w:r w:rsidRPr="00C41C59">
              <w:rPr>
                <w:color w:val="000000"/>
              </w:rPr>
              <w:t>4.75</w:t>
            </w:r>
          </w:p>
        </w:tc>
        <w:tc>
          <w:tcPr>
            <w:tcW w:w="992" w:type="dxa"/>
            <w:tcBorders>
              <w:top w:val="nil"/>
              <w:left w:val="nil"/>
              <w:right w:val="nil"/>
            </w:tcBorders>
            <w:shd w:val="clear" w:color="auto" w:fill="auto"/>
            <w:noWrap/>
            <w:vAlign w:val="center"/>
            <w:hideMark/>
          </w:tcPr>
          <w:p w14:paraId="35B48062" w14:textId="77777777" w:rsidR="00FE4655" w:rsidRPr="00C41C59" w:rsidRDefault="00FE4655" w:rsidP="000349D5">
            <w:pPr>
              <w:jc w:val="center"/>
              <w:rPr>
                <w:color w:val="000000"/>
              </w:rPr>
            </w:pPr>
            <w:r w:rsidRPr="00C41C59">
              <w:rPr>
                <w:color w:val="000000"/>
              </w:rPr>
              <w:t>4.92</w:t>
            </w:r>
          </w:p>
        </w:tc>
        <w:tc>
          <w:tcPr>
            <w:tcW w:w="993" w:type="dxa"/>
            <w:tcBorders>
              <w:top w:val="nil"/>
              <w:left w:val="nil"/>
              <w:right w:val="nil"/>
            </w:tcBorders>
            <w:shd w:val="clear" w:color="auto" w:fill="auto"/>
            <w:noWrap/>
            <w:vAlign w:val="center"/>
            <w:hideMark/>
          </w:tcPr>
          <w:p w14:paraId="68ADFC2D" w14:textId="77777777" w:rsidR="00FE4655" w:rsidRPr="00C41C59" w:rsidRDefault="00FE4655" w:rsidP="000349D5">
            <w:pPr>
              <w:jc w:val="center"/>
              <w:rPr>
                <w:color w:val="000000"/>
              </w:rPr>
            </w:pPr>
            <w:r w:rsidRPr="00C41C59">
              <w:rPr>
                <w:color w:val="000000"/>
              </w:rPr>
              <w:t>5.19</w:t>
            </w:r>
          </w:p>
        </w:tc>
      </w:tr>
      <w:tr w:rsidR="00FE4655" w:rsidRPr="00C41C59" w14:paraId="25533EEB" w14:textId="77777777" w:rsidTr="000349D5">
        <w:trPr>
          <w:trHeight w:val="320"/>
          <w:jc w:val="center"/>
        </w:trPr>
        <w:tc>
          <w:tcPr>
            <w:tcW w:w="10065" w:type="dxa"/>
            <w:gridSpan w:val="10"/>
            <w:tcBorders>
              <w:top w:val="single" w:sz="4" w:space="0" w:color="auto"/>
              <w:left w:val="nil"/>
              <w:right w:val="nil"/>
            </w:tcBorders>
            <w:shd w:val="clear" w:color="auto" w:fill="auto"/>
            <w:noWrap/>
            <w:vAlign w:val="center"/>
          </w:tcPr>
          <w:p w14:paraId="05122CF4" w14:textId="77777777" w:rsidR="00FE4655" w:rsidRPr="00C41C59" w:rsidRDefault="00FE4655" w:rsidP="000349D5">
            <w:pPr>
              <w:rPr>
                <w:color w:val="000000"/>
              </w:rPr>
            </w:pPr>
            <w:r w:rsidRPr="00C41C59">
              <w:rPr>
                <w:color w:val="000000"/>
              </w:rPr>
              <w:t>Age range: 12.7 years to 36.0 years. Sparse data for chronological age &gt; 25 years</w:t>
            </w:r>
          </w:p>
        </w:tc>
      </w:tr>
    </w:tbl>
    <w:p w14:paraId="05A192A5" w14:textId="77777777" w:rsidR="00FE4655" w:rsidRDefault="00FE4655" w:rsidP="00FE4655"/>
    <w:tbl>
      <w:tblPr>
        <w:tblW w:w="10065" w:type="dxa"/>
        <w:jc w:val="center"/>
        <w:tblLook w:val="04A0" w:firstRow="1" w:lastRow="0" w:firstColumn="1" w:lastColumn="0" w:noHBand="0" w:noVBand="1"/>
      </w:tblPr>
      <w:tblGrid>
        <w:gridCol w:w="993"/>
        <w:gridCol w:w="992"/>
        <w:gridCol w:w="992"/>
        <w:gridCol w:w="992"/>
        <w:gridCol w:w="993"/>
        <w:gridCol w:w="1134"/>
        <w:gridCol w:w="992"/>
        <w:gridCol w:w="992"/>
        <w:gridCol w:w="992"/>
        <w:gridCol w:w="993"/>
      </w:tblGrid>
      <w:tr w:rsidR="00FE4655" w:rsidRPr="00637BB8" w14:paraId="7445C461" w14:textId="77777777" w:rsidTr="000349D5">
        <w:trPr>
          <w:trHeight w:val="320"/>
          <w:jc w:val="center"/>
        </w:trPr>
        <w:tc>
          <w:tcPr>
            <w:tcW w:w="10065" w:type="dxa"/>
            <w:gridSpan w:val="10"/>
            <w:tcBorders>
              <w:top w:val="nil"/>
              <w:left w:val="nil"/>
              <w:bottom w:val="single" w:sz="4" w:space="0" w:color="auto"/>
              <w:right w:val="nil"/>
            </w:tcBorders>
            <w:shd w:val="clear" w:color="auto" w:fill="auto"/>
            <w:noWrap/>
            <w:vAlign w:val="center"/>
            <w:hideMark/>
          </w:tcPr>
          <w:p w14:paraId="2311931F" w14:textId="77777777" w:rsidR="00FE4655" w:rsidRPr="00637BB8" w:rsidRDefault="00FE4655" w:rsidP="000349D5">
            <w:pPr>
              <w:rPr>
                <w:color w:val="000000"/>
              </w:rPr>
            </w:pPr>
            <w:r w:rsidRPr="00637BB8">
              <w:rPr>
                <w:b/>
                <w:bCs/>
                <w:color w:val="000000"/>
              </w:rPr>
              <w:t xml:space="preserve">Table </w:t>
            </w:r>
            <w:r>
              <w:rPr>
                <w:b/>
                <w:bCs/>
                <w:color w:val="000000"/>
              </w:rPr>
              <w:t>3</w:t>
            </w:r>
            <w:r w:rsidRPr="00637BB8">
              <w:rPr>
                <w:color w:val="000000"/>
              </w:rPr>
              <w:t>. Predicted reference centiles for CMJ height by chronological age (N=471, n=1629)</w:t>
            </w:r>
          </w:p>
        </w:tc>
      </w:tr>
      <w:tr w:rsidR="00FE4655" w:rsidRPr="00637BB8" w14:paraId="3BE1F257" w14:textId="77777777" w:rsidTr="000349D5">
        <w:trPr>
          <w:trHeight w:val="320"/>
          <w:jc w:val="center"/>
        </w:trPr>
        <w:tc>
          <w:tcPr>
            <w:tcW w:w="993" w:type="dxa"/>
            <w:tcBorders>
              <w:top w:val="nil"/>
              <w:left w:val="nil"/>
              <w:bottom w:val="single" w:sz="4" w:space="0" w:color="auto"/>
              <w:right w:val="nil"/>
            </w:tcBorders>
            <w:shd w:val="clear" w:color="auto" w:fill="auto"/>
            <w:noWrap/>
            <w:vAlign w:val="center"/>
            <w:hideMark/>
          </w:tcPr>
          <w:p w14:paraId="338BBF51" w14:textId="77777777" w:rsidR="00FE4655" w:rsidRPr="00637BB8" w:rsidRDefault="00FE4655" w:rsidP="000349D5">
            <w:pPr>
              <w:jc w:val="center"/>
              <w:rPr>
                <w:color w:val="000000"/>
              </w:rPr>
            </w:pPr>
            <w:r w:rsidRPr="00637BB8">
              <w:rPr>
                <w:color w:val="000000"/>
              </w:rPr>
              <w:t>Age</w:t>
            </w:r>
          </w:p>
        </w:tc>
        <w:tc>
          <w:tcPr>
            <w:tcW w:w="992" w:type="dxa"/>
            <w:tcBorders>
              <w:top w:val="nil"/>
              <w:left w:val="nil"/>
              <w:bottom w:val="single" w:sz="4" w:space="0" w:color="auto"/>
              <w:right w:val="nil"/>
            </w:tcBorders>
            <w:shd w:val="clear" w:color="auto" w:fill="auto"/>
            <w:noWrap/>
            <w:vAlign w:val="center"/>
            <w:hideMark/>
          </w:tcPr>
          <w:p w14:paraId="1337467E" w14:textId="77777777" w:rsidR="00FE4655" w:rsidRPr="00637BB8" w:rsidRDefault="00FE4655" w:rsidP="000349D5">
            <w:pPr>
              <w:jc w:val="center"/>
              <w:rPr>
                <w:color w:val="000000"/>
              </w:rPr>
            </w:pPr>
            <w:r w:rsidRPr="00637BB8">
              <w:rPr>
                <w:color w:val="000000"/>
              </w:rPr>
              <w:t>0.4</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4A980EDD" w14:textId="77777777" w:rsidR="00FE4655" w:rsidRPr="00637BB8" w:rsidRDefault="00FE4655" w:rsidP="000349D5">
            <w:pPr>
              <w:jc w:val="center"/>
              <w:rPr>
                <w:color w:val="000000"/>
              </w:rPr>
            </w:pPr>
            <w:r w:rsidRPr="00637BB8">
              <w:rPr>
                <w:color w:val="000000"/>
              </w:rPr>
              <w:t>2</w:t>
            </w:r>
            <w:r w:rsidRPr="00637BB8">
              <w:rPr>
                <w:color w:val="000000"/>
                <w:vertAlign w:val="superscript"/>
              </w:rPr>
              <w:t>nd</w:t>
            </w:r>
          </w:p>
        </w:tc>
        <w:tc>
          <w:tcPr>
            <w:tcW w:w="992" w:type="dxa"/>
            <w:tcBorders>
              <w:top w:val="nil"/>
              <w:left w:val="nil"/>
              <w:bottom w:val="single" w:sz="4" w:space="0" w:color="auto"/>
              <w:right w:val="nil"/>
            </w:tcBorders>
            <w:shd w:val="clear" w:color="auto" w:fill="auto"/>
            <w:noWrap/>
            <w:vAlign w:val="center"/>
            <w:hideMark/>
          </w:tcPr>
          <w:p w14:paraId="467F0BE0" w14:textId="77777777" w:rsidR="00FE4655" w:rsidRPr="00637BB8" w:rsidRDefault="00FE4655" w:rsidP="000349D5">
            <w:pPr>
              <w:jc w:val="center"/>
              <w:rPr>
                <w:color w:val="000000"/>
              </w:rPr>
            </w:pPr>
            <w:r w:rsidRPr="00637BB8">
              <w:rPr>
                <w:color w:val="000000"/>
              </w:rPr>
              <w:t>9</w:t>
            </w:r>
            <w:r w:rsidRPr="00637BB8">
              <w:rPr>
                <w:color w:val="000000"/>
                <w:vertAlign w:val="superscript"/>
              </w:rPr>
              <w:t>th</w:t>
            </w:r>
          </w:p>
        </w:tc>
        <w:tc>
          <w:tcPr>
            <w:tcW w:w="993" w:type="dxa"/>
            <w:tcBorders>
              <w:top w:val="nil"/>
              <w:left w:val="nil"/>
              <w:bottom w:val="single" w:sz="4" w:space="0" w:color="auto"/>
              <w:right w:val="nil"/>
            </w:tcBorders>
            <w:shd w:val="clear" w:color="auto" w:fill="auto"/>
            <w:noWrap/>
            <w:vAlign w:val="center"/>
            <w:hideMark/>
          </w:tcPr>
          <w:p w14:paraId="12F7772E" w14:textId="77777777" w:rsidR="00FE4655" w:rsidRPr="00637BB8" w:rsidRDefault="00FE4655" w:rsidP="000349D5">
            <w:pPr>
              <w:jc w:val="center"/>
              <w:rPr>
                <w:color w:val="000000"/>
              </w:rPr>
            </w:pPr>
            <w:r w:rsidRPr="00637BB8">
              <w:rPr>
                <w:color w:val="000000"/>
              </w:rPr>
              <w:t>25</w:t>
            </w:r>
            <w:r w:rsidRPr="00637BB8">
              <w:rPr>
                <w:color w:val="000000"/>
                <w:vertAlign w:val="superscript"/>
              </w:rPr>
              <w:t>th</w:t>
            </w:r>
          </w:p>
        </w:tc>
        <w:tc>
          <w:tcPr>
            <w:tcW w:w="1134" w:type="dxa"/>
            <w:tcBorders>
              <w:top w:val="nil"/>
              <w:left w:val="nil"/>
              <w:bottom w:val="single" w:sz="4" w:space="0" w:color="auto"/>
              <w:right w:val="nil"/>
            </w:tcBorders>
            <w:shd w:val="clear" w:color="auto" w:fill="auto"/>
            <w:noWrap/>
            <w:vAlign w:val="center"/>
            <w:hideMark/>
          </w:tcPr>
          <w:p w14:paraId="3AA3DB48" w14:textId="77777777" w:rsidR="00FE4655" w:rsidRPr="00637BB8" w:rsidRDefault="00FE4655" w:rsidP="000349D5">
            <w:pPr>
              <w:jc w:val="center"/>
              <w:rPr>
                <w:color w:val="000000"/>
              </w:rPr>
            </w:pPr>
            <w:r w:rsidRPr="00637BB8">
              <w:rPr>
                <w:color w:val="000000"/>
              </w:rPr>
              <w:t>50</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3B201C25" w14:textId="77777777" w:rsidR="00FE4655" w:rsidRPr="00637BB8" w:rsidRDefault="00FE4655" w:rsidP="000349D5">
            <w:pPr>
              <w:jc w:val="center"/>
              <w:rPr>
                <w:color w:val="000000"/>
              </w:rPr>
            </w:pPr>
            <w:r w:rsidRPr="00637BB8">
              <w:rPr>
                <w:color w:val="000000"/>
              </w:rPr>
              <w:t>75</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59E479C0" w14:textId="77777777" w:rsidR="00FE4655" w:rsidRPr="00637BB8" w:rsidRDefault="00FE4655" w:rsidP="000349D5">
            <w:pPr>
              <w:jc w:val="center"/>
              <w:rPr>
                <w:color w:val="000000"/>
              </w:rPr>
            </w:pPr>
            <w:r w:rsidRPr="00637BB8">
              <w:rPr>
                <w:color w:val="000000"/>
              </w:rPr>
              <w:t>91</w:t>
            </w:r>
            <w:r w:rsidRPr="00637BB8">
              <w:rPr>
                <w:color w:val="000000"/>
                <w:vertAlign w:val="superscript"/>
              </w:rPr>
              <w:t>st</w:t>
            </w:r>
          </w:p>
        </w:tc>
        <w:tc>
          <w:tcPr>
            <w:tcW w:w="992" w:type="dxa"/>
            <w:tcBorders>
              <w:top w:val="nil"/>
              <w:left w:val="nil"/>
              <w:bottom w:val="single" w:sz="4" w:space="0" w:color="auto"/>
              <w:right w:val="nil"/>
            </w:tcBorders>
            <w:shd w:val="clear" w:color="auto" w:fill="auto"/>
            <w:noWrap/>
            <w:vAlign w:val="center"/>
            <w:hideMark/>
          </w:tcPr>
          <w:p w14:paraId="2D1FB170" w14:textId="77777777" w:rsidR="00FE4655" w:rsidRPr="00637BB8" w:rsidRDefault="00FE4655" w:rsidP="000349D5">
            <w:pPr>
              <w:jc w:val="center"/>
              <w:rPr>
                <w:color w:val="000000"/>
              </w:rPr>
            </w:pPr>
            <w:r w:rsidRPr="00637BB8">
              <w:rPr>
                <w:color w:val="000000"/>
              </w:rPr>
              <w:t>98</w:t>
            </w:r>
            <w:r w:rsidRPr="00637BB8">
              <w:rPr>
                <w:color w:val="000000"/>
                <w:vertAlign w:val="superscript"/>
              </w:rPr>
              <w:t>th</w:t>
            </w:r>
          </w:p>
        </w:tc>
        <w:tc>
          <w:tcPr>
            <w:tcW w:w="993" w:type="dxa"/>
            <w:tcBorders>
              <w:top w:val="nil"/>
              <w:left w:val="nil"/>
              <w:bottom w:val="single" w:sz="4" w:space="0" w:color="auto"/>
              <w:right w:val="nil"/>
            </w:tcBorders>
            <w:shd w:val="clear" w:color="auto" w:fill="auto"/>
            <w:noWrap/>
            <w:vAlign w:val="center"/>
            <w:hideMark/>
          </w:tcPr>
          <w:p w14:paraId="33E6E4BD" w14:textId="77777777" w:rsidR="00FE4655" w:rsidRPr="00637BB8" w:rsidRDefault="00FE4655" w:rsidP="000349D5">
            <w:pPr>
              <w:jc w:val="center"/>
              <w:rPr>
                <w:color w:val="000000"/>
              </w:rPr>
            </w:pPr>
            <w:r w:rsidRPr="00637BB8">
              <w:rPr>
                <w:color w:val="000000"/>
              </w:rPr>
              <w:t>99.6</w:t>
            </w:r>
            <w:r w:rsidRPr="00637BB8">
              <w:rPr>
                <w:color w:val="000000"/>
                <w:vertAlign w:val="superscript"/>
              </w:rPr>
              <w:t>th</w:t>
            </w:r>
          </w:p>
        </w:tc>
      </w:tr>
      <w:tr w:rsidR="00FE4655" w:rsidRPr="00637BB8" w14:paraId="1694FCC3"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661AB89D" w14:textId="77777777" w:rsidR="00FE4655" w:rsidRPr="00637BB8" w:rsidRDefault="00FE4655" w:rsidP="000349D5">
            <w:pPr>
              <w:jc w:val="center"/>
              <w:rPr>
                <w:color w:val="000000"/>
              </w:rPr>
            </w:pPr>
            <w:r w:rsidRPr="00637BB8">
              <w:rPr>
                <w:color w:val="000000"/>
              </w:rPr>
              <w:t>13</w:t>
            </w:r>
          </w:p>
        </w:tc>
        <w:tc>
          <w:tcPr>
            <w:tcW w:w="992" w:type="dxa"/>
            <w:tcBorders>
              <w:top w:val="nil"/>
              <w:left w:val="nil"/>
              <w:bottom w:val="nil"/>
              <w:right w:val="nil"/>
            </w:tcBorders>
            <w:shd w:val="clear" w:color="auto" w:fill="auto"/>
            <w:noWrap/>
            <w:vAlign w:val="center"/>
            <w:hideMark/>
          </w:tcPr>
          <w:p w14:paraId="2A29440A" w14:textId="77777777" w:rsidR="00FE4655" w:rsidRPr="00637BB8" w:rsidRDefault="00FE4655" w:rsidP="000349D5">
            <w:pPr>
              <w:jc w:val="center"/>
              <w:rPr>
                <w:color w:val="000000"/>
              </w:rPr>
            </w:pPr>
            <w:r w:rsidRPr="00637BB8">
              <w:rPr>
                <w:color w:val="000000"/>
              </w:rPr>
              <w:t>18.3</w:t>
            </w:r>
          </w:p>
        </w:tc>
        <w:tc>
          <w:tcPr>
            <w:tcW w:w="992" w:type="dxa"/>
            <w:tcBorders>
              <w:top w:val="nil"/>
              <w:left w:val="nil"/>
              <w:bottom w:val="nil"/>
              <w:right w:val="nil"/>
            </w:tcBorders>
            <w:shd w:val="clear" w:color="auto" w:fill="auto"/>
            <w:noWrap/>
            <w:vAlign w:val="center"/>
            <w:hideMark/>
          </w:tcPr>
          <w:p w14:paraId="0C2407C8" w14:textId="77777777" w:rsidR="00FE4655" w:rsidRPr="00637BB8" w:rsidRDefault="00FE4655" w:rsidP="000349D5">
            <w:pPr>
              <w:jc w:val="center"/>
              <w:rPr>
                <w:color w:val="000000"/>
              </w:rPr>
            </w:pPr>
            <w:r w:rsidRPr="00637BB8">
              <w:rPr>
                <w:color w:val="000000"/>
              </w:rPr>
              <w:t>20.1</w:t>
            </w:r>
          </w:p>
        </w:tc>
        <w:tc>
          <w:tcPr>
            <w:tcW w:w="992" w:type="dxa"/>
            <w:tcBorders>
              <w:top w:val="nil"/>
              <w:left w:val="nil"/>
              <w:bottom w:val="nil"/>
              <w:right w:val="nil"/>
            </w:tcBorders>
            <w:shd w:val="clear" w:color="auto" w:fill="auto"/>
            <w:noWrap/>
            <w:vAlign w:val="center"/>
            <w:hideMark/>
          </w:tcPr>
          <w:p w14:paraId="5D4B3675" w14:textId="77777777" w:rsidR="00FE4655" w:rsidRPr="00637BB8" w:rsidRDefault="00FE4655" w:rsidP="000349D5">
            <w:pPr>
              <w:jc w:val="center"/>
              <w:rPr>
                <w:color w:val="000000"/>
              </w:rPr>
            </w:pPr>
            <w:r w:rsidRPr="00637BB8">
              <w:rPr>
                <w:color w:val="000000"/>
              </w:rPr>
              <w:t>22.4</w:t>
            </w:r>
          </w:p>
        </w:tc>
        <w:tc>
          <w:tcPr>
            <w:tcW w:w="993" w:type="dxa"/>
            <w:tcBorders>
              <w:top w:val="nil"/>
              <w:left w:val="nil"/>
              <w:bottom w:val="nil"/>
              <w:right w:val="nil"/>
            </w:tcBorders>
            <w:shd w:val="clear" w:color="auto" w:fill="auto"/>
            <w:noWrap/>
            <w:vAlign w:val="center"/>
            <w:hideMark/>
          </w:tcPr>
          <w:p w14:paraId="29750630" w14:textId="77777777" w:rsidR="00FE4655" w:rsidRPr="00637BB8" w:rsidRDefault="00FE4655" w:rsidP="000349D5">
            <w:pPr>
              <w:jc w:val="center"/>
              <w:rPr>
                <w:color w:val="000000"/>
              </w:rPr>
            </w:pPr>
            <w:r w:rsidRPr="00637BB8">
              <w:rPr>
                <w:color w:val="000000"/>
              </w:rPr>
              <w:t>24.8</w:t>
            </w:r>
          </w:p>
        </w:tc>
        <w:tc>
          <w:tcPr>
            <w:tcW w:w="1134" w:type="dxa"/>
            <w:tcBorders>
              <w:top w:val="nil"/>
              <w:left w:val="nil"/>
              <w:bottom w:val="nil"/>
              <w:right w:val="nil"/>
            </w:tcBorders>
            <w:shd w:val="clear" w:color="auto" w:fill="auto"/>
            <w:noWrap/>
            <w:vAlign w:val="center"/>
            <w:hideMark/>
          </w:tcPr>
          <w:p w14:paraId="097B378F" w14:textId="77777777" w:rsidR="00FE4655" w:rsidRPr="00637BB8" w:rsidRDefault="00FE4655" w:rsidP="000349D5">
            <w:pPr>
              <w:jc w:val="center"/>
              <w:rPr>
                <w:color w:val="000000"/>
              </w:rPr>
            </w:pPr>
            <w:r w:rsidRPr="00637BB8">
              <w:rPr>
                <w:color w:val="000000"/>
              </w:rPr>
              <w:t>27.3</w:t>
            </w:r>
          </w:p>
        </w:tc>
        <w:tc>
          <w:tcPr>
            <w:tcW w:w="992" w:type="dxa"/>
            <w:tcBorders>
              <w:top w:val="nil"/>
              <w:left w:val="nil"/>
              <w:bottom w:val="nil"/>
              <w:right w:val="nil"/>
            </w:tcBorders>
            <w:shd w:val="clear" w:color="auto" w:fill="auto"/>
            <w:noWrap/>
            <w:vAlign w:val="center"/>
            <w:hideMark/>
          </w:tcPr>
          <w:p w14:paraId="570F0D70" w14:textId="77777777" w:rsidR="00FE4655" w:rsidRPr="00637BB8" w:rsidRDefault="00FE4655" w:rsidP="000349D5">
            <w:pPr>
              <w:jc w:val="center"/>
              <w:rPr>
                <w:color w:val="000000"/>
              </w:rPr>
            </w:pPr>
            <w:r w:rsidRPr="00637BB8">
              <w:rPr>
                <w:color w:val="000000"/>
              </w:rPr>
              <w:t>29.9</w:t>
            </w:r>
          </w:p>
        </w:tc>
        <w:tc>
          <w:tcPr>
            <w:tcW w:w="992" w:type="dxa"/>
            <w:tcBorders>
              <w:top w:val="nil"/>
              <w:left w:val="nil"/>
              <w:bottom w:val="nil"/>
              <w:right w:val="nil"/>
            </w:tcBorders>
            <w:shd w:val="clear" w:color="auto" w:fill="auto"/>
            <w:noWrap/>
            <w:vAlign w:val="center"/>
            <w:hideMark/>
          </w:tcPr>
          <w:p w14:paraId="77836D22" w14:textId="77777777" w:rsidR="00FE4655" w:rsidRPr="00637BB8" w:rsidRDefault="00FE4655" w:rsidP="000349D5">
            <w:pPr>
              <w:jc w:val="center"/>
              <w:rPr>
                <w:color w:val="000000"/>
              </w:rPr>
            </w:pPr>
            <w:r w:rsidRPr="00637BB8">
              <w:rPr>
                <w:color w:val="000000"/>
              </w:rPr>
              <w:t>32.7</w:t>
            </w:r>
          </w:p>
        </w:tc>
        <w:tc>
          <w:tcPr>
            <w:tcW w:w="992" w:type="dxa"/>
            <w:tcBorders>
              <w:top w:val="nil"/>
              <w:left w:val="nil"/>
              <w:bottom w:val="nil"/>
              <w:right w:val="nil"/>
            </w:tcBorders>
            <w:shd w:val="clear" w:color="auto" w:fill="auto"/>
            <w:noWrap/>
            <w:vAlign w:val="center"/>
            <w:hideMark/>
          </w:tcPr>
          <w:p w14:paraId="07FE9D54" w14:textId="77777777" w:rsidR="00FE4655" w:rsidRPr="00637BB8" w:rsidRDefault="00FE4655" w:rsidP="000349D5">
            <w:pPr>
              <w:jc w:val="center"/>
              <w:rPr>
                <w:color w:val="000000"/>
              </w:rPr>
            </w:pPr>
            <w:r w:rsidRPr="00637BB8">
              <w:rPr>
                <w:color w:val="000000"/>
              </w:rPr>
              <w:t>35.9</w:t>
            </w:r>
          </w:p>
        </w:tc>
        <w:tc>
          <w:tcPr>
            <w:tcW w:w="993" w:type="dxa"/>
            <w:tcBorders>
              <w:top w:val="nil"/>
              <w:left w:val="nil"/>
              <w:bottom w:val="nil"/>
              <w:right w:val="nil"/>
            </w:tcBorders>
            <w:shd w:val="clear" w:color="auto" w:fill="auto"/>
            <w:noWrap/>
            <w:vAlign w:val="center"/>
            <w:hideMark/>
          </w:tcPr>
          <w:p w14:paraId="4DE64940" w14:textId="77777777" w:rsidR="00FE4655" w:rsidRPr="00637BB8" w:rsidRDefault="00FE4655" w:rsidP="000349D5">
            <w:pPr>
              <w:jc w:val="center"/>
              <w:rPr>
                <w:color w:val="000000"/>
              </w:rPr>
            </w:pPr>
            <w:r w:rsidRPr="00637BB8">
              <w:rPr>
                <w:color w:val="000000"/>
              </w:rPr>
              <w:t>38.7</w:t>
            </w:r>
          </w:p>
        </w:tc>
      </w:tr>
      <w:tr w:rsidR="00FE4655" w:rsidRPr="00637BB8" w14:paraId="0CB3A76F"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6CB17684" w14:textId="77777777" w:rsidR="00FE4655" w:rsidRPr="00637BB8" w:rsidRDefault="00FE4655" w:rsidP="000349D5">
            <w:pPr>
              <w:jc w:val="center"/>
              <w:rPr>
                <w:color w:val="000000"/>
              </w:rPr>
            </w:pPr>
            <w:r w:rsidRPr="00637BB8">
              <w:rPr>
                <w:color w:val="000000"/>
              </w:rPr>
              <w:t>15</w:t>
            </w:r>
          </w:p>
        </w:tc>
        <w:tc>
          <w:tcPr>
            <w:tcW w:w="992" w:type="dxa"/>
            <w:tcBorders>
              <w:top w:val="nil"/>
              <w:left w:val="nil"/>
              <w:bottom w:val="nil"/>
              <w:right w:val="nil"/>
            </w:tcBorders>
            <w:shd w:val="clear" w:color="auto" w:fill="auto"/>
            <w:noWrap/>
            <w:vAlign w:val="center"/>
            <w:hideMark/>
          </w:tcPr>
          <w:p w14:paraId="6F1C9033" w14:textId="77777777" w:rsidR="00FE4655" w:rsidRPr="00637BB8" w:rsidRDefault="00FE4655" w:rsidP="000349D5">
            <w:pPr>
              <w:jc w:val="center"/>
              <w:rPr>
                <w:color w:val="000000"/>
              </w:rPr>
            </w:pPr>
            <w:r w:rsidRPr="00637BB8">
              <w:rPr>
                <w:color w:val="000000"/>
              </w:rPr>
              <w:t>19.3</w:t>
            </w:r>
          </w:p>
        </w:tc>
        <w:tc>
          <w:tcPr>
            <w:tcW w:w="992" w:type="dxa"/>
            <w:tcBorders>
              <w:top w:val="nil"/>
              <w:left w:val="nil"/>
              <w:bottom w:val="nil"/>
              <w:right w:val="nil"/>
            </w:tcBorders>
            <w:shd w:val="clear" w:color="auto" w:fill="auto"/>
            <w:noWrap/>
            <w:vAlign w:val="center"/>
            <w:hideMark/>
          </w:tcPr>
          <w:p w14:paraId="35D4E43F" w14:textId="77777777" w:rsidR="00FE4655" w:rsidRPr="00637BB8" w:rsidRDefault="00FE4655" w:rsidP="000349D5">
            <w:pPr>
              <w:jc w:val="center"/>
              <w:rPr>
                <w:color w:val="000000"/>
              </w:rPr>
            </w:pPr>
            <w:r w:rsidRPr="00637BB8">
              <w:rPr>
                <w:color w:val="000000"/>
              </w:rPr>
              <w:t>21.2</w:t>
            </w:r>
          </w:p>
        </w:tc>
        <w:tc>
          <w:tcPr>
            <w:tcW w:w="992" w:type="dxa"/>
            <w:tcBorders>
              <w:top w:val="nil"/>
              <w:left w:val="nil"/>
              <w:bottom w:val="nil"/>
              <w:right w:val="nil"/>
            </w:tcBorders>
            <w:shd w:val="clear" w:color="auto" w:fill="auto"/>
            <w:noWrap/>
            <w:vAlign w:val="center"/>
            <w:hideMark/>
          </w:tcPr>
          <w:p w14:paraId="43451822" w14:textId="77777777" w:rsidR="00FE4655" w:rsidRPr="00637BB8" w:rsidRDefault="00FE4655" w:rsidP="000349D5">
            <w:pPr>
              <w:jc w:val="center"/>
              <w:rPr>
                <w:color w:val="000000"/>
              </w:rPr>
            </w:pPr>
            <w:r w:rsidRPr="00637BB8">
              <w:rPr>
                <w:color w:val="000000"/>
              </w:rPr>
              <w:t>23.7</w:t>
            </w:r>
          </w:p>
        </w:tc>
        <w:tc>
          <w:tcPr>
            <w:tcW w:w="993" w:type="dxa"/>
            <w:tcBorders>
              <w:top w:val="nil"/>
              <w:left w:val="nil"/>
              <w:bottom w:val="nil"/>
              <w:right w:val="nil"/>
            </w:tcBorders>
            <w:shd w:val="clear" w:color="auto" w:fill="auto"/>
            <w:noWrap/>
            <w:vAlign w:val="center"/>
            <w:hideMark/>
          </w:tcPr>
          <w:p w14:paraId="4CBBA29F" w14:textId="77777777" w:rsidR="00FE4655" w:rsidRPr="00637BB8" w:rsidRDefault="00FE4655" w:rsidP="000349D5">
            <w:pPr>
              <w:jc w:val="center"/>
              <w:rPr>
                <w:color w:val="000000"/>
              </w:rPr>
            </w:pPr>
            <w:r w:rsidRPr="00637BB8">
              <w:rPr>
                <w:color w:val="000000"/>
              </w:rPr>
              <w:t>26.1</w:t>
            </w:r>
          </w:p>
        </w:tc>
        <w:tc>
          <w:tcPr>
            <w:tcW w:w="1134" w:type="dxa"/>
            <w:tcBorders>
              <w:top w:val="nil"/>
              <w:left w:val="nil"/>
              <w:bottom w:val="nil"/>
              <w:right w:val="nil"/>
            </w:tcBorders>
            <w:shd w:val="clear" w:color="auto" w:fill="auto"/>
            <w:noWrap/>
            <w:vAlign w:val="center"/>
            <w:hideMark/>
          </w:tcPr>
          <w:p w14:paraId="555A9889" w14:textId="77777777" w:rsidR="00FE4655" w:rsidRPr="00637BB8" w:rsidRDefault="00FE4655" w:rsidP="000349D5">
            <w:pPr>
              <w:jc w:val="center"/>
              <w:rPr>
                <w:color w:val="000000"/>
              </w:rPr>
            </w:pPr>
            <w:r w:rsidRPr="00637BB8">
              <w:rPr>
                <w:color w:val="000000"/>
              </w:rPr>
              <w:t>28.7</w:t>
            </w:r>
          </w:p>
        </w:tc>
        <w:tc>
          <w:tcPr>
            <w:tcW w:w="992" w:type="dxa"/>
            <w:tcBorders>
              <w:top w:val="nil"/>
              <w:left w:val="nil"/>
              <w:bottom w:val="nil"/>
              <w:right w:val="nil"/>
            </w:tcBorders>
            <w:shd w:val="clear" w:color="auto" w:fill="auto"/>
            <w:noWrap/>
            <w:vAlign w:val="center"/>
            <w:hideMark/>
          </w:tcPr>
          <w:p w14:paraId="0F9A9365" w14:textId="77777777" w:rsidR="00FE4655" w:rsidRPr="00637BB8" w:rsidRDefault="00FE4655" w:rsidP="000349D5">
            <w:pPr>
              <w:jc w:val="center"/>
              <w:rPr>
                <w:color w:val="000000"/>
              </w:rPr>
            </w:pPr>
            <w:r w:rsidRPr="00637BB8">
              <w:rPr>
                <w:color w:val="000000"/>
              </w:rPr>
              <w:t>31.4</w:t>
            </w:r>
          </w:p>
        </w:tc>
        <w:tc>
          <w:tcPr>
            <w:tcW w:w="992" w:type="dxa"/>
            <w:tcBorders>
              <w:top w:val="nil"/>
              <w:left w:val="nil"/>
              <w:bottom w:val="nil"/>
              <w:right w:val="nil"/>
            </w:tcBorders>
            <w:shd w:val="clear" w:color="auto" w:fill="auto"/>
            <w:noWrap/>
            <w:vAlign w:val="center"/>
            <w:hideMark/>
          </w:tcPr>
          <w:p w14:paraId="38153214" w14:textId="77777777" w:rsidR="00FE4655" w:rsidRPr="00637BB8" w:rsidRDefault="00FE4655" w:rsidP="000349D5">
            <w:pPr>
              <w:jc w:val="center"/>
              <w:rPr>
                <w:color w:val="000000"/>
              </w:rPr>
            </w:pPr>
            <w:r w:rsidRPr="00637BB8">
              <w:rPr>
                <w:color w:val="000000"/>
              </w:rPr>
              <w:t>34.2</w:t>
            </w:r>
          </w:p>
        </w:tc>
        <w:tc>
          <w:tcPr>
            <w:tcW w:w="992" w:type="dxa"/>
            <w:tcBorders>
              <w:top w:val="nil"/>
              <w:left w:val="nil"/>
              <w:bottom w:val="nil"/>
              <w:right w:val="nil"/>
            </w:tcBorders>
            <w:shd w:val="clear" w:color="auto" w:fill="auto"/>
            <w:noWrap/>
            <w:vAlign w:val="center"/>
            <w:hideMark/>
          </w:tcPr>
          <w:p w14:paraId="202EFF6F" w14:textId="77777777" w:rsidR="00FE4655" w:rsidRPr="00637BB8" w:rsidRDefault="00FE4655" w:rsidP="000349D5">
            <w:pPr>
              <w:jc w:val="center"/>
              <w:rPr>
                <w:color w:val="000000"/>
              </w:rPr>
            </w:pPr>
            <w:r w:rsidRPr="00637BB8">
              <w:rPr>
                <w:color w:val="000000"/>
              </w:rPr>
              <w:t>37.4</w:t>
            </w:r>
          </w:p>
        </w:tc>
        <w:tc>
          <w:tcPr>
            <w:tcW w:w="993" w:type="dxa"/>
            <w:tcBorders>
              <w:top w:val="nil"/>
              <w:left w:val="nil"/>
              <w:bottom w:val="nil"/>
              <w:right w:val="nil"/>
            </w:tcBorders>
            <w:shd w:val="clear" w:color="auto" w:fill="auto"/>
            <w:noWrap/>
            <w:vAlign w:val="center"/>
            <w:hideMark/>
          </w:tcPr>
          <w:p w14:paraId="460A1AD1" w14:textId="77777777" w:rsidR="00FE4655" w:rsidRPr="00637BB8" w:rsidRDefault="00FE4655" w:rsidP="000349D5">
            <w:pPr>
              <w:jc w:val="center"/>
              <w:rPr>
                <w:color w:val="000000"/>
              </w:rPr>
            </w:pPr>
            <w:r w:rsidRPr="00637BB8">
              <w:rPr>
                <w:color w:val="000000"/>
              </w:rPr>
              <w:t>40.3</w:t>
            </w:r>
          </w:p>
        </w:tc>
      </w:tr>
      <w:tr w:rsidR="00FE4655" w:rsidRPr="00637BB8" w14:paraId="6F3ECD02"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632B0931" w14:textId="77777777" w:rsidR="00FE4655" w:rsidRPr="00637BB8" w:rsidRDefault="00FE4655" w:rsidP="000349D5">
            <w:pPr>
              <w:jc w:val="center"/>
              <w:rPr>
                <w:color w:val="000000"/>
              </w:rPr>
            </w:pPr>
            <w:r w:rsidRPr="00637BB8">
              <w:rPr>
                <w:color w:val="000000"/>
              </w:rPr>
              <w:t>17</w:t>
            </w:r>
          </w:p>
        </w:tc>
        <w:tc>
          <w:tcPr>
            <w:tcW w:w="992" w:type="dxa"/>
            <w:tcBorders>
              <w:top w:val="nil"/>
              <w:left w:val="nil"/>
              <w:bottom w:val="nil"/>
              <w:right w:val="nil"/>
            </w:tcBorders>
            <w:shd w:val="clear" w:color="auto" w:fill="auto"/>
            <w:noWrap/>
            <w:vAlign w:val="center"/>
            <w:hideMark/>
          </w:tcPr>
          <w:p w14:paraId="050C7BAA" w14:textId="77777777" w:rsidR="00FE4655" w:rsidRPr="00637BB8" w:rsidRDefault="00FE4655" w:rsidP="000349D5">
            <w:pPr>
              <w:jc w:val="center"/>
              <w:rPr>
                <w:color w:val="000000"/>
              </w:rPr>
            </w:pPr>
            <w:r w:rsidRPr="00637BB8">
              <w:rPr>
                <w:color w:val="000000"/>
              </w:rPr>
              <w:t>20.0</w:t>
            </w:r>
          </w:p>
        </w:tc>
        <w:tc>
          <w:tcPr>
            <w:tcW w:w="992" w:type="dxa"/>
            <w:tcBorders>
              <w:top w:val="nil"/>
              <w:left w:val="nil"/>
              <w:bottom w:val="nil"/>
              <w:right w:val="nil"/>
            </w:tcBorders>
            <w:shd w:val="clear" w:color="auto" w:fill="auto"/>
            <w:noWrap/>
            <w:vAlign w:val="center"/>
            <w:hideMark/>
          </w:tcPr>
          <w:p w14:paraId="4AF0DA96" w14:textId="77777777" w:rsidR="00FE4655" w:rsidRPr="00637BB8" w:rsidRDefault="00FE4655" w:rsidP="000349D5">
            <w:pPr>
              <w:jc w:val="center"/>
              <w:rPr>
                <w:color w:val="000000"/>
              </w:rPr>
            </w:pPr>
            <w:r w:rsidRPr="00637BB8">
              <w:rPr>
                <w:color w:val="000000"/>
              </w:rPr>
              <w:t>22.0</w:t>
            </w:r>
          </w:p>
        </w:tc>
        <w:tc>
          <w:tcPr>
            <w:tcW w:w="992" w:type="dxa"/>
            <w:tcBorders>
              <w:top w:val="nil"/>
              <w:left w:val="nil"/>
              <w:bottom w:val="nil"/>
              <w:right w:val="nil"/>
            </w:tcBorders>
            <w:shd w:val="clear" w:color="auto" w:fill="auto"/>
            <w:noWrap/>
            <w:vAlign w:val="center"/>
            <w:hideMark/>
          </w:tcPr>
          <w:p w14:paraId="14FE7E51" w14:textId="77777777" w:rsidR="00FE4655" w:rsidRPr="00637BB8" w:rsidRDefault="00FE4655" w:rsidP="000349D5">
            <w:pPr>
              <w:jc w:val="center"/>
              <w:rPr>
                <w:color w:val="000000"/>
              </w:rPr>
            </w:pPr>
            <w:r w:rsidRPr="00637BB8">
              <w:rPr>
                <w:color w:val="000000"/>
              </w:rPr>
              <w:t>24.5</w:t>
            </w:r>
          </w:p>
        </w:tc>
        <w:tc>
          <w:tcPr>
            <w:tcW w:w="993" w:type="dxa"/>
            <w:tcBorders>
              <w:top w:val="nil"/>
              <w:left w:val="nil"/>
              <w:bottom w:val="nil"/>
              <w:right w:val="nil"/>
            </w:tcBorders>
            <w:shd w:val="clear" w:color="auto" w:fill="auto"/>
            <w:noWrap/>
            <w:vAlign w:val="center"/>
            <w:hideMark/>
          </w:tcPr>
          <w:p w14:paraId="0240AA65" w14:textId="77777777" w:rsidR="00FE4655" w:rsidRPr="00637BB8" w:rsidRDefault="00FE4655" w:rsidP="000349D5">
            <w:pPr>
              <w:jc w:val="center"/>
              <w:rPr>
                <w:color w:val="000000"/>
              </w:rPr>
            </w:pPr>
            <w:r w:rsidRPr="00637BB8">
              <w:rPr>
                <w:color w:val="000000"/>
              </w:rPr>
              <w:t>27.0</w:t>
            </w:r>
          </w:p>
        </w:tc>
        <w:tc>
          <w:tcPr>
            <w:tcW w:w="1134" w:type="dxa"/>
            <w:tcBorders>
              <w:top w:val="nil"/>
              <w:left w:val="nil"/>
              <w:bottom w:val="nil"/>
              <w:right w:val="nil"/>
            </w:tcBorders>
            <w:shd w:val="clear" w:color="auto" w:fill="auto"/>
            <w:noWrap/>
            <w:vAlign w:val="center"/>
            <w:hideMark/>
          </w:tcPr>
          <w:p w14:paraId="05D58451" w14:textId="77777777" w:rsidR="00FE4655" w:rsidRPr="00637BB8" w:rsidRDefault="00FE4655" w:rsidP="000349D5">
            <w:pPr>
              <w:jc w:val="center"/>
              <w:rPr>
                <w:color w:val="000000"/>
              </w:rPr>
            </w:pPr>
            <w:r w:rsidRPr="00637BB8">
              <w:rPr>
                <w:color w:val="000000"/>
              </w:rPr>
              <w:t>29.7</w:t>
            </w:r>
          </w:p>
        </w:tc>
        <w:tc>
          <w:tcPr>
            <w:tcW w:w="992" w:type="dxa"/>
            <w:tcBorders>
              <w:top w:val="nil"/>
              <w:left w:val="nil"/>
              <w:bottom w:val="nil"/>
              <w:right w:val="nil"/>
            </w:tcBorders>
            <w:shd w:val="clear" w:color="auto" w:fill="auto"/>
            <w:noWrap/>
            <w:vAlign w:val="center"/>
            <w:hideMark/>
          </w:tcPr>
          <w:p w14:paraId="6B41BD90" w14:textId="77777777" w:rsidR="00FE4655" w:rsidRPr="00637BB8" w:rsidRDefault="00FE4655" w:rsidP="000349D5">
            <w:pPr>
              <w:jc w:val="center"/>
              <w:rPr>
                <w:color w:val="000000"/>
              </w:rPr>
            </w:pPr>
            <w:r w:rsidRPr="00637BB8">
              <w:rPr>
                <w:color w:val="000000"/>
              </w:rPr>
              <w:t>32.4</w:t>
            </w:r>
          </w:p>
        </w:tc>
        <w:tc>
          <w:tcPr>
            <w:tcW w:w="992" w:type="dxa"/>
            <w:tcBorders>
              <w:top w:val="nil"/>
              <w:left w:val="nil"/>
              <w:bottom w:val="nil"/>
              <w:right w:val="nil"/>
            </w:tcBorders>
            <w:shd w:val="clear" w:color="auto" w:fill="auto"/>
            <w:noWrap/>
            <w:vAlign w:val="center"/>
            <w:hideMark/>
          </w:tcPr>
          <w:p w14:paraId="54123F9A" w14:textId="77777777" w:rsidR="00FE4655" w:rsidRPr="00637BB8" w:rsidRDefault="00FE4655" w:rsidP="000349D5">
            <w:pPr>
              <w:jc w:val="center"/>
              <w:rPr>
                <w:color w:val="000000"/>
              </w:rPr>
            </w:pPr>
            <w:r w:rsidRPr="00637BB8">
              <w:rPr>
                <w:color w:val="000000"/>
              </w:rPr>
              <w:t>35.3</w:t>
            </w:r>
          </w:p>
        </w:tc>
        <w:tc>
          <w:tcPr>
            <w:tcW w:w="992" w:type="dxa"/>
            <w:tcBorders>
              <w:top w:val="nil"/>
              <w:left w:val="nil"/>
              <w:bottom w:val="nil"/>
              <w:right w:val="nil"/>
            </w:tcBorders>
            <w:shd w:val="clear" w:color="auto" w:fill="auto"/>
            <w:noWrap/>
            <w:vAlign w:val="center"/>
            <w:hideMark/>
          </w:tcPr>
          <w:p w14:paraId="5B1EE311" w14:textId="77777777" w:rsidR="00FE4655" w:rsidRPr="00637BB8" w:rsidRDefault="00FE4655" w:rsidP="000349D5">
            <w:pPr>
              <w:jc w:val="center"/>
              <w:rPr>
                <w:color w:val="000000"/>
              </w:rPr>
            </w:pPr>
            <w:r w:rsidRPr="00637BB8">
              <w:rPr>
                <w:color w:val="000000"/>
              </w:rPr>
              <w:t>38.4</w:t>
            </w:r>
          </w:p>
        </w:tc>
        <w:tc>
          <w:tcPr>
            <w:tcW w:w="993" w:type="dxa"/>
            <w:tcBorders>
              <w:top w:val="nil"/>
              <w:left w:val="nil"/>
              <w:bottom w:val="nil"/>
              <w:right w:val="nil"/>
            </w:tcBorders>
            <w:shd w:val="clear" w:color="auto" w:fill="auto"/>
            <w:noWrap/>
            <w:vAlign w:val="center"/>
            <w:hideMark/>
          </w:tcPr>
          <w:p w14:paraId="4AF9E123" w14:textId="77777777" w:rsidR="00FE4655" w:rsidRPr="00637BB8" w:rsidRDefault="00FE4655" w:rsidP="000349D5">
            <w:pPr>
              <w:jc w:val="center"/>
              <w:rPr>
                <w:color w:val="000000"/>
              </w:rPr>
            </w:pPr>
            <w:r w:rsidRPr="00637BB8">
              <w:rPr>
                <w:color w:val="000000"/>
              </w:rPr>
              <w:t>41.2</w:t>
            </w:r>
          </w:p>
        </w:tc>
      </w:tr>
      <w:tr w:rsidR="00FE4655" w:rsidRPr="00637BB8" w14:paraId="69522FB9"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574BC900" w14:textId="77777777" w:rsidR="00FE4655" w:rsidRPr="00637BB8" w:rsidRDefault="00FE4655" w:rsidP="000349D5">
            <w:pPr>
              <w:jc w:val="center"/>
              <w:rPr>
                <w:color w:val="000000"/>
              </w:rPr>
            </w:pPr>
            <w:r w:rsidRPr="00637BB8">
              <w:rPr>
                <w:color w:val="000000"/>
              </w:rPr>
              <w:t>19</w:t>
            </w:r>
          </w:p>
        </w:tc>
        <w:tc>
          <w:tcPr>
            <w:tcW w:w="992" w:type="dxa"/>
            <w:tcBorders>
              <w:top w:val="nil"/>
              <w:left w:val="nil"/>
              <w:bottom w:val="nil"/>
              <w:right w:val="nil"/>
            </w:tcBorders>
            <w:shd w:val="clear" w:color="auto" w:fill="auto"/>
            <w:noWrap/>
            <w:vAlign w:val="center"/>
            <w:hideMark/>
          </w:tcPr>
          <w:p w14:paraId="116AE7D5" w14:textId="77777777" w:rsidR="00FE4655" w:rsidRPr="00637BB8" w:rsidRDefault="00FE4655" w:rsidP="000349D5">
            <w:pPr>
              <w:jc w:val="center"/>
              <w:rPr>
                <w:color w:val="000000"/>
              </w:rPr>
            </w:pPr>
            <w:r w:rsidRPr="00637BB8">
              <w:rPr>
                <w:color w:val="000000"/>
              </w:rPr>
              <w:t>21.2</w:t>
            </w:r>
          </w:p>
        </w:tc>
        <w:tc>
          <w:tcPr>
            <w:tcW w:w="992" w:type="dxa"/>
            <w:tcBorders>
              <w:top w:val="nil"/>
              <w:left w:val="nil"/>
              <w:bottom w:val="nil"/>
              <w:right w:val="nil"/>
            </w:tcBorders>
            <w:shd w:val="clear" w:color="auto" w:fill="auto"/>
            <w:noWrap/>
            <w:vAlign w:val="center"/>
            <w:hideMark/>
          </w:tcPr>
          <w:p w14:paraId="4D4CA042" w14:textId="77777777" w:rsidR="00FE4655" w:rsidRPr="00637BB8" w:rsidRDefault="00FE4655" w:rsidP="000349D5">
            <w:pPr>
              <w:jc w:val="center"/>
              <w:rPr>
                <w:color w:val="000000"/>
              </w:rPr>
            </w:pPr>
            <w:r w:rsidRPr="00637BB8">
              <w:rPr>
                <w:color w:val="000000"/>
              </w:rPr>
              <w:t>23.2</w:t>
            </w:r>
          </w:p>
        </w:tc>
        <w:tc>
          <w:tcPr>
            <w:tcW w:w="992" w:type="dxa"/>
            <w:tcBorders>
              <w:top w:val="nil"/>
              <w:left w:val="nil"/>
              <w:bottom w:val="nil"/>
              <w:right w:val="nil"/>
            </w:tcBorders>
            <w:shd w:val="clear" w:color="auto" w:fill="auto"/>
            <w:noWrap/>
            <w:vAlign w:val="center"/>
            <w:hideMark/>
          </w:tcPr>
          <w:p w14:paraId="0FACE191" w14:textId="77777777" w:rsidR="00FE4655" w:rsidRPr="00637BB8" w:rsidRDefault="00FE4655" w:rsidP="000349D5">
            <w:pPr>
              <w:jc w:val="center"/>
              <w:rPr>
                <w:color w:val="000000"/>
              </w:rPr>
            </w:pPr>
            <w:r w:rsidRPr="00637BB8">
              <w:rPr>
                <w:color w:val="000000"/>
              </w:rPr>
              <w:t>25.8</w:t>
            </w:r>
          </w:p>
        </w:tc>
        <w:tc>
          <w:tcPr>
            <w:tcW w:w="993" w:type="dxa"/>
            <w:tcBorders>
              <w:top w:val="nil"/>
              <w:left w:val="nil"/>
              <w:bottom w:val="nil"/>
              <w:right w:val="nil"/>
            </w:tcBorders>
            <w:shd w:val="clear" w:color="auto" w:fill="auto"/>
            <w:noWrap/>
            <w:vAlign w:val="center"/>
            <w:hideMark/>
          </w:tcPr>
          <w:p w14:paraId="76562621" w14:textId="77777777" w:rsidR="00FE4655" w:rsidRPr="00637BB8" w:rsidRDefault="00FE4655" w:rsidP="000349D5">
            <w:pPr>
              <w:jc w:val="center"/>
              <w:rPr>
                <w:color w:val="000000"/>
              </w:rPr>
            </w:pPr>
            <w:r w:rsidRPr="00637BB8">
              <w:rPr>
                <w:color w:val="000000"/>
              </w:rPr>
              <w:t>28.2</w:t>
            </w:r>
          </w:p>
        </w:tc>
        <w:tc>
          <w:tcPr>
            <w:tcW w:w="1134" w:type="dxa"/>
            <w:tcBorders>
              <w:top w:val="nil"/>
              <w:left w:val="nil"/>
              <w:bottom w:val="nil"/>
              <w:right w:val="nil"/>
            </w:tcBorders>
            <w:shd w:val="clear" w:color="auto" w:fill="auto"/>
            <w:noWrap/>
            <w:vAlign w:val="center"/>
            <w:hideMark/>
          </w:tcPr>
          <w:p w14:paraId="6201B181" w14:textId="77777777" w:rsidR="00FE4655" w:rsidRPr="00637BB8" w:rsidRDefault="00FE4655" w:rsidP="000349D5">
            <w:pPr>
              <w:jc w:val="center"/>
              <w:rPr>
                <w:color w:val="000000"/>
              </w:rPr>
            </w:pPr>
            <w:r w:rsidRPr="00637BB8">
              <w:rPr>
                <w:color w:val="000000"/>
              </w:rPr>
              <w:t>30.9</w:t>
            </w:r>
          </w:p>
        </w:tc>
        <w:tc>
          <w:tcPr>
            <w:tcW w:w="992" w:type="dxa"/>
            <w:tcBorders>
              <w:top w:val="nil"/>
              <w:left w:val="nil"/>
              <w:bottom w:val="nil"/>
              <w:right w:val="nil"/>
            </w:tcBorders>
            <w:shd w:val="clear" w:color="auto" w:fill="auto"/>
            <w:noWrap/>
            <w:vAlign w:val="center"/>
            <w:hideMark/>
          </w:tcPr>
          <w:p w14:paraId="760382E4" w14:textId="77777777" w:rsidR="00FE4655" w:rsidRPr="00637BB8" w:rsidRDefault="00FE4655" w:rsidP="000349D5">
            <w:pPr>
              <w:jc w:val="center"/>
              <w:rPr>
                <w:color w:val="000000"/>
              </w:rPr>
            </w:pPr>
            <w:r w:rsidRPr="00637BB8">
              <w:rPr>
                <w:color w:val="000000"/>
              </w:rPr>
              <w:t>33.6</w:t>
            </w:r>
          </w:p>
        </w:tc>
        <w:tc>
          <w:tcPr>
            <w:tcW w:w="992" w:type="dxa"/>
            <w:tcBorders>
              <w:top w:val="nil"/>
              <w:left w:val="nil"/>
              <w:bottom w:val="nil"/>
              <w:right w:val="nil"/>
            </w:tcBorders>
            <w:shd w:val="clear" w:color="auto" w:fill="auto"/>
            <w:noWrap/>
            <w:vAlign w:val="center"/>
            <w:hideMark/>
          </w:tcPr>
          <w:p w14:paraId="7FC16DA5" w14:textId="77777777" w:rsidR="00FE4655" w:rsidRPr="00637BB8" w:rsidRDefault="00FE4655" w:rsidP="000349D5">
            <w:pPr>
              <w:jc w:val="center"/>
              <w:rPr>
                <w:color w:val="000000"/>
              </w:rPr>
            </w:pPr>
            <w:r w:rsidRPr="00637BB8">
              <w:rPr>
                <w:color w:val="000000"/>
              </w:rPr>
              <w:t>36.3</w:t>
            </w:r>
          </w:p>
        </w:tc>
        <w:tc>
          <w:tcPr>
            <w:tcW w:w="992" w:type="dxa"/>
            <w:tcBorders>
              <w:top w:val="nil"/>
              <w:left w:val="nil"/>
              <w:bottom w:val="nil"/>
              <w:right w:val="nil"/>
            </w:tcBorders>
            <w:shd w:val="clear" w:color="auto" w:fill="auto"/>
            <w:noWrap/>
            <w:vAlign w:val="center"/>
            <w:hideMark/>
          </w:tcPr>
          <w:p w14:paraId="3A9846DB" w14:textId="77777777" w:rsidR="00FE4655" w:rsidRPr="00637BB8" w:rsidRDefault="00FE4655" w:rsidP="000349D5">
            <w:pPr>
              <w:jc w:val="center"/>
              <w:rPr>
                <w:color w:val="000000"/>
              </w:rPr>
            </w:pPr>
            <w:r w:rsidRPr="00637BB8">
              <w:rPr>
                <w:color w:val="000000"/>
              </w:rPr>
              <w:t>39.4</w:t>
            </w:r>
          </w:p>
        </w:tc>
        <w:tc>
          <w:tcPr>
            <w:tcW w:w="993" w:type="dxa"/>
            <w:tcBorders>
              <w:top w:val="nil"/>
              <w:left w:val="nil"/>
              <w:bottom w:val="nil"/>
              <w:right w:val="nil"/>
            </w:tcBorders>
            <w:shd w:val="clear" w:color="auto" w:fill="auto"/>
            <w:noWrap/>
            <w:vAlign w:val="center"/>
            <w:hideMark/>
          </w:tcPr>
          <w:p w14:paraId="7EE31965" w14:textId="77777777" w:rsidR="00FE4655" w:rsidRPr="00637BB8" w:rsidRDefault="00FE4655" w:rsidP="000349D5">
            <w:pPr>
              <w:jc w:val="center"/>
              <w:rPr>
                <w:color w:val="000000"/>
              </w:rPr>
            </w:pPr>
            <w:r w:rsidRPr="00637BB8">
              <w:rPr>
                <w:color w:val="000000"/>
              </w:rPr>
              <w:t>42.0</w:t>
            </w:r>
          </w:p>
        </w:tc>
      </w:tr>
      <w:tr w:rsidR="00FE4655" w:rsidRPr="00637BB8" w14:paraId="5B85FD0B"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10FDCC1D" w14:textId="77777777" w:rsidR="00FE4655" w:rsidRPr="00637BB8" w:rsidRDefault="00FE4655" w:rsidP="000349D5">
            <w:pPr>
              <w:jc w:val="center"/>
              <w:rPr>
                <w:color w:val="000000"/>
              </w:rPr>
            </w:pPr>
            <w:r w:rsidRPr="00637BB8">
              <w:rPr>
                <w:color w:val="000000"/>
              </w:rPr>
              <w:t>21</w:t>
            </w:r>
          </w:p>
        </w:tc>
        <w:tc>
          <w:tcPr>
            <w:tcW w:w="992" w:type="dxa"/>
            <w:tcBorders>
              <w:top w:val="nil"/>
              <w:left w:val="nil"/>
              <w:bottom w:val="nil"/>
              <w:right w:val="nil"/>
            </w:tcBorders>
            <w:shd w:val="clear" w:color="auto" w:fill="auto"/>
            <w:noWrap/>
            <w:vAlign w:val="center"/>
            <w:hideMark/>
          </w:tcPr>
          <w:p w14:paraId="738C2A55" w14:textId="77777777" w:rsidR="00FE4655" w:rsidRPr="00637BB8" w:rsidRDefault="00FE4655" w:rsidP="000349D5">
            <w:pPr>
              <w:jc w:val="center"/>
              <w:rPr>
                <w:color w:val="000000"/>
              </w:rPr>
            </w:pPr>
            <w:r w:rsidRPr="00637BB8">
              <w:rPr>
                <w:color w:val="000000"/>
              </w:rPr>
              <w:t>22.9</w:t>
            </w:r>
          </w:p>
        </w:tc>
        <w:tc>
          <w:tcPr>
            <w:tcW w:w="992" w:type="dxa"/>
            <w:tcBorders>
              <w:top w:val="nil"/>
              <w:left w:val="nil"/>
              <w:bottom w:val="nil"/>
              <w:right w:val="nil"/>
            </w:tcBorders>
            <w:shd w:val="clear" w:color="auto" w:fill="auto"/>
            <w:noWrap/>
            <w:vAlign w:val="center"/>
            <w:hideMark/>
          </w:tcPr>
          <w:p w14:paraId="6340E8C0" w14:textId="77777777" w:rsidR="00FE4655" w:rsidRPr="00637BB8" w:rsidRDefault="00FE4655" w:rsidP="000349D5">
            <w:pPr>
              <w:jc w:val="center"/>
              <w:rPr>
                <w:color w:val="000000"/>
              </w:rPr>
            </w:pPr>
            <w:r w:rsidRPr="00637BB8">
              <w:rPr>
                <w:color w:val="000000"/>
              </w:rPr>
              <w:t>24.9</w:t>
            </w:r>
          </w:p>
        </w:tc>
        <w:tc>
          <w:tcPr>
            <w:tcW w:w="992" w:type="dxa"/>
            <w:tcBorders>
              <w:top w:val="nil"/>
              <w:left w:val="nil"/>
              <w:bottom w:val="nil"/>
              <w:right w:val="nil"/>
            </w:tcBorders>
            <w:shd w:val="clear" w:color="auto" w:fill="auto"/>
            <w:noWrap/>
            <w:vAlign w:val="center"/>
            <w:hideMark/>
          </w:tcPr>
          <w:p w14:paraId="4C2E00EA" w14:textId="77777777" w:rsidR="00FE4655" w:rsidRPr="00637BB8" w:rsidRDefault="00FE4655" w:rsidP="000349D5">
            <w:pPr>
              <w:jc w:val="center"/>
              <w:rPr>
                <w:color w:val="000000"/>
              </w:rPr>
            </w:pPr>
            <w:r w:rsidRPr="00637BB8">
              <w:rPr>
                <w:color w:val="000000"/>
              </w:rPr>
              <w:t>27.4</w:t>
            </w:r>
          </w:p>
        </w:tc>
        <w:tc>
          <w:tcPr>
            <w:tcW w:w="993" w:type="dxa"/>
            <w:tcBorders>
              <w:top w:val="nil"/>
              <w:left w:val="nil"/>
              <w:bottom w:val="nil"/>
              <w:right w:val="nil"/>
            </w:tcBorders>
            <w:shd w:val="clear" w:color="auto" w:fill="auto"/>
            <w:noWrap/>
            <w:vAlign w:val="center"/>
            <w:hideMark/>
          </w:tcPr>
          <w:p w14:paraId="1BE5F1D1" w14:textId="77777777" w:rsidR="00FE4655" w:rsidRPr="00637BB8" w:rsidRDefault="00FE4655" w:rsidP="000349D5">
            <w:pPr>
              <w:jc w:val="center"/>
              <w:rPr>
                <w:color w:val="000000"/>
              </w:rPr>
            </w:pPr>
            <w:r w:rsidRPr="00637BB8">
              <w:rPr>
                <w:color w:val="000000"/>
              </w:rPr>
              <w:t>29.8</w:t>
            </w:r>
          </w:p>
        </w:tc>
        <w:tc>
          <w:tcPr>
            <w:tcW w:w="1134" w:type="dxa"/>
            <w:tcBorders>
              <w:top w:val="nil"/>
              <w:left w:val="nil"/>
              <w:bottom w:val="nil"/>
              <w:right w:val="nil"/>
            </w:tcBorders>
            <w:shd w:val="clear" w:color="auto" w:fill="auto"/>
            <w:noWrap/>
            <w:vAlign w:val="center"/>
            <w:hideMark/>
          </w:tcPr>
          <w:p w14:paraId="5F7AAC7A" w14:textId="77777777" w:rsidR="00FE4655" w:rsidRPr="00637BB8" w:rsidRDefault="00FE4655" w:rsidP="000349D5">
            <w:pPr>
              <w:jc w:val="center"/>
              <w:rPr>
                <w:color w:val="000000"/>
              </w:rPr>
            </w:pPr>
            <w:r w:rsidRPr="00637BB8">
              <w:rPr>
                <w:color w:val="000000"/>
              </w:rPr>
              <w:t>32.3</w:t>
            </w:r>
          </w:p>
        </w:tc>
        <w:tc>
          <w:tcPr>
            <w:tcW w:w="992" w:type="dxa"/>
            <w:tcBorders>
              <w:top w:val="nil"/>
              <w:left w:val="nil"/>
              <w:bottom w:val="nil"/>
              <w:right w:val="nil"/>
            </w:tcBorders>
            <w:shd w:val="clear" w:color="auto" w:fill="auto"/>
            <w:noWrap/>
            <w:vAlign w:val="center"/>
            <w:hideMark/>
          </w:tcPr>
          <w:p w14:paraId="00379E17" w14:textId="77777777" w:rsidR="00FE4655" w:rsidRPr="00637BB8" w:rsidRDefault="00FE4655" w:rsidP="000349D5">
            <w:pPr>
              <w:jc w:val="center"/>
              <w:rPr>
                <w:color w:val="000000"/>
              </w:rPr>
            </w:pPr>
            <w:r w:rsidRPr="00637BB8">
              <w:rPr>
                <w:color w:val="000000"/>
              </w:rPr>
              <w:t>34.9</w:t>
            </w:r>
          </w:p>
        </w:tc>
        <w:tc>
          <w:tcPr>
            <w:tcW w:w="992" w:type="dxa"/>
            <w:tcBorders>
              <w:top w:val="nil"/>
              <w:left w:val="nil"/>
              <w:bottom w:val="nil"/>
              <w:right w:val="nil"/>
            </w:tcBorders>
            <w:shd w:val="clear" w:color="auto" w:fill="auto"/>
            <w:noWrap/>
            <w:vAlign w:val="center"/>
            <w:hideMark/>
          </w:tcPr>
          <w:p w14:paraId="70B87CB1" w14:textId="77777777" w:rsidR="00FE4655" w:rsidRPr="00637BB8" w:rsidRDefault="00FE4655" w:rsidP="000349D5">
            <w:pPr>
              <w:jc w:val="center"/>
              <w:rPr>
                <w:color w:val="000000"/>
              </w:rPr>
            </w:pPr>
            <w:r w:rsidRPr="00637BB8">
              <w:rPr>
                <w:color w:val="000000"/>
              </w:rPr>
              <w:t>37.5</w:t>
            </w:r>
          </w:p>
        </w:tc>
        <w:tc>
          <w:tcPr>
            <w:tcW w:w="992" w:type="dxa"/>
            <w:tcBorders>
              <w:top w:val="nil"/>
              <w:left w:val="nil"/>
              <w:bottom w:val="nil"/>
              <w:right w:val="nil"/>
            </w:tcBorders>
            <w:shd w:val="clear" w:color="auto" w:fill="auto"/>
            <w:noWrap/>
            <w:vAlign w:val="center"/>
            <w:hideMark/>
          </w:tcPr>
          <w:p w14:paraId="7094962C" w14:textId="77777777" w:rsidR="00FE4655" w:rsidRPr="00637BB8" w:rsidRDefault="00FE4655" w:rsidP="000349D5">
            <w:pPr>
              <w:jc w:val="center"/>
              <w:rPr>
                <w:color w:val="000000"/>
              </w:rPr>
            </w:pPr>
            <w:r w:rsidRPr="00637BB8">
              <w:rPr>
                <w:color w:val="000000"/>
              </w:rPr>
              <w:t>40.4</w:t>
            </w:r>
          </w:p>
        </w:tc>
        <w:tc>
          <w:tcPr>
            <w:tcW w:w="993" w:type="dxa"/>
            <w:tcBorders>
              <w:top w:val="nil"/>
              <w:left w:val="nil"/>
              <w:bottom w:val="nil"/>
              <w:right w:val="nil"/>
            </w:tcBorders>
            <w:shd w:val="clear" w:color="auto" w:fill="auto"/>
            <w:noWrap/>
            <w:vAlign w:val="center"/>
            <w:hideMark/>
          </w:tcPr>
          <w:p w14:paraId="0F521896" w14:textId="77777777" w:rsidR="00FE4655" w:rsidRPr="00637BB8" w:rsidRDefault="00FE4655" w:rsidP="000349D5">
            <w:pPr>
              <w:jc w:val="center"/>
              <w:rPr>
                <w:color w:val="000000"/>
              </w:rPr>
            </w:pPr>
            <w:r w:rsidRPr="00637BB8">
              <w:rPr>
                <w:color w:val="000000"/>
              </w:rPr>
              <w:t>42.9</w:t>
            </w:r>
          </w:p>
        </w:tc>
      </w:tr>
      <w:tr w:rsidR="00FE4655" w:rsidRPr="00637BB8" w14:paraId="3C89CDEA"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3E4984EF" w14:textId="77777777" w:rsidR="00FE4655" w:rsidRPr="00637BB8" w:rsidRDefault="00FE4655" w:rsidP="000349D5">
            <w:pPr>
              <w:jc w:val="center"/>
              <w:rPr>
                <w:color w:val="000000"/>
              </w:rPr>
            </w:pPr>
            <w:r w:rsidRPr="00637BB8">
              <w:rPr>
                <w:color w:val="000000"/>
              </w:rPr>
              <w:t>23</w:t>
            </w:r>
          </w:p>
        </w:tc>
        <w:tc>
          <w:tcPr>
            <w:tcW w:w="992" w:type="dxa"/>
            <w:tcBorders>
              <w:top w:val="nil"/>
              <w:left w:val="nil"/>
              <w:bottom w:val="nil"/>
              <w:right w:val="nil"/>
            </w:tcBorders>
            <w:shd w:val="clear" w:color="auto" w:fill="auto"/>
            <w:noWrap/>
            <w:vAlign w:val="center"/>
            <w:hideMark/>
          </w:tcPr>
          <w:p w14:paraId="257D9AEB" w14:textId="77777777" w:rsidR="00FE4655" w:rsidRPr="00637BB8" w:rsidRDefault="00FE4655" w:rsidP="000349D5">
            <w:pPr>
              <w:jc w:val="center"/>
              <w:rPr>
                <w:color w:val="000000"/>
              </w:rPr>
            </w:pPr>
            <w:r w:rsidRPr="00637BB8">
              <w:rPr>
                <w:color w:val="000000"/>
              </w:rPr>
              <w:t>24.7</w:t>
            </w:r>
          </w:p>
        </w:tc>
        <w:tc>
          <w:tcPr>
            <w:tcW w:w="992" w:type="dxa"/>
            <w:tcBorders>
              <w:top w:val="nil"/>
              <w:left w:val="nil"/>
              <w:bottom w:val="nil"/>
              <w:right w:val="nil"/>
            </w:tcBorders>
            <w:shd w:val="clear" w:color="auto" w:fill="auto"/>
            <w:noWrap/>
            <w:vAlign w:val="center"/>
            <w:hideMark/>
          </w:tcPr>
          <w:p w14:paraId="5EACF7E5" w14:textId="77777777" w:rsidR="00FE4655" w:rsidRPr="00637BB8" w:rsidRDefault="00FE4655" w:rsidP="000349D5">
            <w:pPr>
              <w:jc w:val="center"/>
              <w:rPr>
                <w:color w:val="000000"/>
              </w:rPr>
            </w:pPr>
            <w:r w:rsidRPr="00637BB8">
              <w:rPr>
                <w:color w:val="000000"/>
              </w:rPr>
              <w:t>26.7</w:t>
            </w:r>
          </w:p>
        </w:tc>
        <w:tc>
          <w:tcPr>
            <w:tcW w:w="992" w:type="dxa"/>
            <w:tcBorders>
              <w:top w:val="nil"/>
              <w:left w:val="nil"/>
              <w:bottom w:val="nil"/>
              <w:right w:val="nil"/>
            </w:tcBorders>
            <w:shd w:val="clear" w:color="auto" w:fill="auto"/>
            <w:noWrap/>
            <w:vAlign w:val="center"/>
            <w:hideMark/>
          </w:tcPr>
          <w:p w14:paraId="2CAEF3D2" w14:textId="77777777" w:rsidR="00FE4655" w:rsidRPr="00637BB8" w:rsidRDefault="00FE4655" w:rsidP="000349D5">
            <w:pPr>
              <w:jc w:val="center"/>
              <w:rPr>
                <w:color w:val="000000"/>
              </w:rPr>
            </w:pPr>
            <w:r w:rsidRPr="00637BB8">
              <w:rPr>
                <w:color w:val="000000"/>
              </w:rPr>
              <w:t>29.2</w:t>
            </w:r>
          </w:p>
        </w:tc>
        <w:tc>
          <w:tcPr>
            <w:tcW w:w="993" w:type="dxa"/>
            <w:tcBorders>
              <w:top w:val="nil"/>
              <w:left w:val="nil"/>
              <w:bottom w:val="nil"/>
              <w:right w:val="nil"/>
            </w:tcBorders>
            <w:shd w:val="clear" w:color="auto" w:fill="auto"/>
            <w:noWrap/>
            <w:vAlign w:val="center"/>
            <w:hideMark/>
          </w:tcPr>
          <w:p w14:paraId="4ECC7AC8" w14:textId="77777777" w:rsidR="00FE4655" w:rsidRPr="00637BB8" w:rsidRDefault="00FE4655" w:rsidP="000349D5">
            <w:pPr>
              <w:jc w:val="center"/>
              <w:rPr>
                <w:color w:val="000000"/>
              </w:rPr>
            </w:pPr>
            <w:r w:rsidRPr="00637BB8">
              <w:rPr>
                <w:color w:val="000000"/>
              </w:rPr>
              <w:t>31.6</w:t>
            </w:r>
          </w:p>
        </w:tc>
        <w:tc>
          <w:tcPr>
            <w:tcW w:w="1134" w:type="dxa"/>
            <w:tcBorders>
              <w:top w:val="nil"/>
              <w:left w:val="nil"/>
              <w:bottom w:val="nil"/>
              <w:right w:val="nil"/>
            </w:tcBorders>
            <w:shd w:val="clear" w:color="auto" w:fill="auto"/>
            <w:noWrap/>
            <w:vAlign w:val="center"/>
            <w:hideMark/>
          </w:tcPr>
          <w:p w14:paraId="158F2D0A" w14:textId="77777777" w:rsidR="00FE4655" w:rsidRPr="00637BB8" w:rsidRDefault="00FE4655" w:rsidP="000349D5">
            <w:pPr>
              <w:jc w:val="center"/>
              <w:rPr>
                <w:color w:val="000000"/>
              </w:rPr>
            </w:pPr>
            <w:r w:rsidRPr="00637BB8">
              <w:rPr>
                <w:color w:val="000000"/>
              </w:rPr>
              <w:t>34.1</w:t>
            </w:r>
          </w:p>
        </w:tc>
        <w:tc>
          <w:tcPr>
            <w:tcW w:w="992" w:type="dxa"/>
            <w:tcBorders>
              <w:top w:val="nil"/>
              <w:left w:val="nil"/>
              <w:bottom w:val="nil"/>
              <w:right w:val="nil"/>
            </w:tcBorders>
            <w:shd w:val="clear" w:color="auto" w:fill="auto"/>
            <w:noWrap/>
            <w:vAlign w:val="center"/>
            <w:hideMark/>
          </w:tcPr>
          <w:p w14:paraId="30BF9F11" w14:textId="77777777" w:rsidR="00FE4655" w:rsidRPr="00637BB8" w:rsidRDefault="00FE4655" w:rsidP="000349D5">
            <w:pPr>
              <w:jc w:val="center"/>
              <w:rPr>
                <w:color w:val="000000"/>
              </w:rPr>
            </w:pPr>
            <w:r w:rsidRPr="00637BB8">
              <w:rPr>
                <w:color w:val="000000"/>
              </w:rPr>
              <w:t>36.6</w:t>
            </w:r>
          </w:p>
        </w:tc>
        <w:tc>
          <w:tcPr>
            <w:tcW w:w="992" w:type="dxa"/>
            <w:tcBorders>
              <w:top w:val="nil"/>
              <w:left w:val="nil"/>
              <w:bottom w:val="nil"/>
              <w:right w:val="nil"/>
            </w:tcBorders>
            <w:shd w:val="clear" w:color="auto" w:fill="auto"/>
            <w:noWrap/>
            <w:vAlign w:val="center"/>
            <w:hideMark/>
          </w:tcPr>
          <w:p w14:paraId="42461F20" w14:textId="77777777" w:rsidR="00FE4655" w:rsidRPr="00637BB8" w:rsidRDefault="00FE4655" w:rsidP="000349D5">
            <w:pPr>
              <w:jc w:val="center"/>
              <w:rPr>
                <w:color w:val="000000"/>
              </w:rPr>
            </w:pPr>
            <w:r w:rsidRPr="00637BB8">
              <w:rPr>
                <w:color w:val="000000"/>
              </w:rPr>
              <w:t>39.2</w:t>
            </w:r>
          </w:p>
        </w:tc>
        <w:tc>
          <w:tcPr>
            <w:tcW w:w="992" w:type="dxa"/>
            <w:tcBorders>
              <w:top w:val="nil"/>
              <w:left w:val="nil"/>
              <w:bottom w:val="nil"/>
              <w:right w:val="nil"/>
            </w:tcBorders>
            <w:shd w:val="clear" w:color="auto" w:fill="auto"/>
            <w:noWrap/>
            <w:vAlign w:val="center"/>
            <w:hideMark/>
          </w:tcPr>
          <w:p w14:paraId="1724E133" w14:textId="77777777" w:rsidR="00FE4655" w:rsidRPr="00637BB8" w:rsidRDefault="00FE4655" w:rsidP="000349D5">
            <w:pPr>
              <w:jc w:val="center"/>
              <w:rPr>
                <w:color w:val="000000"/>
              </w:rPr>
            </w:pPr>
            <w:r w:rsidRPr="00637BB8">
              <w:rPr>
                <w:color w:val="000000"/>
              </w:rPr>
              <w:t>42.0</w:t>
            </w:r>
          </w:p>
        </w:tc>
        <w:tc>
          <w:tcPr>
            <w:tcW w:w="993" w:type="dxa"/>
            <w:tcBorders>
              <w:top w:val="nil"/>
              <w:left w:val="nil"/>
              <w:bottom w:val="nil"/>
              <w:right w:val="nil"/>
            </w:tcBorders>
            <w:shd w:val="clear" w:color="auto" w:fill="auto"/>
            <w:noWrap/>
            <w:vAlign w:val="center"/>
            <w:hideMark/>
          </w:tcPr>
          <w:p w14:paraId="7CE01B72" w14:textId="77777777" w:rsidR="00FE4655" w:rsidRPr="00637BB8" w:rsidRDefault="00FE4655" w:rsidP="000349D5">
            <w:pPr>
              <w:jc w:val="center"/>
              <w:rPr>
                <w:color w:val="000000"/>
              </w:rPr>
            </w:pPr>
            <w:r w:rsidRPr="00637BB8">
              <w:rPr>
                <w:color w:val="000000"/>
              </w:rPr>
              <w:t>44.4</w:t>
            </w:r>
          </w:p>
        </w:tc>
      </w:tr>
      <w:tr w:rsidR="00FE4655" w:rsidRPr="00637BB8" w14:paraId="69F567CA"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0DAD5A42" w14:textId="77777777" w:rsidR="00FE4655" w:rsidRPr="00637BB8" w:rsidRDefault="00FE4655" w:rsidP="000349D5">
            <w:pPr>
              <w:jc w:val="center"/>
              <w:rPr>
                <w:color w:val="000000"/>
              </w:rPr>
            </w:pPr>
            <w:r w:rsidRPr="00637BB8">
              <w:rPr>
                <w:color w:val="000000"/>
              </w:rPr>
              <w:t>25</w:t>
            </w:r>
          </w:p>
        </w:tc>
        <w:tc>
          <w:tcPr>
            <w:tcW w:w="992" w:type="dxa"/>
            <w:tcBorders>
              <w:top w:val="nil"/>
              <w:left w:val="nil"/>
              <w:bottom w:val="nil"/>
              <w:right w:val="nil"/>
            </w:tcBorders>
            <w:shd w:val="clear" w:color="auto" w:fill="auto"/>
            <w:noWrap/>
            <w:vAlign w:val="center"/>
            <w:hideMark/>
          </w:tcPr>
          <w:p w14:paraId="4E6C5E0F" w14:textId="77777777" w:rsidR="00FE4655" w:rsidRPr="00637BB8" w:rsidRDefault="00FE4655" w:rsidP="000349D5">
            <w:pPr>
              <w:jc w:val="center"/>
              <w:rPr>
                <w:color w:val="000000"/>
              </w:rPr>
            </w:pPr>
            <w:r w:rsidRPr="00637BB8">
              <w:rPr>
                <w:color w:val="000000"/>
              </w:rPr>
              <w:t>25.7</w:t>
            </w:r>
          </w:p>
        </w:tc>
        <w:tc>
          <w:tcPr>
            <w:tcW w:w="992" w:type="dxa"/>
            <w:tcBorders>
              <w:top w:val="nil"/>
              <w:left w:val="nil"/>
              <w:bottom w:val="nil"/>
              <w:right w:val="nil"/>
            </w:tcBorders>
            <w:shd w:val="clear" w:color="auto" w:fill="auto"/>
            <w:noWrap/>
            <w:vAlign w:val="center"/>
            <w:hideMark/>
          </w:tcPr>
          <w:p w14:paraId="2E613540" w14:textId="77777777" w:rsidR="00FE4655" w:rsidRPr="00637BB8" w:rsidRDefault="00FE4655" w:rsidP="000349D5">
            <w:pPr>
              <w:jc w:val="center"/>
              <w:rPr>
                <w:color w:val="000000"/>
              </w:rPr>
            </w:pPr>
            <w:r w:rsidRPr="00637BB8">
              <w:rPr>
                <w:color w:val="000000"/>
              </w:rPr>
              <w:t>27.8</w:t>
            </w:r>
          </w:p>
        </w:tc>
        <w:tc>
          <w:tcPr>
            <w:tcW w:w="992" w:type="dxa"/>
            <w:tcBorders>
              <w:top w:val="nil"/>
              <w:left w:val="nil"/>
              <w:bottom w:val="nil"/>
              <w:right w:val="nil"/>
            </w:tcBorders>
            <w:shd w:val="clear" w:color="auto" w:fill="auto"/>
            <w:noWrap/>
            <w:vAlign w:val="center"/>
            <w:hideMark/>
          </w:tcPr>
          <w:p w14:paraId="62449CE2" w14:textId="77777777" w:rsidR="00FE4655" w:rsidRPr="00637BB8" w:rsidRDefault="00FE4655" w:rsidP="000349D5">
            <w:pPr>
              <w:jc w:val="center"/>
              <w:rPr>
                <w:color w:val="000000"/>
              </w:rPr>
            </w:pPr>
            <w:r w:rsidRPr="00637BB8">
              <w:rPr>
                <w:color w:val="000000"/>
              </w:rPr>
              <w:t>30.4</w:t>
            </w:r>
          </w:p>
        </w:tc>
        <w:tc>
          <w:tcPr>
            <w:tcW w:w="993" w:type="dxa"/>
            <w:tcBorders>
              <w:top w:val="nil"/>
              <w:left w:val="nil"/>
              <w:bottom w:val="nil"/>
              <w:right w:val="nil"/>
            </w:tcBorders>
            <w:shd w:val="clear" w:color="auto" w:fill="auto"/>
            <w:noWrap/>
            <w:vAlign w:val="center"/>
            <w:hideMark/>
          </w:tcPr>
          <w:p w14:paraId="7D4372A0" w14:textId="77777777" w:rsidR="00FE4655" w:rsidRPr="00637BB8" w:rsidRDefault="00FE4655" w:rsidP="000349D5">
            <w:pPr>
              <w:jc w:val="center"/>
              <w:rPr>
                <w:color w:val="000000"/>
              </w:rPr>
            </w:pPr>
            <w:r w:rsidRPr="00637BB8">
              <w:rPr>
                <w:color w:val="000000"/>
              </w:rPr>
              <w:t>32.8</w:t>
            </w:r>
          </w:p>
        </w:tc>
        <w:tc>
          <w:tcPr>
            <w:tcW w:w="1134" w:type="dxa"/>
            <w:tcBorders>
              <w:top w:val="nil"/>
              <w:left w:val="nil"/>
              <w:bottom w:val="nil"/>
              <w:right w:val="nil"/>
            </w:tcBorders>
            <w:shd w:val="clear" w:color="auto" w:fill="auto"/>
            <w:noWrap/>
            <w:vAlign w:val="center"/>
            <w:hideMark/>
          </w:tcPr>
          <w:p w14:paraId="1F914CE1" w14:textId="77777777" w:rsidR="00FE4655" w:rsidRPr="00637BB8" w:rsidRDefault="00FE4655" w:rsidP="000349D5">
            <w:pPr>
              <w:jc w:val="center"/>
              <w:rPr>
                <w:color w:val="000000"/>
              </w:rPr>
            </w:pPr>
            <w:r w:rsidRPr="00637BB8">
              <w:rPr>
                <w:color w:val="000000"/>
              </w:rPr>
              <w:t>35.3</w:t>
            </w:r>
          </w:p>
        </w:tc>
        <w:tc>
          <w:tcPr>
            <w:tcW w:w="992" w:type="dxa"/>
            <w:tcBorders>
              <w:top w:val="nil"/>
              <w:left w:val="nil"/>
              <w:bottom w:val="nil"/>
              <w:right w:val="nil"/>
            </w:tcBorders>
            <w:shd w:val="clear" w:color="auto" w:fill="auto"/>
            <w:noWrap/>
            <w:vAlign w:val="center"/>
            <w:hideMark/>
          </w:tcPr>
          <w:p w14:paraId="243F04D1" w14:textId="77777777" w:rsidR="00FE4655" w:rsidRPr="00637BB8" w:rsidRDefault="00FE4655" w:rsidP="000349D5">
            <w:pPr>
              <w:jc w:val="center"/>
              <w:rPr>
                <w:color w:val="000000"/>
              </w:rPr>
            </w:pPr>
            <w:r w:rsidRPr="00637BB8">
              <w:rPr>
                <w:color w:val="000000"/>
              </w:rPr>
              <w:t>37.9</w:t>
            </w:r>
          </w:p>
        </w:tc>
        <w:tc>
          <w:tcPr>
            <w:tcW w:w="992" w:type="dxa"/>
            <w:tcBorders>
              <w:top w:val="nil"/>
              <w:left w:val="nil"/>
              <w:bottom w:val="nil"/>
              <w:right w:val="nil"/>
            </w:tcBorders>
            <w:shd w:val="clear" w:color="auto" w:fill="auto"/>
            <w:noWrap/>
            <w:vAlign w:val="center"/>
            <w:hideMark/>
          </w:tcPr>
          <w:p w14:paraId="20A89ECB" w14:textId="77777777" w:rsidR="00FE4655" w:rsidRPr="00637BB8" w:rsidRDefault="00FE4655" w:rsidP="000349D5">
            <w:pPr>
              <w:jc w:val="center"/>
              <w:rPr>
                <w:color w:val="000000"/>
              </w:rPr>
            </w:pPr>
            <w:r w:rsidRPr="00637BB8">
              <w:rPr>
                <w:color w:val="000000"/>
              </w:rPr>
              <w:t>40.5</w:t>
            </w:r>
          </w:p>
        </w:tc>
        <w:tc>
          <w:tcPr>
            <w:tcW w:w="992" w:type="dxa"/>
            <w:tcBorders>
              <w:top w:val="nil"/>
              <w:left w:val="nil"/>
              <w:bottom w:val="nil"/>
              <w:right w:val="nil"/>
            </w:tcBorders>
            <w:shd w:val="clear" w:color="auto" w:fill="auto"/>
            <w:noWrap/>
            <w:vAlign w:val="center"/>
            <w:hideMark/>
          </w:tcPr>
          <w:p w14:paraId="7FE0958D" w14:textId="77777777" w:rsidR="00FE4655" w:rsidRPr="00637BB8" w:rsidRDefault="00FE4655" w:rsidP="000349D5">
            <w:pPr>
              <w:jc w:val="center"/>
              <w:rPr>
                <w:color w:val="000000"/>
              </w:rPr>
            </w:pPr>
            <w:r w:rsidRPr="00637BB8">
              <w:rPr>
                <w:color w:val="000000"/>
              </w:rPr>
              <w:t>43.3</w:t>
            </w:r>
          </w:p>
        </w:tc>
        <w:tc>
          <w:tcPr>
            <w:tcW w:w="993" w:type="dxa"/>
            <w:tcBorders>
              <w:top w:val="nil"/>
              <w:left w:val="nil"/>
              <w:bottom w:val="nil"/>
              <w:right w:val="nil"/>
            </w:tcBorders>
            <w:shd w:val="clear" w:color="auto" w:fill="auto"/>
            <w:noWrap/>
            <w:vAlign w:val="center"/>
            <w:hideMark/>
          </w:tcPr>
          <w:p w14:paraId="65D6512F" w14:textId="77777777" w:rsidR="00FE4655" w:rsidRPr="00637BB8" w:rsidRDefault="00FE4655" w:rsidP="000349D5">
            <w:pPr>
              <w:jc w:val="center"/>
              <w:rPr>
                <w:color w:val="000000"/>
              </w:rPr>
            </w:pPr>
            <w:r w:rsidRPr="00637BB8">
              <w:rPr>
                <w:color w:val="000000"/>
              </w:rPr>
              <w:t>45.7</w:t>
            </w:r>
          </w:p>
        </w:tc>
      </w:tr>
      <w:tr w:rsidR="00FE4655" w:rsidRPr="00637BB8" w14:paraId="4D5328D0"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069BA9EC" w14:textId="77777777" w:rsidR="00FE4655" w:rsidRPr="00637BB8" w:rsidRDefault="00FE4655" w:rsidP="000349D5">
            <w:pPr>
              <w:jc w:val="center"/>
              <w:rPr>
                <w:color w:val="000000"/>
              </w:rPr>
            </w:pPr>
            <w:r w:rsidRPr="00637BB8">
              <w:rPr>
                <w:color w:val="000000"/>
              </w:rPr>
              <w:t>27</w:t>
            </w:r>
          </w:p>
        </w:tc>
        <w:tc>
          <w:tcPr>
            <w:tcW w:w="992" w:type="dxa"/>
            <w:tcBorders>
              <w:top w:val="nil"/>
              <w:left w:val="nil"/>
              <w:bottom w:val="nil"/>
              <w:right w:val="nil"/>
            </w:tcBorders>
            <w:shd w:val="clear" w:color="auto" w:fill="auto"/>
            <w:noWrap/>
            <w:vAlign w:val="center"/>
            <w:hideMark/>
          </w:tcPr>
          <w:p w14:paraId="1CD267AD" w14:textId="77777777" w:rsidR="00FE4655" w:rsidRPr="00637BB8" w:rsidRDefault="00FE4655" w:rsidP="000349D5">
            <w:pPr>
              <w:jc w:val="center"/>
              <w:rPr>
                <w:color w:val="000000"/>
              </w:rPr>
            </w:pPr>
            <w:r w:rsidRPr="00637BB8">
              <w:rPr>
                <w:color w:val="000000"/>
              </w:rPr>
              <w:t>25.0</w:t>
            </w:r>
          </w:p>
        </w:tc>
        <w:tc>
          <w:tcPr>
            <w:tcW w:w="992" w:type="dxa"/>
            <w:tcBorders>
              <w:top w:val="nil"/>
              <w:left w:val="nil"/>
              <w:bottom w:val="nil"/>
              <w:right w:val="nil"/>
            </w:tcBorders>
            <w:shd w:val="clear" w:color="auto" w:fill="auto"/>
            <w:noWrap/>
            <w:vAlign w:val="center"/>
            <w:hideMark/>
          </w:tcPr>
          <w:p w14:paraId="4EE02061" w14:textId="77777777" w:rsidR="00FE4655" w:rsidRPr="00637BB8" w:rsidRDefault="00FE4655" w:rsidP="000349D5">
            <w:pPr>
              <w:jc w:val="center"/>
              <w:rPr>
                <w:color w:val="000000"/>
              </w:rPr>
            </w:pPr>
            <w:r w:rsidRPr="00637BB8">
              <w:rPr>
                <w:color w:val="000000"/>
              </w:rPr>
              <w:t>27.1</w:t>
            </w:r>
          </w:p>
        </w:tc>
        <w:tc>
          <w:tcPr>
            <w:tcW w:w="992" w:type="dxa"/>
            <w:tcBorders>
              <w:top w:val="nil"/>
              <w:left w:val="nil"/>
              <w:bottom w:val="nil"/>
              <w:right w:val="nil"/>
            </w:tcBorders>
            <w:shd w:val="clear" w:color="auto" w:fill="auto"/>
            <w:noWrap/>
            <w:vAlign w:val="center"/>
            <w:hideMark/>
          </w:tcPr>
          <w:p w14:paraId="0746FC7D" w14:textId="77777777" w:rsidR="00FE4655" w:rsidRPr="00637BB8" w:rsidRDefault="00FE4655" w:rsidP="000349D5">
            <w:pPr>
              <w:jc w:val="center"/>
              <w:rPr>
                <w:color w:val="000000"/>
              </w:rPr>
            </w:pPr>
            <w:r w:rsidRPr="00637BB8">
              <w:rPr>
                <w:color w:val="000000"/>
              </w:rPr>
              <w:t>29.7</w:t>
            </w:r>
          </w:p>
        </w:tc>
        <w:tc>
          <w:tcPr>
            <w:tcW w:w="993" w:type="dxa"/>
            <w:tcBorders>
              <w:top w:val="nil"/>
              <w:left w:val="nil"/>
              <w:bottom w:val="nil"/>
              <w:right w:val="nil"/>
            </w:tcBorders>
            <w:shd w:val="clear" w:color="auto" w:fill="auto"/>
            <w:noWrap/>
            <w:vAlign w:val="center"/>
            <w:hideMark/>
          </w:tcPr>
          <w:p w14:paraId="4950F351" w14:textId="77777777" w:rsidR="00FE4655" w:rsidRPr="00637BB8" w:rsidRDefault="00FE4655" w:rsidP="000349D5">
            <w:pPr>
              <w:jc w:val="center"/>
              <w:rPr>
                <w:color w:val="000000"/>
              </w:rPr>
            </w:pPr>
            <w:r w:rsidRPr="00637BB8">
              <w:rPr>
                <w:color w:val="000000"/>
              </w:rPr>
              <w:t>32.2</w:t>
            </w:r>
          </w:p>
        </w:tc>
        <w:tc>
          <w:tcPr>
            <w:tcW w:w="1134" w:type="dxa"/>
            <w:tcBorders>
              <w:top w:val="nil"/>
              <w:left w:val="nil"/>
              <w:bottom w:val="nil"/>
              <w:right w:val="nil"/>
            </w:tcBorders>
            <w:shd w:val="clear" w:color="auto" w:fill="auto"/>
            <w:noWrap/>
            <w:vAlign w:val="center"/>
            <w:hideMark/>
          </w:tcPr>
          <w:p w14:paraId="41935533" w14:textId="77777777" w:rsidR="00FE4655" w:rsidRPr="00637BB8" w:rsidRDefault="00FE4655" w:rsidP="000349D5">
            <w:pPr>
              <w:jc w:val="center"/>
              <w:rPr>
                <w:color w:val="000000"/>
              </w:rPr>
            </w:pPr>
            <w:r w:rsidRPr="00637BB8">
              <w:rPr>
                <w:color w:val="000000"/>
              </w:rPr>
              <w:t>34.7</w:t>
            </w:r>
          </w:p>
        </w:tc>
        <w:tc>
          <w:tcPr>
            <w:tcW w:w="992" w:type="dxa"/>
            <w:tcBorders>
              <w:top w:val="nil"/>
              <w:left w:val="nil"/>
              <w:bottom w:val="nil"/>
              <w:right w:val="nil"/>
            </w:tcBorders>
            <w:shd w:val="clear" w:color="auto" w:fill="auto"/>
            <w:noWrap/>
            <w:vAlign w:val="center"/>
            <w:hideMark/>
          </w:tcPr>
          <w:p w14:paraId="4C385926" w14:textId="77777777" w:rsidR="00FE4655" w:rsidRPr="00637BB8" w:rsidRDefault="00FE4655" w:rsidP="000349D5">
            <w:pPr>
              <w:jc w:val="center"/>
              <w:rPr>
                <w:color w:val="000000"/>
              </w:rPr>
            </w:pPr>
            <w:r w:rsidRPr="00637BB8">
              <w:rPr>
                <w:color w:val="000000"/>
              </w:rPr>
              <w:t>37.3</w:t>
            </w:r>
          </w:p>
        </w:tc>
        <w:tc>
          <w:tcPr>
            <w:tcW w:w="992" w:type="dxa"/>
            <w:tcBorders>
              <w:top w:val="nil"/>
              <w:left w:val="nil"/>
              <w:bottom w:val="nil"/>
              <w:right w:val="nil"/>
            </w:tcBorders>
            <w:shd w:val="clear" w:color="auto" w:fill="auto"/>
            <w:noWrap/>
            <w:vAlign w:val="center"/>
            <w:hideMark/>
          </w:tcPr>
          <w:p w14:paraId="28C0D58E" w14:textId="77777777" w:rsidR="00FE4655" w:rsidRPr="00637BB8" w:rsidRDefault="00FE4655" w:rsidP="000349D5">
            <w:pPr>
              <w:jc w:val="center"/>
              <w:rPr>
                <w:color w:val="000000"/>
              </w:rPr>
            </w:pPr>
            <w:r w:rsidRPr="00637BB8">
              <w:rPr>
                <w:color w:val="000000"/>
              </w:rPr>
              <w:t>39.9</w:t>
            </w:r>
          </w:p>
        </w:tc>
        <w:tc>
          <w:tcPr>
            <w:tcW w:w="992" w:type="dxa"/>
            <w:tcBorders>
              <w:top w:val="nil"/>
              <w:left w:val="nil"/>
              <w:bottom w:val="nil"/>
              <w:right w:val="nil"/>
            </w:tcBorders>
            <w:shd w:val="clear" w:color="auto" w:fill="auto"/>
            <w:noWrap/>
            <w:vAlign w:val="center"/>
            <w:hideMark/>
          </w:tcPr>
          <w:p w14:paraId="08CD7EC2" w14:textId="77777777" w:rsidR="00FE4655" w:rsidRPr="00637BB8" w:rsidRDefault="00FE4655" w:rsidP="000349D5">
            <w:pPr>
              <w:jc w:val="center"/>
              <w:rPr>
                <w:color w:val="000000"/>
              </w:rPr>
            </w:pPr>
            <w:r w:rsidRPr="00637BB8">
              <w:rPr>
                <w:color w:val="000000"/>
              </w:rPr>
              <w:t>42.7</w:t>
            </w:r>
          </w:p>
        </w:tc>
        <w:tc>
          <w:tcPr>
            <w:tcW w:w="993" w:type="dxa"/>
            <w:tcBorders>
              <w:top w:val="nil"/>
              <w:left w:val="nil"/>
              <w:bottom w:val="nil"/>
              <w:right w:val="nil"/>
            </w:tcBorders>
            <w:shd w:val="clear" w:color="auto" w:fill="auto"/>
            <w:noWrap/>
            <w:vAlign w:val="center"/>
            <w:hideMark/>
          </w:tcPr>
          <w:p w14:paraId="4E84879B" w14:textId="77777777" w:rsidR="00FE4655" w:rsidRPr="00637BB8" w:rsidRDefault="00FE4655" w:rsidP="000349D5">
            <w:pPr>
              <w:jc w:val="center"/>
              <w:rPr>
                <w:color w:val="000000"/>
              </w:rPr>
            </w:pPr>
            <w:r w:rsidRPr="00637BB8">
              <w:rPr>
                <w:color w:val="000000"/>
              </w:rPr>
              <w:t>45.2</w:t>
            </w:r>
          </w:p>
        </w:tc>
      </w:tr>
      <w:tr w:rsidR="00FE4655" w:rsidRPr="00637BB8" w14:paraId="08FDACB3" w14:textId="77777777" w:rsidTr="000349D5">
        <w:trPr>
          <w:trHeight w:val="320"/>
          <w:jc w:val="center"/>
        </w:trPr>
        <w:tc>
          <w:tcPr>
            <w:tcW w:w="993" w:type="dxa"/>
            <w:tcBorders>
              <w:top w:val="nil"/>
              <w:left w:val="nil"/>
              <w:right w:val="nil"/>
            </w:tcBorders>
            <w:shd w:val="clear" w:color="auto" w:fill="auto"/>
            <w:noWrap/>
            <w:vAlign w:val="center"/>
            <w:hideMark/>
          </w:tcPr>
          <w:p w14:paraId="0A5195CC" w14:textId="77777777" w:rsidR="00FE4655" w:rsidRPr="00637BB8" w:rsidRDefault="00FE4655" w:rsidP="000349D5">
            <w:pPr>
              <w:jc w:val="center"/>
              <w:rPr>
                <w:color w:val="000000"/>
              </w:rPr>
            </w:pPr>
            <w:r w:rsidRPr="00637BB8">
              <w:rPr>
                <w:color w:val="000000"/>
              </w:rPr>
              <w:t>29</w:t>
            </w:r>
          </w:p>
        </w:tc>
        <w:tc>
          <w:tcPr>
            <w:tcW w:w="992" w:type="dxa"/>
            <w:tcBorders>
              <w:top w:val="nil"/>
              <w:left w:val="nil"/>
              <w:right w:val="nil"/>
            </w:tcBorders>
            <w:shd w:val="clear" w:color="auto" w:fill="auto"/>
            <w:noWrap/>
            <w:vAlign w:val="center"/>
            <w:hideMark/>
          </w:tcPr>
          <w:p w14:paraId="76EC6B9A" w14:textId="77777777" w:rsidR="00FE4655" w:rsidRPr="00637BB8" w:rsidRDefault="00FE4655" w:rsidP="000349D5">
            <w:pPr>
              <w:jc w:val="center"/>
              <w:rPr>
                <w:color w:val="000000"/>
              </w:rPr>
            </w:pPr>
            <w:r w:rsidRPr="00637BB8">
              <w:rPr>
                <w:color w:val="000000"/>
              </w:rPr>
              <w:t>23.6</w:t>
            </w:r>
          </w:p>
        </w:tc>
        <w:tc>
          <w:tcPr>
            <w:tcW w:w="992" w:type="dxa"/>
            <w:tcBorders>
              <w:top w:val="nil"/>
              <w:left w:val="nil"/>
              <w:right w:val="nil"/>
            </w:tcBorders>
            <w:shd w:val="clear" w:color="auto" w:fill="auto"/>
            <w:noWrap/>
            <w:vAlign w:val="center"/>
            <w:hideMark/>
          </w:tcPr>
          <w:p w14:paraId="66E8F17F" w14:textId="77777777" w:rsidR="00FE4655" w:rsidRPr="00637BB8" w:rsidRDefault="00FE4655" w:rsidP="000349D5">
            <w:pPr>
              <w:jc w:val="center"/>
              <w:rPr>
                <w:color w:val="000000"/>
              </w:rPr>
            </w:pPr>
            <w:r w:rsidRPr="00637BB8">
              <w:rPr>
                <w:color w:val="000000"/>
              </w:rPr>
              <w:t>25.7</w:t>
            </w:r>
          </w:p>
        </w:tc>
        <w:tc>
          <w:tcPr>
            <w:tcW w:w="992" w:type="dxa"/>
            <w:tcBorders>
              <w:top w:val="nil"/>
              <w:left w:val="nil"/>
              <w:right w:val="nil"/>
            </w:tcBorders>
            <w:shd w:val="clear" w:color="auto" w:fill="auto"/>
            <w:noWrap/>
            <w:vAlign w:val="center"/>
            <w:hideMark/>
          </w:tcPr>
          <w:p w14:paraId="11858D66" w14:textId="77777777" w:rsidR="00FE4655" w:rsidRPr="00637BB8" w:rsidRDefault="00FE4655" w:rsidP="000349D5">
            <w:pPr>
              <w:jc w:val="center"/>
              <w:rPr>
                <w:color w:val="000000"/>
              </w:rPr>
            </w:pPr>
            <w:r w:rsidRPr="00637BB8">
              <w:rPr>
                <w:color w:val="000000"/>
              </w:rPr>
              <w:t>28.4</w:t>
            </w:r>
          </w:p>
        </w:tc>
        <w:tc>
          <w:tcPr>
            <w:tcW w:w="993" w:type="dxa"/>
            <w:tcBorders>
              <w:top w:val="nil"/>
              <w:left w:val="nil"/>
              <w:right w:val="nil"/>
            </w:tcBorders>
            <w:shd w:val="clear" w:color="auto" w:fill="auto"/>
            <w:noWrap/>
            <w:vAlign w:val="center"/>
            <w:hideMark/>
          </w:tcPr>
          <w:p w14:paraId="4B8E49FC" w14:textId="77777777" w:rsidR="00FE4655" w:rsidRPr="00637BB8" w:rsidRDefault="00FE4655" w:rsidP="000349D5">
            <w:pPr>
              <w:jc w:val="center"/>
              <w:rPr>
                <w:color w:val="000000"/>
              </w:rPr>
            </w:pPr>
            <w:r w:rsidRPr="00637BB8">
              <w:rPr>
                <w:color w:val="000000"/>
              </w:rPr>
              <w:t>30.8</w:t>
            </w:r>
          </w:p>
        </w:tc>
        <w:tc>
          <w:tcPr>
            <w:tcW w:w="1134" w:type="dxa"/>
            <w:tcBorders>
              <w:top w:val="nil"/>
              <w:left w:val="nil"/>
              <w:right w:val="nil"/>
            </w:tcBorders>
            <w:shd w:val="clear" w:color="auto" w:fill="auto"/>
            <w:noWrap/>
            <w:vAlign w:val="center"/>
            <w:hideMark/>
          </w:tcPr>
          <w:p w14:paraId="2CB930C6" w14:textId="77777777" w:rsidR="00FE4655" w:rsidRPr="00637BB8" w:rsidRDefault="00FE4655" w:rsidP="000349D5">
            <w:pPr>
              <w:jc w:val="center"/>
              <w:rPr>
                <w:color w:val="000000"/>
              </w:rPr>
            </w:pPr>
            <w:r w:rsidRPr="00637BB8">
              <w:rPr>
                <w:color w:val="000000"/>
              </w:rPr>
              <w:t>33.4</w:t>
            </w:r>
          </w:p>
        </w:tc>
        <w:tc>
          <w:tcPr>
            <w:tcW w:w="992" w:type="dxa"/>
            <w:tcBorders>
              <w:top w:val="nil"/>
              <w:left w:val="nil"/>
              <w:right w:val="nil"/>
            </w:tcBorders>
            <w:shd w:val="clear" w:color="auto" w:fill="auto"/>
            <w:noWrap/>
            <w:vAlign w:val="center"/>
            <w:hideMark/>
          </w:tcPr>
          <w:p w14:paraId="5790E8CE" w14:textId="77777777" w:rsidR="00FE4655" w:rsidRPr="00637BB8" w:rsidRDefault="00FE4655" w:rsidP="000349D5">
            <w:pPr>
              <w:jc w:val="center"/>
              <w:rPr>
                <w:color w:val="000000"/>
              </w:rPr>
            </w:pPr>
            <w:r w:rsidRPr="00637BB8">
              <w:rPr>
                <w:color w:val="000000"/>
              </w:rPr>
              <w:t>36.0</w:t>
            </w:r>
          </w:p>
        </w:tc>
        <w:tc>
          <w:tcPr>
            <w:tcW w:w="992" w:type="dxa"/>
            <w:tcBorders>
              <w:top w:val="nil"/>
              <w:left w:val="nil"/>
              <w:right w:val="nil"/>
            </w:tcBorders>
            <w:shd w:val="clear" w:color="auto" w:fill="auto"/>
            <w:noWrap/>
            <w:vAlign w:val="center"/>
            <w:hideMark/>
          </w:tcPr>
          <w:p w14:paraId="6D400E9C" w14:textId="77777777" w:rsidR="00FE4655" w:rsidRPr="00637BB8" w:rsidRDefault="00FE4655" w:rsidP="000349D5">
            <w:pPr>
              <w:jc w:val="center"/>
              <w:rPr>
                <w:color w:val="000000"/>
              </w:rPr>
            </w:pPr>
            <w:r w:rsidRPr="00637BB8">
              <w:rPr>
                <w:color w:val="000000"/>
              </w:rPr>
              <w:t>38.7</w:t>
            </w:r>
          </w:p>
        </w:tc>
        <w:tc>
          <w:tcPr>
            <w:tcW w:w="992" w:type="dxa"/>
            <w:tcBorders>
              <w:top w:val="nil"/>
              <w:left w:val="nil"/>
              <w:right w:val="nil"/>
            </w:tcBorders>
            <w:shd w:val="clear" w:color="auto" w:fill="auto"/>
            <w:noWrap/>
            <w:vAlign w:val="center"/>
            <w:hideMark/>
          </w:tcPr>
          <w:p w14:paraId="4D7D6677" w14:textId="77777777" w:rsidR="00FE4655" w:rsidRPr="00637BB8" w:rsidRDefault="00FE4655" w:rsidP="000349D5">
            <w:pPr>
              <w:jc w:val="center"/>
              <w:rPr>
                <w:color w:val="000000"/>
              </w:rPr>
            </w:pPr>
            <w:r w:rsidRPr="00637BB8">
              <w:rPr>
                <w:color w:val="000000"/>
              </w:rPr>
              <w:t>41.5</w:t>
            </w:r>
          </w:p>
        </w:tc>
        <w:tc>
          <w:tcPr>
            <w:tcW w:w="993" w:type="dxa"/>
            <w:tcBorders>
              <w:top w:val="nil"/>
              <w:left w:val="nil"/>
              <w:right w:val="nil"/>
            </w:tcBorders>
            <w:shd w:val="clear" w:color="auto" w:fill="auto"/>
            <w:noWrap/>
            <w:vAlign w:val="center"/>
            <w:hideMark/>
          </w:tcPr>
          <w:p w14:paraId="5ED0BD5E" w14:textId="77777777" w:rsidR="00FE4655" w:rsidRPr="00637BB8" w:rsidRDefault="00FE4655" w:rsidP="000349D5">
            <w:pPr>
              <w:jc w:val="center"/>
              <w:rPr>
                <w:color w:val="000000"/>
              </w:rPr>
            </w:pPr>
            <w:r w:rsidRPr="00637BB8">
              <w:rPr>
                <w:color w:val="000000"/>
              </w:rPr>
              <w:t>43.9</w:t>
            </w:r>
          </w:p>
        </w:tc>
      </w:tr>
      <w:tr w:rsidR="00FE4655" w:rsidRPr="00637BB8" w14:paraId="7EFE3DC2" w14:textId="77777777" w:rsidTr="000349D5">
        <w:trPr>
          <w:trHeight w:val="320"/>
          <w:jc w:val="center"/>
        </w:trPr>
        <w:tc>
          <w:tcPr>
            <w:tcW w:w="10065" w:type="dxa"/>
            <w:gridSpan w:val="10"/>
            <w:tcBorders>
              <w:top w:val="single" w:sz="4" w:space="0" w:color="auto"/>
              <w:left w:val="nil"/>
              <w:right w:val="nil"/>
            </w:tcBorders>
            <w:shd w:val="clear" w:color="auto" w:fill="auto"/>
            <w:noWrap/>
            <w:vAlign w:val="center"/>
          </w:tcPr>
          <w:p w14:paraId="06D6F193" w14:textId="77777777" w:rsidR="00FE4655" w:rsidRPr="00637BB8" w:rsidRDefault="00FE4655" w:rsidP="000349D5">
            <w:pPr>
              <w:rPr>
                <w:color w:val="000000"/>
              </w:rPr>
            </w:pPr>
            <w:r>
              <w:rPr>
                <w:color w:val="000000"/>
              </w:rPr>
              <w:t xml:space="preserve">Age range: 12.7 years to 36.0 years. </w:t>
            </w:r>
            <w:r w:rsidRPr="00637BB8">
              <w:rPr>
                <w:color w:val="000000"/>
              </w:rPr>
              <w:t>Sparse data for chronological age &gt; 25 years</w:t>
            </w:r>
          </w:p>
        </w:tc>
      </w:tr>
    </w:tbl>
    <w:p w14:paraId="7A9445DE" w14:textId="77777777" w:rsidR="00FE4655" w:rsidRDefault="00FE4655" w:rsidP="00FE4655"/>
    <w:tbl>
      <w:tblPr>
        <w:tblW w:w="10065" w:type="dxa"/>
        <w:jc w:val="center"/>
        <w:tblLook w:val="04A0" w:firstRow="1" w:lastRow="0" w:firstColumn="1" w:lastColumn="0" w:noHBand="0" w:noVBand="1"/>
      </w:tblPr>
      <w:tblGrid>
        <w:gridCol w:w="993"/>
        <w:gridCol w:w="992"/>
        <w:gridCol w:w="992"/>
        <w:gridCol w:w="992"/>
        <w:gridCol w:w="993"/>
        <w:gridCol w:w="1134"/>
        <w:gridCol w:w="992"/>
        <w:gridCol w:w="992"/>
        <w:gridCol w:w="992"/>
        <w:gridCol w:w="993"/>
      </w:tblGrid>
      <w:tr w:rsidR="00FE4655" w:rsidRPr="00637BB8" w14:paraId="78006850" w14:textId="77777777" w:rsidTr="000349D5">
        <w:trPr>
          <w:trHeight w:val="320"/>
          <w:jc w:val="center"/>
        </w:trPr>
        <w:tc>
          <w:tcPr>
            <w:tcW w:w="10065" w:type="dxa"/>
            <w:gridSpan w:val="10"/>
            <w:tcBorders>
              <w:top w:val="nil"/>
              <w:left w:val="nil"/>
              <w:bottom w:val="single" w:sz="4" w:space="0" w:color="auto"/>
              <w:right w:val="nil"/>
            </w:tcBorders>
            <w:shd w:val="clear" w:color="auto" w:fill="auto"/>
            <w:noWrap/>
            <w:vAlign w:val="center"/>
            <w:hideMark/>
          </w:tcPr>
          <w:p w14:paraId="0DC5CAC4" w14:textId="77777777" w:rsidR="00FE4655" w:rsidRPr="00637BB8" w:rsidRDefault="00FE4655" w:rsidP="000349D5">
            <w:pPr>
              <w:rPr>
                <w:color w:val="000000"/>
              </w:rPr>
            </w:pPr>
            <w:r w:rsidRPr="00637BB8">
              <w:rPr>
                <w:b/>
                <w:bCs/>
                <w:color w:val="000000"/>
              </w:rPr>
              <w:t xml:space="preserve">Table </w:t>
            </w:r>
            <w:r>
              <w:rPr>
                <w:b/>
                <w:bCs/>
                <w:color w:val="000000"/>
              </w:rPr>
              <w:t>4</w:t>
            </w:r>
            <w:r w:rsidRPr="00637BB8">
              <w:rPr>
                <w:color w:val="000000"/>
              </w:rPr>
              <w:t>. Predicted reference centiles for Yo-Yo IR1 distance by chronological age (N=436, n=1308)</w:t>
            </w:r>
          </w:p>
        </w:tc>
      </w:tr>
      <w:tr w:rsidR="00FE4655" w:rsidRPr="00637BB8" w14:paraId="053947AB" w14:textId="77777777" w:rsidTr="000349D5">
        <w:trPr>
          <w:trHeight w:val="320"/>
          <w:jc w:val="center"/>
        </w:trPr>
        <w:tc>
          <w:tcPr>
            <w:tcW w:w="993" w:type="dxa"/>
            <w:tcBorders>
              <w:top w:val="nil"/>
              <w:left w:val="nil"/>
              <w:bottom w:val="single" w:sz="4" w:space="0" w:color="auto"/>
              <w:right w:val="nil"/>
            </w:tcBorders>
            <w:shd w:val="clear" w:color="auto" w:fill="auto"/>
            <w:noWrap/>
            <w:vAlign w:val="center"/>
            <w:hideMark/>
          </w:tcPr>
          <w:p w14:paraId="42AEBE39" w14:textId="77777777" w:rsidR="00FE4655" w:rsidRPr="00637BB8" w:rsidRDefault="00FE4655" w:rsidP="000349D5">
            <w:pPr>
              <w:jc w:val="center"/>
              <w:rPr>
                <w:color w:val="000000"/>
              </w:rPr>
            </w:pPr>
            <w:r w:rsidRPr="00637BB8">
              <w:rPr>
                <w:color w:val="000000"/>
              </w:rPr>
              <w:t>Age</w:t>
            </w:r>
          </w:p>
        </w:tc>
        <w:tc>
          <w:tcPr>
            <w:tcW w:w="992" w:type="dxa"/>
            <w:tcBorders>
              <w:top w:val="nil"/>
              <w:left w:val="nil"/>
              <w:bottom w:val="single" w:sz="4" w:space="0" w:color="auto"/>
              <w:right w:val="nil"/>
            </w:tcBorders>
            <w:shd w:val="clear" w:color="auto" w:fill="auto"/>
            <w:noWrap/>
            <w:vAlign w:val="center"/>
            <w:hideMark/>
          </w:tcPr>
          <w:p w14:paraId="44C45F9B" w14:textId="77777777" w:rsidR="00FE4655" w:rsidRPr="00637BB8" w:rsidRDefault="00FE4655" w:rsidP="000349D5">
            <w:pPr>
              <w:jc w:val="center"/>
              <w:rPr>
                <w:color w:val="000000"/>
              </w:rPr>
            </w:pPr>
            <w:r w:rsidRPr="00637BB8">
              <w:rPr>
                <w:color w:val="000000"/>
              </w:rPr>
              <w:t>0.4</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3C94A16A" w14:textId="77777777" w:rsidR="00FE4655" w:rsidRPr="00637BB8" w:rsidRDefault="00FE4655" w:rsidP="000349D5">
            <w:pPr>
              <w:jc w:val="center"/>
              <w:rPr>
                <w:color w:val="000000"/>
              </w:rPr>
            </w:pPr>
            <w:r w:rsidRPr="00637BB8">
              <w:rPr>
                <w:color w:val="000000"/>
              </w:rPr>
              <w:t>2</w:t>
            </w:r>
            <w:r w:rsidRPr="00637BB8">
              <w:rPr>
                <w:color w:val="000000"/>
                <w:vertAlign w:val="superscript"/>
              </w:rPr>
              <w:t>nd</w:t>
            </w:r>
          </w:p>
        </w:tc>
        <w:tc>
          <w:tcPr>
            <w:tcW w:w="992" w:type="dxa"/>
            <w:tcBorders>
              <w:top w:val="nil"/>
              <w:left w:val="nil"/>
              <w:bottom w:val="single" w:sz="4" w:space="0" w:color="auto"/>
              <w:right w:val="nil"/>
            </w:tcBorders>
            <w:shd w:val="clear" w:color="auto" w:fill="auto"/>
            <w:noWrap/>
            <w:vAlign w:val="center"/>
            <w:hideMark/>
          </w:tcPr>
          <w:p w14:paraId="2D012CC3" w14:textId="77777777" w:rsidR="00FE4655" w:rsidRPr="00637BB8" w:rsidRDefault="00FE4655" w:rsidP="000349D5">
            <w:pPr>
              <w:jc w:val="center"/>
              <w:rPr>
                <w:color w:val="000000"/>
              </w:rPr>
            </w:pPr>
            <w:r w:rsidRPr="00637BB8">
              <w:rPr>
                <w:color w:val="000000"/>
              </w:rPr>
              <w:t>9</w:t>
            </w:r>
            <w:r w:rsidRPr="00637BB8">
              <w:rPr>
                <w:color w:val="000000"/>
                <w:vertAlign w:val="superscript"/>
              </w:rPr>
              <w:t>th</w:t>
            </w:r>
          </w:p>
        </w:tc>
        <w:tc>
          <w:tcPr>
            <w:tcW w:w="993" w:type="dxa"/>
            <w:tcBorders>
              <w:top w:val="nil"/>
              <w:left w:val="nil"/>
              <w:bottom w:val="single" w:sz="4" w:space="0" w:color="auto"/>
              <w:right w:val="nil"/>
            </w:tcBorders>
            <w:shd w:val="clear" w:color="auto" w:fill="auto"/>
            <w:noWrap/>
            <w:vAlign w:val="center"/>
            <w:hideMark/>
          </w:tcPr>
          <w:p w14:paraId="211EF2BC" w14:textId="77777777" w:rsidR="00FE4655" w:rsidRPr="00637BB8" w:rsidRDefault="00FE4655" w:rsidP="000349D5">
            <w:pPr>
              <w:jc w:val="center"/>
              <w:rPr>
                <w:color w:val="000000"/>
              </w:rPr>
            </w:pPr>
            <w:r w:rsidRPr="00637BB8">
              <w:rPr>
                <w:color w:val="000000"/>
              </w:rPr>
              <w:t>25</w:t>
            </w:r>
            <w:r w:rsidRPr="00637BB8">
              <w:rPr>
                <w:color w:val="000000"/>
                <w:vertAlign w:val="superscript"/>
              </w:rPr>
              <w:t>th</w:t>
            </w:r>
          </w:p>
        </w:tc>
        <w:tc>
          <w:tcPr>
            <w:tcW w:w="1134" w:type="dxa"/>
            <w:tcBorders>
              <w:top w:val="nil"/>
              <w:left w:val="nil"/>
              <w:bottom w:val="single" w:sz="4" w:space="0" w:color="auto"/>
              <w:right w:val="nil"/>
            </w:tcBorders>
            <w:shd w:val="clear" w:color="auto" w:fill="auto"/>
            <w:noWrap/>
            <w:vAlign w:val="center"/>
            <w:hideMark/>
          </w:tcPr>
          <w:p w14:paraId="3B52CB1F" w14:textId="77777777" w:rsidR="00FE4655" w:rsidRPr="00637BB8" w:rsidRDefault="00FE4655" w:rsidP="000349D5">
            <w:pPr>
              <w:jc w:val="center"/>
              <w:rPr>
                <w:color w:val="000000"/>
              </w:rPr>
            </w:pPr>
            <w:r w:rsidRPr="00637BB8">
              <w:rPr>
                <w:color w:val="000000"/>
              </w:rPr>
              <w:t>50</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72474045" w14:textId="77777777" w:rsidR="00FE4655" w:rsidRPr="00637BB8" w:rsidRDefault="00FE4655" w:rsidP="000349D5">
            <w:pPr>
              <w:jc w:val="center"/>
              <w:rPr>
                <w:color w:val="000000"/>
              </w:rPr>
            </w:pPr>
            <w:r w:rsidRPr="00637BB8">
              <w:rPr>
                <w:color w:val="000000"/>
              </w:rPr>
              <w:t>75</w:t>
            </w:r>
            <w:r w:rsidRPr="00637BB8">
              <w:rPr>
                <w:color w:val="000000"/>
                <w:vertAlign w:val="superscript"/>
              </w:rPr>
              <w:t>th</w:t>
            </w:r>
          </w:p>
        </w:tc>
        <w:tc>
          <w:tcPr>
            <w:tcW w:w="992" w:type="dxa"/>
            <w:tcBorders>
              <w:top w:val="nil"/>
              <w:left w:val="nil"/>
              <w:bottom w:val="single" w:sz="4" w:space="0" w:color="auto"/>
              <w:right w:val="nil"/>
            </w:tcBorders>
            <w:shd w:val="clear" w:color="auto" w:fill="auto"/>
            <w:noWrap/>
            <w:vAlign w:val="center"/>
            <w:hideMark/>
          </w:tcPr>
          <w:p w14:paraId="3279995E" w14:textId="77777777" w:rsidR="00FE4655" w:rsidRPr="00637BB8" w:rsidRDefault="00FE4655" w:rsidP="000349D5">
            <w:pPr>
              <w:jc w:val="center"/>
              <w:rPr>
                <w:color w:val="000000"/>
              </w:rPr>
            </w:pPr>
            <w:r w:rsidRPr="00637BB8">
              <w:rPr>
                <w:color w:val="000000"/>
              </w:rPr>
              <w:t>91</w:t>
            </w:r>
            <w:r w:rsidRPr="00637BB8">
              <w:rPr>
                <w:color w:val="000000"/>
                <w:vertAlign w:val="superscript"/>
              </w:rPr>
              <w:t>st</w:t>
            </w:r>
          </w:p>
        </w:tc>
        <w:tc>
          <w:tcPr>
            <w:tcW w:w="992" w:type="dxa"/>
            <w:tcBorders>
              <w:top w:val="nil"/>
              <w:left w:val="nil"/>
              <w:bottom w:val="single" w:sz="4" w:space="0" w:color="auto"/>
              <w:right w:val="nil"/>
            </w:tcBorders>
            <w:shd w:val="clear" w:color="auto" w:fill="auto"/>
            <w:noWrap/>
            <w:vAlign w:val="center"/>
            <w:hideMark/>
          </w:tcPr>
          <w:p w14:paraId="7DFD8030" w14:textId="77777777" w:rsidR="00FE4655" w:rsidRPr="00637BB8" w:rsidRDefault="00FE4655" w:rsidP="000349D5">
            <w:pPr>
              <w:jc w:val="center"/>
              <w:rPr>
                <w:color w:val="000000"/>
              </w:rPr>
            </w:pPr>
            <w:r w:rsidRPr="00637BB8">
              <w:rPr>
                <w:color w:val="000000"/>
              </w:rPr>
              <w:t>98</w:t>
            </w:r>
            <w:r w:rsidRPr="00637BB8">
              <w:rPr>
                <w:color w:val="000000"/>
                <w:vertAlign w:val="superscript"/>
              </w:rPr>
              <w:t>th</w:t>
            </w:r>
          </w:p>
        </w:tc>
        <w:tc>
          <w:tcPr>
            <w:tcW w:w="993" w:type="dxa"/>
            <w:tcBorders>
              <w:top w:val="nil"/>
              <w:left w:val="nil"/>
              <w:bottom w:val="single" w:sz="4" w:space="0" w:color="auto"/>
              <w:right w:val="nil"/>
            </w:tcBorders>
            <w:shd w:val="clear" w:color="auto" w:fill="auto"/>
            <w:noWrap/>
            <w:vAlign w:val="center"/>
            <w:hideMark/>
          </w:tcPr>
          <w:p w14:paraId="012BB7DD" w14:textId="77777777" w:rsidR="00FE4655" w:rsidRPr="00637BB8" w:rsidRDefault="00FE4655" w:rsidP="000349D5">
            <w:pPr>
              <w:jc w:val="center"/>
              <w:rPr>
                <w:color w:val="000000"/>
              </w:rPr>
            </w:pPr>
            <w:r w:rsidRPr="00637BB8">
              <w:rPr>
                <w:color w:val="000000"/>
              </w:rPr>
              <w:t>99.6</w:t>
            </w:r>
            <w:r w:rsidRPr="00637BB8">
              <w:rPr>
                <w:color w:val="000000"/>
                <w:vertAlign w:val="superscript"/>
              </w:rPr>
              <w:t>th</w:t>
            </w:r>
          </w:p>
        </w:tc>
      </w:tr>
      <w:tr w:rsidR="00FE4655" w:rsidRPr="00637BB8" w14:paraId="6E09C636"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017F2F50" w14:textId="77777777" w:rsidR="00FE4655" w:rsidRPr="00637BB8" w:rsidRDefault="00FE4655" w:rsidP="000349D5">
            <w:pPr>
              <w:jc w:val="center"/>
              <w:rPr>
                <w:color w:val="000000"/>
              </w:rPr>
            </w:pPr>
            <w:r w:rsidRPr="00637BB8">
              <w:rPr>
                <w:color w:val="000000"/>
              </w:rPr>
              <w:t>13</w:t>
            </w:r>
          </w:p>
        </w:tc>
        <w:tc>
          <w:tcPr>
            <w:tcW w:w="992" w:type="dxa"/>
            <w:tcBorders>
              <w:top w:val="nil"/>
              <w:left w:val="nil"/>
              <w:bottom w:val="nil"/>
              <w:right w:val="nil"/>
            </w:tcBorders>
            <w:shd w:val="clear" w:color="auto" w:fill="auto"/>
            <w:noWrap/>
            <w:vAlign w:val="center"/>
            <w:hideMark/>
          </w:tcPr>
          <w:p w14:paraId="0746B3EA" w14:textId="77777777" w:rsidR="00FE4655" w:rsidRPr="00637BB8" w:rsidRDefault="00FE4655" w:rsidP="000349D5">
            <w:pPr>
              <w:jc w:val="center"/>
              <w:rPr>
                <w:color w:val="000000"/>
              </w:rPr>
            </w:pPr>
            <w:r w:rsidRPr="00637BB8">
              <w:rPr>
                <w:color w:val="000000"/>
              </w:rPr>
              <w:t>340</w:t>
            </w:r>
          </w:p>
        </w:tc>
        <w:tc>
          <w:tcPr>
            <w:tcW w:w="992" w:type="dxa"/>
            <w:tcBorders>
              <w:top w:val="nil"/>
              <w:left w:val="nil"/>
              <w:bottom w:val="nil"/>
              <w:right w:val="nil"/>
            </w:tcBorders>
            <w:shd w:val="clear" w:color="auto" w:fill="auto"/>
            <w:noWrap/>
            <w:vAlign w:val="center"/>
            <w:hideMark/>
          </w:tcPr>
          <w:p w14:paraId="3E70D3C7" w14:textId="77777777" w:rsidR="00FE4655" w:rsidRPr="00637BB8" w:rsidRDefault="00FE4655" w:rsidP="000349D5">
            <w:pPr>
              <w:jc w:val="center"/>
              <w:rPr>
                <w:color w:val="000000"/>
              </w:rPr>
            </w:pPr>
            <w:r w:rsidRPr="00637BB8">
              <w:rPr>
                <w:color w:val="000000"/>
              </w:rPr>
              <w:t>436</w:t>
            </w:r>
          </w:p>
        </w:tc>
        <w:tc>
          <w:tcPr>
            <w:tcW w:w="992" w:type="dxa"/>
            <w:tcBorders>
              <w:top w:val="nil"/>
              <w:left w:val="nil"/>
              <w:bottom w:val="nil"/>
              <w:right w:val="nil"/>
            </w:tcBorders>
            <w:shd w:val="clear" w:color="auto" w:fill="auto"/>
            <w:noWrap/>
            <w:vAlign w:val="center"/>
            <w:hideMark/>
          </w:tcPr>
          <w:p w14:paraId="09795CE8" w14:textId="77777777" w:rsidR="00FE4655" w:rsidRPr="00637BB8" w:rsidRDefault="00FE4655" w:rsidP="000349D5">
            <w:pPr>
              <w:jc w:val="center"/>
              <w:rPr>
                <w:color w:val="000000"/>
              </w:rPr>
            </w:pPr>
            <w:r w:rsidRPr="00637BB8">
              <w:rPr>
                <w:color w:val="000000"/>
              </w:rPr>
              <w:t>580</w:t>
            </w:r>
          </w:p>
        </w:tc>
        <w:tc>
          <w:tcPr>
            <w:tcW w:w="993" w:type="dxa"/>
            <w:tcBorders>
              <w:top w:val="nil"/>
              <w:left w:val="nil"/>
              <w:bottom w:val="nil"/>
              <w:right w:val="nil"/>
            </w:tcBorders>
            <w:shd w:val="clear" w:color="auto" w:fill="auto"/>
            <w:noWrap/>
            <w:vAlign w:val="center"/>
            <w:hideMark/>
          </w:tcPr>
          <w:p w14:paraId="0FEDD42D" w14:textId="77777777" w:rsidR="00FE4655" w:rsidRPr="00637BB8" w:rsidRDefault="00FE4655" w:rsidP="000349D5">
            <w:pPr>
              <w:jc w:val="center"/>
              <w:rPr>
                <w:color w:val="000000"/>
              </w:rPr>
            </w:pPr>
            <w:r w:rsidRPr="00637BB8">
              <w:rPr>
                <w:color w:val="000000"/>
              </w:rPr>
              <w:t>754</w:t>
            </w:r>
          </w:p>
        </w:tc>
        <w:tc>
          <w:tcPr>
            <w:tcW w:w="1134" w:type="dxa"/>
            <w:tcBorders>
              <w:top w:val="nil"/>
              <w:left w:val="nil"/>
              <w:bottom w:val="nil"/>
              <w:right w:val="nil"/>
            </w:tcBorders>
            <w:shd w:val="clear" w:color="auto" w:fill="auto"/>
            <w:noWrap/>
            <w:vAlign w:val="center"/>
            <w:hideMark/>
          </w:tcPr>
          <w:p w14:paraId="31F1760D" w14:textId="77777777" w:rsidR="00FE4655" w:rsidRPr="00637BB8" w:rsidRDefault="00FE4655" w:rsidP="000349D5">
            <w:pPr>
              <w:jc w:val="center"/>
              <w:rPr>
                <w:color w:val="000000"/>
              </w:rPr>
            </w:pPr>
            <w:r w:rsidRPr="00637BB8">
              <w:rPr>
                <w:color w:val="000000"/>
              </w:rPr>
              <w:t>981</w:t>
            </w:r>
          </w:p>
        </w:tc>
        <w:tc>
          <w:tcPr>
            <w:tcW w:w="992" w:type="dxa"/>
            <w:tcBorders>
              <w:top w:val="nil"/>
              <w:left w:val="nil"/>
              <w:bottom w:val="nil"/>
              <w:right w:val="nil"/>
            </w:tcBorders>
            <w:shd w:val="clear" w:color="auto" w:fill="auto"/>
            <w:noWrap/>
            <w:vAlign w:val="center"/>
            <w:hideMark/>
          </w:tcPr>
          <w:p w14:paraId="174A90F0" w14:textId="77777777" w:rsidR="00FE4655" w:rsidRPr="00637BB8" w:rsidRDefault="00FE4655" w:rsidP="000349D5">
            <w:pPr>
              <w:jc w:val="center"/>
              <w:rPr>
                <w:color w:val="000000"/>
              </w:rPr>
            </w:pPr>
            <w:r w:rsidRPr="00637BB8">
              <w:rPr>
                <w:color w:val="000000"/>
              </w:rPr>
              <w:t>1249</w:t>
            </w:r>
          </w:p>
        </w:tc>
        <w:tc>
          <w:tcPr>
            <w:tcW w:w="992" w:type="dxa"/>
            <w:tcBorders>
              <w:top w:val="nil"/>
              <w:left w:val="nil"/>
              <w:bottom w:val="nil"/>
              <w:right w:val="nil"/>
            </w:tcBorders>
            <w:shd w:val="clear" w:color="auto" w:fill="auto"/>
            <w:noWrap/>
            <w:vAlign w:val="center"/>
            <w:hideMark/>
          </w:tcPr>
          <w:p w14:paraId="22A71437" w14:textId="77777777" w:rsidR="00FE4655" w:rsidRPr="00637BB8" w:rsidRDefault="00FE4655" w:rsidP="000349D5">
            <w:pPr>
              <w:jc w:val="center"/>
              <w:rPr>
                <w:color w:val="000000"/>
              </w:rPr>
            </w:pPr>
            <w:r w:rsidRPr="00637BB8">
              <w:rPr>
                <w:color w:val="000000"/>
              </w:rPr>
              <w:t>1531</w:t>
            </w:r>
          </w:p>
        </w:tc>
        <w:tc>
          <w:tcPr>
            <w:tcW w:w="992" w:type="dxa"/>
            <w:tcBorders>
              <w:top w:val="nil"/>
              <w:left w:val="nil"/>
              <w:bottom w:val="nil"/>
              <w:right w:val="nil"/>
            </w:tcBorders>
            <w:shd w:val="clear" w:color="auto" w:fill="auto"/>
            <w:noWrap/>
            <w:vAlign w:val="center"/>
            <w:hideMark/>
          </w:tcPr>
          <w:p w14:paraId="7EBF5153" w14:textId="77777777" w:rsidR="00FE4655" w:rsidRPr="00637BB8" w:rsidRDefault="00FE4655" w:rsidP="000349D5">
            <w:pPr>
              <w:jc w:val="center"/>
              <w:rPr>
                <w:color w:val="000000"/>
              </w:rPr>
            </w:pPr>
            <w:r w:rsidRPr="00637BB8">
              <w:rPr>
                <w:color w:val="000000"/>
              </w:rPr>
              <w:t>1850</w:t>
            </w:r>
          </w:p>
        </w:tc>
        <w:tc>
          <w:tcPr>
            <w:tcW w:w="993" w:type="dxa"/>
            <w:tcBorders>
              <w:top w:val="nil"/>
              <w:left w:val="nil"/>
              <w:bottom w:val="nil"/>
              <w:right w:val="nil"/>
            </w:tcBorders>
            <w:shd w:val="clear" w:color="auto" w:fill="auto"/>
            <w:noWrap/>
            <w:vAlign w:val="center"/>
            <w:hideMark/>
          </w:tcPr>
          <w:p w14:paraId="0C9FEB12" w14:textId="77777777" w:rsidR="00FE4655" w:rsidRPr="00637BB8" w:rsidRDefault="00FE4655" w:rsidP="000349D5">
            <w:pPr>
              <w:jc w:val="center"/>
              <w:rPr>
                <w:color w:val="000000"/>
              </w:rPr>
            </w:pPr>
            <w:r w:rsidRPr="00637BB8">
              <w:rPr>
                <w:color w:val="000000"/>
              </w:rPr>
              <w:t>2132</w:t>
            </w:r>
          </w:p>
        </w:tc>
      </w:tr>
      <w:tr w:rsidR="00FE4655" w:rsidRPr="00637BB8" w14:paraId="2E8C06F5"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0805FA0F" w14:textId="77777777" w:rsidR="00FE4655" w:rsidRPr="00637BB8" w:rsidRDefault="00FE4655" w:rsidP="000349D5">
            <w:pPr>
              <w:jc w:val="center"/>
              <w:rPr>
                <w:color w:val="000000"/>
              </w:rPr>
            </w:pPr>
            <w:r w:rsidRPr="00637BB8">
              <w:rPr>
                <w:color w:val="000000"/>
              </w:rPr>
              <w:t>15</w:t>
            </w:r>
          </w:p>
        </w:tc>
        <w:tc>
          <w:tcPr>
            <w:tcW w:w="992" w:type="dxa"/>
            <w:tcBorders>
              <w:top w:val="nil"/>
              <w:left w:val="nil"/>
              <w:bottom w:val="nil"/>
              <w:right w:val="nil"/>
            </w:tcBorders>
            <w:shd w:val="clear" w:color="auto" w:fill="auto"/>
            <w:noWrap/>
            <w:vAlign w:val="center"/>
            <w:hideMark/>
          </w:tcPr>
          <w:p w14:paraId="6856CF6A" w14:textId="77777777" w:rsidR="00FE4655" w:rsidRPr="00637BB8" w:rsidRDefault="00FE4655" w:rsidP="000349D5">
            <w:pPr>
              <w:jc w:val="center"/>
              <w:rPr>
                <w:color w:val="000000"/>
              </w:rPr>
            </w:pPr>
            <w:r w:rsidRPr="00637BB8">
              <w:rPr>
                <w:color w:val="000000"/>
              </w:rPr>
              <w:t>410</w:t>
            </w:r>
          </w:p>
        </w:tc>
        <w:tc>
          <w:tcPr>
            <w:tcW w:w="992" w:type="dxa"/>
            <w:tcBorders>
              <w:top w:val="nil"/>
              <w:left w:val="nil"/>
              <w:bottom w:val="nil"/>
              <w:right w:val="nil"/>
            </w:tcBorders>
            <w:shd w:val="clear" w:color="auto" w:fill="auto"/>
            <w:noWrap/>
            <w:vAlign w:val="center"/>
            <w:hideMark/>
          </w:tcPr>
          <w:p w14:paraId="655FF7A9" w14:textId="77777777" w:rsidR="00FE4655" w:rsidRPr="00637BB8" w:rsidRDefault="00FE4655" w:rsidP="000349D5">
            <w:pPr>
              <w:jc w:val="center"/>
              <w:rPr>
                <w:color w:val="000000"/>
              </w:rPr>
            </w:pPr>
            <w:r w:rsidRPr="00637BB8">
              <w:rPr>
                <w:color w:val="000000"/>
              </w:rPr>
              <w:t>523</w:t>
            </w:r>
          </w:p>
        </w:tc>
        <w:tc>
          <w:tcPr>
            <w:tcW w:w="992" w:type="dxa"/>
            <w:tcBorders>
              <w:top w:val="nil"/>
              <w:left w:val="nil"/>
              <w:bottom w:val="nil"/>
              <w:right w:val="nil"/>
            </w:tcBorders>
            <w:shd w:val="clear" w:color="auto" w:fill="auto"/>
            <w:noWrap/>
            <w:vAlign w:val="center"/>
            <w:hideMark/>
          </w:tcPr>
          <w:p w14:paraId="2DAD0CA6" w14:textId="77777777" w:rsidR="00FE4655" w:rsidRPr="00637BB8" w:rsidRDefault="00FE4655" w:rsidP="000349D5">
            <w:pPr>
              <w:jc w:val="center"/>
              <w:rPr>
                <w:color w:val="000000"/>
              </w:rPr>
            </w:pPr>
            <w:r w:rsidRPr="00637BB8">
              <w:rPr>
                <w:color w:val="000000"/>
              </w:rPr>
              <w:t>690</w:t>
            </w:r>
          </w:p>
        </w:tc>
        <w:tc>
          <w:tcPr>
            <w:tcW w:w="993" w:type="dxa"/>
            <w:tcBorders>
              <w:top w:val="nil"/>
              <w:left w:val="nil"/>
              <w:bottom w:val="nil"/>
              <w:right w:val="nil"/>
            </w:tcBorders>
            <w:shd w:val="clear" w:color="auto" w:fill="auto"/>
            <w:noWrap/>
            <w:vAlign w:val="center"/>
            <w:hideMark/>
          </w:tcPr>
          <w:p w14:paraId="62CB189D" w14:textId="77777777" w:rsidR="00FE4655" w:rsidRPr="00637BB8" w:rsidRDefault="00FE4655" w:rsidP="000349D5">
            <w:pPr>
              <w:jc w:val="center"/>
              <w:rPr>
                <w:color w:val="000000"/>
              </w:rPr>
            </w:pPr>
            <w:r w:rsidRPr="00637BB8">
              <w:rPr>
                <w:color w:val="000000"/>
              </w:rPr>
              <w:t>890</w:t>
            </w:r>
          </w:p>
        </w:tc>
        <w:tc>
          <w:tcPr>
            <w:tcW w:w="1134" w:type="dxa"/>
            <w:tcBorders>
              <w:top w:val="nil"/>
              <w:left w:val="nil"/>
              <w:bottom w:val="nil"/>
              <w:right w:val="nil"/>
            </w:tcBorders>
            <w:shd w:val="clear" w:color="auto" w:fill="auto"/>
            <w:noWrap/>
            <w:vAlign w:val="center"/>
            <w:hideMark/>
          </w:tcPr>
          <w:p w14:paraId="247C36D9" w14:textId="77777777" w:rsidR="00FE4655" w:rsidRPr="00637BB8" w:rsidRDefault="00FE4655" w:rsidP="000349D5">
            <w:pPr>
              <w:jc w:val="center"/>
              <w:rPr>
                <w:color w:val="000000"/>
              </w:rPr>
            </w:pPr>
            <w:r w:rsidRPr="00637BB8">
              <w:rPr>
                <w:color w:val="000000"/>
              </w:rPr>
              <w:t>1153</w:t>
            </w:r>
          </w:p>
        </w:tc>
        <w:tc>
          <w:tcPr>
            <w:tcW w:w="992" w:type="dxa"/>
            <w:tcBorders>
              <w:top w:val="nil"/>
              <w:left w:val="nil"/>
              <w:bottom w:val="nil"/>
              <w:right w:val="nil"/>
            </w:tcBorders>
            <w:shd w:val="clear" w:color="auto" w:fill="auto"/>
            <w:noWrap/>
            <w:vAlign w:val="center"/>
            <w:hideMark/>
          </w:tcPr>
          <w:p w14:paraId="4C50E751" w14:textId="77777777" w:rsidR="00FE4655" w:rsidRPr="00637BB8" w:rsidRDefault="00FE4655" w:rsidP="000349D5">
            <w:pPr>
              <w:jc w:val="center"/>
              <w:rPr>
                <w:color w:val="000000"/>
              </w:rPr>
            </w:pPr>
            <w:r w:rsidRPr="00637BB8">
              <w:rPr>
                <w:color w:val="000000"/>
              </w:rPr>
              <w:t>1444</w:t>
            </w:r>
          </w:p>
        </w:tc>
        <w:tc>
          <w:tcPr>
            <w:tcW w:w="992" w:type="dxa"/>
            <w:tcBorders>
              <w:top w:val="nil"/>
              <w:left w:val="nil"/>
              <w:bottom w:val="nil"/>
              <w:right w:val="nil"/>
            </w:tcBorders>
            <w:shd w:val="clear" w:color="auto" w:fill="auto"/>
            <w:noWrap/>
            <w:vAlign w:val="center"/>
            <w:hideMark/>
          </w:tcPr>
          <w:p w14:paraId="56C6E903" w14:textId="77777777" w:rsidR="00FE4655" w:rsidRPr="00637BB8" w:rsidRDefault="00FE4655" w:rsidP="000349D5">
            <w:pPr>
              <w:jc w:val="center"/>
              <w:rPr>
                <w:color w:val="000000"/>
              </w:rPr>
            </w:pPr>
            <w:r w:rsidRPr="00637BB8">
              <w:rPr>
                <w:color w:val="000000"/>
              </w:rPr>
              <w:t>1713</w:t>
            </w:r>
          </w:p>
        </w:tc>
        <w:tc>
          <w:tcPr>
            <w:tcW w:w="992" w:type="dxa"/>
            <w:tcBorders>
              <w:top w:val="nil"/>
              <w:left w:val="nil"/>
              <w:bottom w:val="nil"/>
              <w:right w:val="nil"/>
            </w:tcBorders>
            <w:shd w:val="clear" w:color="auto" w:fill="auto"/>
            <w:noWrap/>
            <w:vAlign w:val="center"/>
            <w:hideMark/>
          </w:tcPr>
          <w:p w14:paraId="27E60915" w14:textId="77777777" w:rsidR="00FE4655" w:rsidRPr="00637BB8" w:rsidRDefault="00FE4655" w:rsidP="000349D5">
            <w:pPr>
              <w:jc w:val="center"/>
              <w:rPr>
                <w:color w:val="000000"/>
              </w:rPr>
            </w:pPr>
            <w:r w:rsidRPr="00637BB8">
              <w:rPr>
                <w:color w:val="000000"/>
              </w:rPr>
              <w:t>1980</w:t>
            </w:r>
          </w:p>
        </w:tc>
        <w:tc>
          <w:tcPr>
            <w:tcW w:w="993" w:type="dxa"/>
            <w:tcBorders>
              <w:top w:val="nil"/>
              <w:left w:val="nil"/>
              <w:bottom w:val="nil"/>
              <w:right w:val="nil"/>
            </w:tcBorders>
            <w:shd w:val="clear" w:color="auto" w:fill="auto"/>
            <w:noWrap/>
            <w:vAlign w:val="center"/>
            <w:hideMark/>
          </w:tcPr>
          <w:p w14:paraId="3EF7412C" w14:textId="77777777" w:rsidR="00FE4655" w:rsidRPr="00637BB8" w:rsidRDefault="00FE4655" w:rsidP="000349D5">
            <w:pPr>
              <w:jc w:val="center"/>
              <w:rPr>
                <w:color w:val="000000"/>
              </w:rPr>
            </w:pPr>
            <w:r w:rsidRPr="00637BB8">
              <w:rPr>
                <w:color w:val="000000"/>
              </w:rPr>
              <w:t>2193</w:t>
            </w:r>
          </w:p>
        </w:tc>
      </w:tr>
      <w:tr w:rsidR="00FE4655" w:rsidRPr="00637BB8" w14:paraId="1DE456D8"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4CF3B3E7" w14:textId="77777777" w:rsidR="00FE4655" w:rsidRPr="00637BB8" w:rsidRDefault="00FE4655" w:rsidP="000349D5">
            <w:pPr>
              <w:jc w:val="center"/>
              <w:rPr>
                <w:color w:val="000000"/>
              </w:rPr>
            </w:pPr>
            <w:r w:rsidRPr="00637BB8">
              <w:rPr>
                <w:color w:val="000000"/>
              </w:rPr>
              <w:t>17</w:t>
            </w:r>
          </w:p>
        </w:tc>
        <w:tc>
          <w:tcPr>
            <w:tcW w:w="992" w:type="dxa"/>
            <w:tcBorders>
              <w:top w:val="nil"/>
              <w:left w:val="nil"/>
              <w:bottom w:val="nil"/>
              <w:right w:val="nil"/>
            </w:tcBorders>
            <w:shd w:val="clear" w:color="auto" w:fill="auto"/>
            <w:noWrap/>
            <w:vAlign w:val="center"/>
            <w:hideMark/>
          </w:tcPr>
          <w:p w14:paraId="3C498906" w14:textId="77777777" w:rsidR="00FE4655" w:rsidRPr="00637BB8" w:rsidRDefault="00FE4655" w:rsidP="000349D5">
            <w:pPr>
              <w:jc w:val="center"/>
              <w:rPr>
                <w:color w:val="000000"/>
              </w:rPr>
            </w:pPr>
            <w:r w:rsidRPr="00637BB8">
              <w:rPr>
                <w:color w:val="000000"/>
              </w:rPr>
              <w:t>462</w:t>
            </w:r>
          </w:p>
        </w:tc>
        <w:tc>
          <w:tcPr>
            <w:tcW w:w="992" w:type="dxa"/>
            <w:tcBorders>
              <w:top w:val="nil"/>
              <w:left w:val="nil"/>
              <w:bottom w:val="nil"/>
              <w:right w:val="nil"/>
            </w:tcBorders>
            <w:shd w:val="clear" w:color="auto" w:fill="auto"/>
            <w:noWrap/>
            <w:vAlign w:val="center"/>
            <w:hideMark/>
          </w:tcPr>
          <w:p w14:paraId="6C1A786E" w14:textId="77777777" w:rsidR="00FE4655" w:rsidRPr="00637BB8" w:rsidRDefault="00FE4655" w:rsidP="000349D5">
            <w:pPr>
              <w:jc w:val="center"/>
              <w:rPr>
                <w:color w:val="000000"/>
              </w:rPr>
            </w:pPr>
            <w:r w:rsidRPr="00637BB8">
              <w:rPr>
                <w:color w:val="000000"/>
              </w:rPr>
              <w:t>596</w:t>
            </w:r>
          </w:p>
        </w:tc>
        <w:tc>
          <w:tcPr>
            <w:tcW w:w="992" w:type="dxa"/>
            <w:tcBorders>
              <w:top w:val="nil"/>
              <w:left w:val="nil"/>
              <w:bottom w:val="nil"/>
              <w:right w:val="nil"/>
            </w:tcBorders>
            <w:shd w:val="clear" w:color="auto" w:fill="auto"/>
            <w:noWrap/>
            <w:vAlign w:val="center"/>
            <w:hideMark/>
          </w:tcPr>
          <w:p w14:paraId="4E8AF837" w14:textId="77777777" w:rsidR="00FE4655" w:rsidRPr="00637BB8" w:rsidRDefault="00FE4655" w:rsidP="000349D5">
            <w:pPr>
              <w:jc w:val="center"/>
              <w:rPr>
                <w:color w:val="000000"/>
              </w:rPr>
            </w:pPr>
            <w:r w:rsidRPr="00637BB8">
              <w:rPr>
                <w:color w:val="000000"/>
              </w:rPr>
              <w:t>788</w:t>
            </w:r>
          </w:p>
        </w:tc>
        <w:tc>
          <w:tcPr>
            <w:tcW w:w="993" w:type="dxa"/>
            <w:tcBorders>
              <w:top w:val="nil"/>
              <w:left w:val="nil"/>
              <w:bottom w:val="nil"/>
              <w:right w:val="nil"/>
            </w:tcBorders>
            <w:shd w:val="clear" w:color="auto" w:fill="auto"/>
            <w:noWrap/>
            <w:vAlign w:val="center"/>
            <w:hideMark/>
          </w:tcPr>
          <w:p w14:paraId="44613151" w14:textId="77777777" w:rsidR="00FE4655" w:rsidRPr="00637BB8" w:rsidRDefault="00FE4655" w:rsidP="000349D5">
            <w:pPr>
              <w:jc w:val="center"/>
              <w:rPr>
                <w:color w:val="000000"/>
              </w:rPr>
            </w:pPr>
            <w:r w:rsidRPr="00637BB8">
              <w:rPr>
                <w:color w:val="000000"/>
              </w:rPr>
              <w:t>1012</w:t>
            </w:r>
          </w:p>
        </w:tc>
        <w:tc>
          <w:tcPr>
            <w:tcW w:w="1134" w:type="dxa"/>
            <w:tcBorders>
              <w:top w:val="nil"/>
              <w:left w:val="nil"/>
              <w:bottom w:val="nil"/>
              <w:right w:val="nil"/>
            </w:tcBorders>
            <w:shd w:val="clear" w:color="auto" w:fill="auto"/>
            <w:noWrap/>
            <w:vAlign w:val="center"/>
            <w:hideMark/>
          </w:tcPr>
          <w:p w14:paraId="5FADDA5F" w14:textId="77777777" w:rsidR="00FE4655" w:rsidRPr="00637BB8" w:rsidRDefault="00FE4655" w:rsidP="000349D5">
            <w:pPr>
              <w:jc w:val="center"/>
              <w:rPr>
                <w:color w:val="000000"/>
              </w:rPr>
            </w:pPr>
            <w:r w:rsidRPr="00637BB8">
              <w:rPr>
                <w:color w:val="000000"/>
              </w:rPr>
              <w:t>1297</w:t>
            </w:r>
          </w:p>
        </w:tc>
        <w:tc>
          <w:tcPr>
            <w:tcW w:w="992" w:type="dxa"/>
            <w:tcBorders>
              <w:top w:val="nil"/>
              <w:left w:val="nil"/>
              <w:bottom w:val="nil"/>
              <w:right w:val="nil"/>
            </w:tcBorders>
            <w:shd w:val="clear" w:color="auto" w:fill="auto"/>
            <w:noWrap/>
            <w:vAlign w:val="center"/>
            <w:hideMark/>
          </w:tcPr>
          <w:p w14:paraId="2B9F6892" w14:textId="77777777" w:rsidR="00FE4655" w:rsidRPr="00637BB8" w:rsidRDefault="00FE4655" w:rsidP="000349D5">
            <w:pPr>
              <w:jc w:val="center"/>
              <w:rPr>
                <w:color w:val="000000"/>
              </w:rPr>
            </w:pPr>
            <w:r w:rsidRPr="00637BB8">
              <w:rPr>
                <w:color w:val="000000"/>
              </w:rPr>
              <w:t>1595</w:t>
            </w:r>
          </w:p>
        </w:tc>
        <w:tc>
          <w:tcPr>
            <w:tcW w:w="992" w:type="dxa"/>
            <w:tcBorders>
              <w:top w:val="nil"/>
              <w:left w:val="nil"/>
              <w:bottom w:val="nil"/>
              <w:right w:val="nil"/>
            </w:tcBorders>
            <w:shd w:val="clear" w:color="auto" w:fill="auto"/>
            <w:noWrap/>
            <w:vAlign w:val="center"/>
            <w:hideMark/>
          </w:tcPr>
          <w:p w14:paraId="1D7B7EC2" w14:textId="77777777" w:rsidR="00FE4655" w:rsidRPr="00637BB8" w:rsidRDefault="00FE4655" w:rsidP="000349D5">
            <w:pPr>
              <w:jc w:val="center"/>
              <w:rPr>
                <w:color w:val="000000"/>
              </w:rPr>
            </w:pPr>
            <w:r w:rsidRPr="00637BB8">
              <w:rPr>
                <w:color w:val="000000"/>
              </w:rPr>
              <w:t>1850</w:t>
            </w:r>
          </w:p>
        </w:tc>
        <w:tc>
          <w:tcPr>
            <w:tcW w:w="992" w:type="dxa"/>
            <w:tcBorders>
              <w:top w:val="nil"/>
              <w:left w:val="nil"/>
              <w:bottom w:val="nil"/>
              <w:right w:val="nil"/>
            </w:tcBorders>
            <w:shd w:val="clear" w:color="auto" w:fill="auto"/>
            <w:noWrap/>
            <w:vAlign w:val="center"/>
            <w:hideMark/>
          </w:tcPr>
          <w:p w14:paraId="25BAAA86" w14:textId="77777777" w:rsidR="00FE4655" w:rsidRPr="00637BB8" w:rsidRDefault="00FE4655" w:rsidP="000349D5">
            <w:pPr>
              <w:jc w:val="center"/>
              <w:rPr>
                <w:color w:val="000000"/>
              </w:rPr>
            </w:pPr>
            <w:r w:rsidRPr="00637BB8">
              <w:rPr>
                <w:color w:val="000000"/>
              </w:rPr>
              <w:t>2086</w:t>
            </w:r>
          </w:p>
        </w:tc>
        <w:tc>
          <w:tcPr>
            <w:tcW w:w="993" w:type="dxa"/>
            <w:tcBorders>
              <w:top w:val="nil"/>
              <w:left w:val="nil"/>
              <w:bottom w:val="nil"/>
              <w:right w:val="nil"/>
            </w:tcBorders>
            <w:shd w:val="clear" w:color="auto" w:fill="auto"/>
            <w:noWrap/>
            <w:vAlign w:val="center"/>
            <w:hideMark/>
          </w:tcPr>
          <w:p w14:paraId="052CAC8D" w14:textId="77777777" w:rsidR="00FE4655" w:rsidRPr="00637BB8" w:rsidRDefault="00FE4655" w:rsidP="000349D5">
            <w:pPr>
              <w:jc w:val="center"/>
              <w:rPr>
                <w:color w:val="000000"/>
              </w:rPr>
            </w:pPr>
            <w:r w:rsidRPr="00637BB8">
              <w:rPr>
                <w:color w:val="000000"/>
              </w:rPr>
              <w:t>2264</w:t>
            </w:r>
          </w:p>
        </w:tc>
      </w:tr>
      <w:tr w:rsidR="00FE4655" w:rsidRPr="00637BB8" w14:paraId="2BDB223D"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5BE46A18" w14:textId="77777777" w:rsidR="00FE4655" w:rsidRPr="00637BB8" w:rsidRDefault="00FE4655" w:rsidP="000349D5">
            <w:pPr>
              <w:jc w:val="center"/>
              <w:rPr>
                <w:color w:val="000000"/>
              </w:rPr>
            </w:pPr>
            <w:r w:rsidRPr="00637BB8">
              <w:rPr>
                <w:color w:val="000000"/>
              </w:rPr>
              <w:t>19</w:t>
            </w:r>
          </w:p>
        </w:tc>
        <w:tc>
          <w:tcPr>
            <w:tcW w:w="992" w:type="dxa"/>
            <w:tcBorders>
              <w:top w:val="nil"/>
              <w:left w:val="nil"/>
              <w:bottom w:val="nil"/>
              <w:right w:val="nil"/>
            </w:tcBorders>
            <w:shd w:val="clear" w:color="auto" w:fill="auto"/>
            <w:noWrap/>
            <w:vAlign w:val="center"/>
            <w:hideMark/>
          </w:tcPr>
          <w:p w14:paraId="64C6FB73" w14:textId="77777777" w:rsidR="00FE4655" w:rsidRPr="00637BB8" w:rsidRDefault="00FE4655" w:rsidP="000349D5">
            <w:pPr>
              <w:jc w:val="center"/>
              <w:rPr>
                <w:color w:val="000000"/>
              </w:rPr>
            </w:pPr>
            <w:r w:rsidRPr="00637BB8">
              <w:rPr>
                <w:color w:val="000000"/>
              </w:rPr>
              <w:t>482</w:t>
            </w:r>
          </w:p>
        </w:tc>
        <w:tc>
          <w:tcPr>
            <w:tcW w:w="992" w:type="dxa"/>
            <w:tcBorders>
              <w:top w:val="nil"/>
              <w:left w:val="nil"/>
              <w:bottom w:val="nil"/>
              <w:right w:val="nil"/>
            </w:tcBorders>
            <w:shd w:val="clear" w:color="auto" w:fill="auto"/>
            <w:noWrap/>
            <w:vAlign w:val="center"/>
            <w:hideMark/>
          </w:tcPr>
          <w:p w14:paraId="40A957B9" w14:textId="77777777" w:rsidR="00FE4655" w:rsidRPr="00637BB8" w:rsidRDefault="00FE4655" w:rsidP="000349D5">
            <w:pPr>
              <w:jc w:val="center"/>
              <w:rPr>
                <w:color w:val="000000"/>
              </w:rPr>
            </w:pPr>
            <w:r w:rsidRPr="00637BB8">
              <w:rPr>
                <w:color w:val="000000"/>
              </w:rPr>
              <w:t>637</w:t>
            </w:r>
          </w:p>
        </w:tc>
        <w:tc>
          <w:tcPr>
            <w:tcW w:w="992" w:type="dxa"/>
            <w:tcBorders>
              <w:top w:val="nil"/>
              <w:left w:val="nil"/>
              <w:bottom w:val="nil"/>
              <w:right w:val="nil"/>
            </w:tcBorders>
            <w:shd w:val="clear" w:color="auto" w:fill="auto"/>
            <w:noWrap/>
            <w:vAlign w:val="center"/>
            <w:hideMark/>
          </w:tcPr>
          <w:p w14:paraId="3B973218" w14:textId="77777777" w:rsidR="00FE4655" w:rsidRPr="00637BB8" w:rsidRDefault="00FE4655" w:rsidP="000349D5">
            <w:pPr>
              <w:jc w:val="center"/>
              <w:rPr>
                <w:color w:val="000000"/>
              </w:rPr>
            </w:pPr>
            <w:r w:rsidRPr="00637BB8">
              <w:rPr>
                <w:color w:val="000000"/>
              </w:rPr>
              <w:t>849</w:t>
            </w:r>
          </w:p>
        </w:tc>
        <w:tc>
          <w:tcPr>
            <w:tcW w:w="993" w:type="dxa"/>
            <w:tcBorders>
              <w:top w:val="nil"/>
              <w:left w:val="nil"/>
              <w:bottom w:val="nil"/>
              <w:right w:val="nil"/>
            </w:tcBorders>
            <w:shd w:val="clear" w:color="auto" w:fill="auto"/>
            <w:noWrap/>
            <w:vAlign w:val="center"/>
            <w:hideMark/>
          </w:tcPr>
          <w:p w14:paraId="32698D0C" w14:textId="77777777" w:rsidR="00FE4655" w:rsidRPr="00637BB8" w:rsidRDefault="00FE4655" w:rsidP="000349D5">
            <w:pPr>
              <w:jc w:val="center"/>
              <w:rPr>
                <w:color w:val="000000"/>
              </w:rPr>
            </w:pPr>
            <w:r w:rsidRPr="00637BB8">
              <w:rPr>
                <w:color w:val="000000"/>
              </w:rPr>
              <w:t>1085</w:t>
            </w:r>
          </w:p>
        </w:tc>
        <w:tc>
          <w:tcPr>
            <w:tcW w:w="1134" w:type="dxa"/>
            <w:tcBorders>
              <w:top w:val="nil"/>
              <w:left w:val="nil"/>
              <w:bottom w:val="nil"/>
              <w:right w:val="nil"/>
            </w:tcBorders>
            <w:shd w:val="clear" w:color="auto" w:fill="auto"/>
            <w:noWrap/>
            <w:vAlign w:val="center"/>
            <w:hideMark/>
          </w:tcPr>
          <w:p w14:paraId="1654E665" w14:textId="77777777" w:rsidR="00FE4655" w:rsidRPr="00637BB8" w:rsidRDefault="00FE4655" w:rsidP="000349D5">
            <w:pPr>
              <w:jc w:val="center"/>
              <w:rPr>
                <w:color w:val="000000"/>
              </w:rPr>
            </w:pPr>
            <w:r w:rsidRPr="00637BB8">
              <w:rPr>
                <w:color w:val="000000"/>
              </w:rPr>
              <w:t>1372</w:t>
            </w:r>
          </w:p>
        </w:tc>
        <w:tc>
          <w:tcPr>
            <w:tcW w:w="992" w:type="dxa"/>
            <w:tcBorders>
              <w:top w:val="nil"/>
              <w:left w:val="nil"/>
              <w:bottom w:val="nil"/>
              <w:right w:val="nil"/>
            </w:tcBorders>
            <w:shd w:val="clear" w:color="auto" w:fill="auto"/>
            <w:noWrap/>
            <w:vAlign w:val="center"/>
            <w:hideMark/>
          </w:tcPr>
          <w:p w14:paraId="52176CC8" w14:textId="77777777" w:rsidR="00FE4655" w:rsidRPr="00637BB8" w:rsidRDefault="00FE4655" w:rsidP="000349D5">
            <w:pPr>
              <w:jc w:val="center"/>
              <w:rPr>
                <w:color w:val="000000"/>
              </w:rPr>
            </w:pPr>
            <w:r w:rsidRPr="00637BB8">
              <w:rPr>
                <w:color w:val="000000"/>
              </w:rPr>
              <w:t>1659</w:t>
            </w:r>
          </w:p>
        </w:tc>
        <w:tc>
          <w:tcPr>
            <w:tcW w:w="992" w:type="dxa"/>
            <w:tcBorders>
              <w:top w:val="nil"/>
              <w:left w:val="nil"/>
              <w:bottom w:val="nil"/>
              <w:right w:val="nil"/>
            </w:tcBorders>
            <w:shd w:val="clear" w:color="auto" w:fill="auto"/>
            <w:noWrap/>
            <w:vAlign w:val="center"/>
            <w:hideMark/>
          </w:tcPr>
          <w:p w14:paraId="67B5286B" w14:textId="77777777" w:rsidR="00FE4655" w:rsidRPr="00637BB8" w:rsidRDefault="00FE4655" w:rsidP="000349D5">
            <w:pPr>
              <w:jc w:val="center"/>
              <w:rPr>
                <w:color w:val="000000"/>
              </w:rPr>
            </w:pPr>
            <w:r w:rsidRPr="00637BB8">
              <w:rPr>
                <w:color w:val="000000"/>
              </w:rPr>
              <w:t>1893</w:t>
            </w:r>
          </w:p>
        </w:tc>
        <w:tc>
          <w:tcPr>
            <w:tcW w:w="992" w:type="dxa"/>
            <w:tcBorders>
              <w:top w:val="nil"/>
              <w:left w:val="nil"/>
              <w:bottom w:val="nil"/>
              <w:right w:val="nil"/>
            </w:tcBorders>
            <w:shd w:val="clear" w:color="auto" w:fill="auto"/>
            <w:noWrap/>
            <w:vAlign w:val="center"/>
            <w:hideMark/>
          </w:tcPr>
          <w:p w14:paraId="2BDC8310" w14:textId="77777777" w:rsidR="00FE4655" w:rsidRPr="00637BB8" w:rsidRDefault="00FE4655" w:rsidP="000349D5">
            <w:pPr>
              <w:jc w:val="center"/>
              <w:rPr>
                <w:color w:val="000000"/>
              </w:rPr>
            </w:pPr>
            <w:r w:rsidRPr="00637BB8">
              <w:rPr>
                <w:color w:val="000000"/>
              </w:rPr>
              <w:t>2101</w:t>
            </w:r>
          </w:p>
        </w:tc>
        <w:tc>
          <w:tcPr>
            <w:tcW w:w="993" w:type="dxa"/>
            <w:tcBorders>
              <w:top w:val="nil"/>
              <w:left w:val="nil"/>
              <w:bottom w:val="nil"/>
              <w:right w:val="nil"/>
            </w:tcBorders>
            <w:shd w:val="clear" w:color="auto" w:fill="auto"/>
            <w:noWrap/>
            <w:vAlign w:val="center"/>
            <w:hideMark/>
          </w:tcPr>
          <w:p w14:paraId="459CCFC2" w14:textId="77777777" w:rsidR="00FE4655" w:rsidRPr="00637BB8" w:rsidRDefault="00FE4655" w:rsidP="000349D5">
            <w:pPr>
              <w:jc w:val="center"/>
              <w:rPr>
                <w:color w:val="000000"/>
              </w:rPr>
            </w:pPr>
            <w:r w:rsidRPr="00637BB8">
              <w:rPr>
                <w:color w:val="000000"/>
              </w:rPr>
              <w:t>2254</w:t>
            </w:r>
          </w:p>
        </w:tc>
      </w:tr>
      <w:tr w:rsidR="00FE4655" w:rsidRPr="00637BB8" w14:paraId="0FC0F0BE"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10BD530F" w14:textId="77777777" w:rsidR="00FE4655" w:rsidRPr="00637BB8" w:rsidRDefault="00FE4655" w:rsidP="000349D5">
            <w:pPr>
              <w:jc w:val="center"/>
              <w:rPr>
                <w:color w:val="000000"/>
              </w:rPr>
            </w:pPr>
            <w:r w:rsidRPr="00637BB8">
              <w:rPr>
                <w:color w:val="000000"/>
              </w:rPr>
              <w:t>21</w:t>
            </w:r>
          </w:p>
        </w:tc>
        <w:tc>
          <w:tcPr>
            <w:tcW w:w="992" w:type="dxa"/>
            <w:tcBorders>
              <w:top w:val="nil"/>
              <w:left w:val="nil"/>
              <w:bottom w:val="nil"/>
              <w:right w:val="nil"/>
            </w:tcBorders>
            <w:shd w:val="clear" w:color="auto" w:fill="auto"/>
            <w:noWrap/>
            <w:vAlign w:val="center"/>
            <w:hideMark/>
          </w:tcPr>
          <w:p w14:paraId="4A281235" w14:textId="77777777" w:rsidR="00FE4655" w:rsidRPr="00637BB8" w:rsidRDefault="00FE4655" w:rsidP="000349D5">
            <w:pPr>
              <w:jc w:val="center"/>
              <w:rPr>
                <w:color w:val="000000"/>
              </w:rPr>
            </w:pPr>
            <w:r w:rsidRPr="00637BB8">
              <w:rPr>
                <w:color w:val="000000"/>
              </w:rPr>
              <w:t>518</w:t>
            </w:r>
          </w:p>
        </w:tc>
        <w:tc>
          <w:tcPr>
            <w:tcW w:w="992" w:type="dxa"/>
            <w:tcBorders>
              <w:top w:val="nil"/>
              <w:left w:val="nil"/>
              <w:bottom w:val="nil"/>
              <w:right w:val="nil"/>
            </w:tcBorders>
            <w:shd w:val="clear" w:color="auto" w:fill="auto"/>
            <w:noWrap/>
            <w:vAlign w:val="center"/>
            <w:hideMark/>
          </w:tcPr>
          <w:p w14:paraId="7E4F5816" w14:textId="77777777" w:rsidR="00FE4655" w:rsidRPr="00637BB8" w:rsidRDefault="00FE4655" w:rsidP="000349D5">
            <w:pPr>
              <w:jc w:val="center"/>
              <w:rPr>
                <w:color w:val="000000"/>
              </w:rPr>
            </w:pPr>
            <w:r w:rsidRPr="00637BB8">
              <w:rPr>
                <w:color w:val="000000"/>
              </w:rPr>
              <w:t>705</w:t>
            </w:r>
          </w:p>
        </w:tc>
        <w:tc>
          <w:tcPr>
            <w:tcW w:w="992" w:type="dxa"/>
            <w:tcBorders>
              <w:top w:val="nil"/>
              <w:left w:val="nil"/>
              <w:bottom w:val="nil"/>
              <w:right w:val="nil"/>
            </w:tcBorders>
            <w:shd w:val="clear" w:color="auto" w:fill="auto"/>
            <w:noWrap/>
            <w:vAlign w:val="center"/>
            <w:hideMark/>
          </w:tcPr>
          <w:p w14:paraId="44F34638" w14:textId="77777777" w:rsidR="00FE4655" w:rsidRPr="00637BB8" w:rsidRDefault="00FE4655" w:rsidP="000349D5">
            <w:pPr>
              <w:jc w:val="center"/>
              <w:rPr>
                <w:color w:val="000000"/>
              </w:rPr>
            </w:pPr>
            <w:r w:rsidRPr="00637BB8">
              <w:rPr>
                <w:color w:val="000000"/>
              </w:rPr>
              <w:t>945</w:t>
            </w:r>
          </w:p>
        </w:tc>
        <w:tc>
          <w:tcPr>
            <w:tcW w:w="993" w:type="dxa"/>
            <w:tcBorders>
              <w:top w:val="nil"/>
              <w:left w:val="nil"/>
              <w:bottom w:val="nil"/>
              <w:right w:val="nil"/>
            </w:tcBorders>
            <w:shd w:val="clear" w:color="auto" w:fill="auto"/>
            <w:noWrap/>
            <w:vAlign w:val="center"/>
            <w:hideMark/>
          </w:tcPr>
          <w:p w14:paraId="43D9A07E" w14:textId="77777777" w:rsidR="00FE4655" w:rsidRPr="00637BB8" w:rsidRDefault="00FE4655" w:rsidP="000349D5">
            <w:pPr>
              <w:jc w:val="center"/>
              <w:rPr>
                <w:color w:val="000000"/>
              </w:rPr>
            </w:pPr>
            <w:r w:rsidRPr="00637BB8">
              <w:rPr>
                <w:color w:val="000000"/>
              </w:rPr>
              <w:t>1201</w:t>
            </w:r>
          </w:p>
        </w:tc>
        <w:tc>
          <w:tcPr>
            <w:tcW w:w="1134" w:type="dxa"/>
            <w:tcBorders>
              <w:top w:val="nil"/>
              <w:left w:val="nil"/>
              <w:bottom w:val="nil"/>
              <w:right w:val="nil"/>
            </w:tcBorders>
            <w:shd w:val="clear" w:color="auto" w:fill="auto"/>
            <w:noWrap/>
            <w:vAlign w:val="center"/>
            <w:hideMark/>
          </w:tcPr>
          <w:p w14:paraId="0EEEECED" w14:textId="77777777" w:rsidR="00FE4655" w:rsidRPr="00637BB8" w:rsidRDefault="00FE4655" w:rsidP="000349D5">
            <w:pPr>
              <w:jc w:val="center"/>
              <w:rPr>
                <w:color w:val="000000"/>
              </w:rPr>
            </w:pPr>
            <w:r w:rsidRPr="00637BB8">
              <w:rPr>
                <w:color w:val="000000"/>
              </w:rPr>
              <w:t>1500</w:t>
            </w:r>
          </w:p>
        </w:tc>
        <w:tc>
          <w:tcPr>
            <w:tcW w:w="992" w:type="dxa"/>
            <w:tcBorders>
              <w:top w:val="nil"/>
              <w:left w:val="nil"/>
              <w:bottom w:val="nil"/>
              <w:right w:val="nil"/>
            </w:tcBorders>
            <w:shd w:val="clear" w:color="auto" w:fill="auto"/>
            <w:noWrap/>
            <w:vAlign w:val="center"/>
            <w:hideMark/>
          </w:tcPr>
          <w:p w14:paraId="7F03E9D4" w14:textId="77777777" w:rsidR="00FE4655" w:rsidRPr="00637BB8" w:rsidRDefault="00FE4655" w:rsidP="000349D5">
            <w:pPr>
              <w:jc w:val="center"/>
              <w:rPr>
                <w:color w:val="000000"/>
              </w:rPr>
            </w:pPr>
            <w:r w:rsidRPr="00637BB8">
              <w:rPr>
                <w:color w:val="000000"/>
              </w:rPr>
              <w:t>1786</w:t>
            </w:r>
          </w:p>
        </w:tc>
        <w:tc>
          <w:tcPr>
            <w:tcW w:w="992" w:type="dxa"/>
            <w:tcBorders>
              <w:top w:val="nil"/>
              <w:left w:val="nil"/>
              <w:bottom w:val="nil"/>
              <w:right w:val="nil"/>
            </w:tcBorders>
            <w:shd w:val="clear" w:color="auto" w:fill="auto"/>
            <w:noWrap/>
            <w:vAlign w:val="center"/>
            <w:hideMark/>
          </w:tcPr>
          <w:p w14:paraId="542E70E3" w14:textId="77777777" w:rsidR="00FE4655" w:rsidRPr="00637BB8" w:rsidRDefault="00FE4655" w:rsidP="000349D5">
            <w:pPr>
              <w:jc w:val="center"/>
              <w:rPr>
                <w:color w:val="000000"/>
              </w:rPr>
            </w:pPr>
            <w:r w:rsidRPr="00637BB8">
              <w:rPr>
                <w:color w:val="000000"/>
              </w:rPr>
              <w:t>2011</w:t>
            </w:r>
          </w:p>
        </w:tc>
        <w:tc>
          <w:tcPr>
            <w:tcW w:w="992" w:type="dxa"/>
            <w:tcBorders>
              <w:top w:val="nil"/>
              <w:left w:val="nil"/>
              <w:bottom w:val="nil"/>
              <w:right w:val="nil"/>
            </w:tcBorders>
            <w:shd w:val="clear" w:color="auto" w:fill="auto"/>
            <w:noWrap/>
            <w:vAlign w:val="center"/>
            <w:hideMark/>
          </w:tcPr>
          <w:p w14:paraId="14AD8C82" w14:textId="77777777" w:rsidR="00FE4655" w:rsidRPr="00637BB8" w:rsidRDefault="00FE4655" w:rsidP="000349D5">
            <w:pPr>
              <w:jc w:val="center"/>
              <w:rPr>
                <w:color w:val="000000"/>
              </w:rPr>
            </w:pPr>
            <w:r w:rsidRPr="00637BB8">
              <w:rPr>
                <w:color w:val="000000"/>
              </w:rPr>
              <w:t>2206</w:t>
            </w:r>
          </w:p>
        </w:tc>
        <w:tc>
          <w:tcPr>
            <w:tcW w:w="993" w:type="dxa"/>
            <w:tcBorders>
              <w:top w:val="nil"/>
              <w:left w:val="nil"/>
              <w:bottom w:val="nil"/>
              <w:right w:val="nil"/>
            </w:tcBorders>
            <w:shd w:val="clear" w:color="auto" w:fill="auto"/>
            <w:noWrap/>
            <w:vAlign w:val="center"/>
            <w:hideMark/>
          </w:tcPr>
          <w:p w14:paraId="60F41B1C" w14:textId="77777777" w:rsidR="00FE4655" w:rsidRPr="00637BB8" w:rsidRDefault="00FE4655" w:rsidP="000349D5">
            <w:pPr>
              <w:jc w:val="center"/>
              <w:rPr>
                <w:color w:val="000000"/>
              </w:rPr>
            </w:pPr>
            <w:r w:rsidRPr="00637BB8">
              <w:rPr>
                <w:color w:val="000000"/>
              </w:rPr>
              <w:t>2346</w:t>
            </w:r>
          </w:p>
        </w:tc>
      </w:tr>
      <w:tr w:rsidR="00FE4655" w:rsidRPr="00637BB8" w14:paraId="19727442"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77E06E41" w14:textId="77777777" w:rsidR="00FE4655" w:rsidRPr="00637BB8" w:rsidRDefault="00FE4655" w:rsidP="000349D5">
            <w:pPr>
              <w:jc w:val="center"/>
              <w:rPr>
                <w:color w:val="000000"/>
              </w:rPr>
            </w:pPr>
            <w:r w:rsidRPr="00637BB8">
              <w:rPr>
                <w:color w:val="000000"/>
              </w:rPr>
              <w:t>23</w:t>
            </w:r>
          </w:p>
        </w:tc>
        <w:tc>
          <w:tcPr>
            <w:tcW w:w="992" w:type="dxa"/>
            <w:tcBorders>
              <w:top w:val="nil"/>
              <w:left w:val="nil"/>
              <w:bottom w:val="nil"/>
              <w:right w:val="nil"/>
            </w:tcBorders>
            <w:shd w:val="clear" w:color="auto" w:fill="auto"/>
            <w:noWrap/>
            <w:vAlign w:val="center"/>
            <w:hideMark/>
          </w:tcPr>
          <w:p w14:paraId="77F2AD85" w14:textId="77777777" w:rsidR="00FE4655" w:rsidRPr="00637BB8" w:rsidRDefault="00FE4655" w:rsidP="000349D5">
            <w:pPr>
              <w:jc w:val="center"/>
              <w:rPr>
                <w:color w:val="000000"/>
              </w:rPr>
            </w:pPr>
            <w:r w:rsidRPr="00637BB8">
              <w:rPr>
                <w:color w:val="000000"/>
              </w:rPr>
              <w:t>575</w:t>
            </w:r>
          </w:p>
        </w:tc>
        <w:tc>
          <w:tcPr>
            <w:tcW w:w="992" w:type="dxa"/>
            <w:tcBorders>
              <w:top w:val="nil"/>
              <w:left w:val="nil"/>
              <w:bottom w:val="nil"/>
              <w:right w:val="nil"/>
            </w:tcBorders>
            <w:shd w:val="clear" w:color="auto" w:fill="auto"/>
            <w:noWrap/>
            <w:vAlign w:val="center"/>
            <w:hideMark/>
          </w:tcPr>
          <w:p w14:paraId="33F7B589" w14:textId="77777777" w:rsidR="00FE4655" w:rsidRPr="00637BB8" w:rsidRDefault="00FE4655" w:rsidP="000349D5">
            <w:pPr>
              <w:jc w:val="center"/>
              <w:rPr>
                <w:color w:val="000000"/>
              </w:rPr>
            </w:pPr>
            <w:r w:rsidRPr="00637BB8">
              <w:rPr>
                <w:color w:val="000000"/>
              </w:rPr>
              <w:t>812</w:t>
            </w:r>
          </w:p>
        </w:tc>
        <w:tc>
          <w:tcPr>
            <w:tcW w:w="992" w:type="dxa"/>
            <w:tcBorders>
              <w:top w:val="nil"/>
              <w:left w:val="nil"/>
              <w:bottom w:val="nil"/>
              <w:right w:val="nil"/>
            </w:tcBorders>
            <w:shd w:val="clear" w:color="auto" w:fill="auto"/>
            <w:noWrap/>
            <w:vAlign w:val="center"/>
            <w:hideMark/>
          </w:tcPr>
          <w:p w14:paraId="40FC2A1A" w14:textId="77777777" w:rsidR="00FE4655" w:rsidRPr="00637BB8" w:rsidRDefault="00FE4655" w:rsidP="000349D5">
            <w:pPr>
              <w:jc w:val="center"/>
              <w:rPr>
                <w:color w:val="000000"/>
              </w:rPr>
            </w:pPr>
            <w:r w:rsidRPr="00637BB8">
              <w:rPr>
                <w:color w:val="000000"/>
              </w:rPr>
              <w:t>1098</w:t>
            </w:r>
          </w:p>
        </w:tc>
        <w:tc>
          <w:tcPr>
            <w:tcW w:w="993" w:type="dxa"/>
            <w:tcBorders>
              <w:top w:val="nil"/>
              <w:left w:val="nil"/>
              <w:bottom w:val="nil"/>
              <w:right w:val="nil"/>
            </w:tcBorders>
            <w:shd w:val="clear" w:color="auto" w:fill="auto"/>
            <w:noWrap/>
            <w:vAlign w:val="center"/>
            <w:hideMark/>
          </w:tcPr>
          <w:p w14:paraId="24E7FF6A" w14:textId="77777777" w:rsidR="00FE4655" w:rsidRPr="00637BB8" w:rsidRDefault="00FE4655" w:rsidP="000349D5">
            <w:pPr>
              <w:jc w:val="center"/>
              <w:rPr>
                <w:color w:val="000000"/>
              </w:rPr>
            </w:pPr>
            <w:r w:rsidRPr="00637BB8">
              <w:rPr>
                <w:color w:val="000000"/>
              </w:rPr>
              <w:t>1386</w:t>
            </w:r>
          </w:p>
        </w:tc>
        <w:tc>
          <w:tcPr>
            <w:tcW w:w="1134" w:type="dxa"/>
            <w:tcBorders>
              <w:top w:val="nil"/>
              <w:left w:val="nil"/>
              <w:bottom w:val="nil"/>
              <w:right w:val="nil"/>
            </w:tcBorders>
            <w:shd w:val="clear" w:color="auto" w:fill="auto"/>
            <w:noWrap/>
            <w:vAlign w:val="center"/>
            <w:hideMark/>
          </w:tcPr>
          <w:p w14:paraId="733E426C" w14:textId="77777777" w:rsidR="00FE4655" w:rsidRPr="00637BB8" w:rsidRDefault="00FE4655" w:rsidP="000349D5">
            <w:pPr>
              <w:jc w:val="center"/>
              <w:rPr>
                <w:color w:val="000000"/>
              </w:rPr>
            </w:pPr>
            <w:r w:rsidRPr="00637BB8">
              <w:rPr>
                <w:color w:val="000000"/>
              </w:rPr>
              <w:t>1706</w:t>
            </w:r>
          </w:p>
        </w:tc>
        <w:tc>
          <w:tcPr>
            <w:tcW w:w="992" w:type="dxa"/>
            <w:tcBorders>
              <w:top w:val="nil"/>
              <w:left w:val="nil"/>
              <w:bottom w:val="nil"/>
              <w:right w:val="nil"/>
            </w:tcBorders>
            <w:shd w:val="clear" w:color="auto" w:fill="auto"/>
            <w:noWrap/>
            <w:vAlign w:val="center"/>
            <w:hideMark/>
          </w:tcPr>
          <w:p w14:paraId="36871CED" w14:textId="77777777" w:rsidR="00FE4655" w:rsidRPr="00637BB8" w:rsidRDefault="00FE4655" w:rsidP="000349D5">
            <w:pPr>
              <w:jc w:val="center"/>
              <w:rPr>
                <w:color w:val="000000"/>
              </w:rPr>
            </w:pPr>
            <w:r w:rsidRPr="00637BB8">
              <w:rPr>
                <w:color w:val="000000"/>
              </w:rPr>
              <w:t>2004</w:t>
            </w:r>
          </w:p>
        </w:tc>
        <w:tc>
          <w:tcPr>
            <w:tcW w:w="992" w:type="dxa"/>
            <w:tcBorders>
              <w:top w:val="nil"/>
              <w:left w:val="nil"/>
              <w:bottom w:val="nil"/>
              <w:right w:val="nil"/>
            </w:tcBorders>
            <w:shd w:val="clear" w:color="auto" w:fill="auto"/>
            <w:noWrap/>
            <w:vAlign w:val="center"/>
            <w:hideMark/>
          </w:tcPr>
          <w:p w14:paraId="786D74F4" w14:textId="77777777" w:rsidR="00FE4655" w:rsidRPr="00637BB8" w:rsidRDefault="00FE4655" w:rsidP="000349D5">
            <w:pPr>
              <w:jc w:val="center"/>
              <w:rPr>
                <w:color w:val="000000"/>
              </w:rPr>
            </w:pPr>
            <w:r w:rsidRPr="00637BB8">
              <w:rPr>
                <w:color w:val="000000"/>
              </w:rPr>
              <w:t>2233</w:t>
            </w:r>
          </w:p>
        </w:tc>
        <w:tc>
          <w:tcPr>
            <w:tcW w:w="992" w:type="dxa"/>
            <w:tcBorders>
              <w:top w:val="nil"/>
              <w:left w:val="nil"/>
              <w:bottom w:val="nil"/>
              <w:right w:val="nil"/>
            </w:tcBorders>
            <w:shd w:val="clear" w:color="auto" w:fill="auto"/>
            <w:noWrap/>
            <w:vAlign w:val="center"/>
            <w:hideMark/>
          </w:tcPr>
          <w:p w14:paraId="1A2CB213" w14:textId="77777777" w:rsidR="00FE4655" w:rsidRPr="00637BB8" w:rsidRDefault="00FE4655" w:rsidP="000349D5">
            <w:pPr>
              <w:jc w:val="center"/>
              <w:rPr>
                <w:color w:val="000000"/>
              </w:rPr>
            </w:pPr>
            <w:r w:rsidRPr="00637BB8">
              <w:rPr>
                <w:color w:val="000000"/>
              </w:rPr>
              <w:t>2430</w:t>
            </w:r>
          </w:p>
        </w:tc>
        <w:tc>
          <w:tcPr>
            <w:tcW w:w="993" w:type="dxa"/>
            <w:tcBorders>
              <w:top w:val="nil"/>
              <w:left w:val="nil"/>
              <w:bottom w:val="nil"/>
              <w:right w:val="nil"/>
            </w:tcBorders>
            <w:shd w:val="clear" w:color="auto" w:fill="auto"/>
            <w:noWrap/>
            <w:vAlign w:val="center"/>
            <w:hideMark/>
          </w:tcPr>
          <w:p w14:paraId="3FB83913" w14:textId="77777777" w:rsidR="00FE4655" w:rsidRPr="00637BB8" w:rsidRDefault="00FE4655" w:rsidP="000349D5">
            <w:pPr>
              <w:jc w:val="center"/>
              <w:rPr>
                <w:color w:val="000000"/>
              </w:rPr>
            </w:pPr>
            <w:r w:rsidRPr="00637BB8">
              <w:rPr>
                <w:color w:val="000000"/>
              </w:rPr>
              <w:t>2569</w:t>
            </w:r>
          </w:p>
        </w:tc>
      </w:tr>
      <w:tr w:rsidR="00FE4655" w:rsidRPr="00637BB8" w14:paraId="7253502A"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56E2C019" w14:textId="77777777" w:rsidR="00FE4655" w:rsidRPr="00637BB8" w:rsidRDefault="00FE4655" w:rsidP="000349D5">
            <w:pPr>
              <w:jc w:val="center"/>
              <w:rPr>
                <w:color w:val="000000"/>
              </w:rPr>
            </w:pPr>
            <w:r w:rsidRPr="00637BB8">
              <w:rPr>
                <w:color w:val="000000"/>
              </w:rPr>
              <w:t>25</w:t>
            </w:r>
          </w:p>
        </w:tc>
        <w:tc>
          <w:tcPr>
            <w:tcW w:w="992" w:type="dxa"/>
            <w:tcBorders>
              <w:top w:val="nil"/>
              <w:left w:val="nil"/>
              <w:bottom w:val="nil"/>
              <w:right w:val="nil"/>
            </w:tcBorders>
            <w:shd w:val="clear" w:color="auto" w:fill="auto"/>
            <w:noWrap/>
            <w:vAlign w:val="center"/>
            <w:hideMark/>
          </w:tcPr>
          <w:p w14:paraId="53F05ACB" w14:textId="77777777" w:rsidR="00FE4655" w:rsidRPr="00637BB8" w:rsidRDefault="00FE4655" w:rsidP="000349D5">
            <w:pPr>
              <w:jc w:val="center"/>
              <w:rPr>
                <w:color w:val="000000"/>
              </w:rPr>
            </w:pPr>
            <w:r w:rsidRPr="00637BB8">
              <w:rPr>
                <w:color w:val="000000"/>
              </w:rPr>
              <w:t>580</w:t>
            </w:r>
          </w:p>
        </w:tc>
        <w:tc>
          <w:tcPr>
            <w:tcW w:w="992" w:type="dxa"/>
            <w:tcBorders>
              <w:top w:val="nil"/>
              <w:left w:val="nil"/>
              <w:bottom w:val="nil"/>
              <w:right w:val="nil"/>
            </w:tcBorders>
            <w:shd w:val="clear" w:color="auto" w:fill="auto"/>
            <w:noWrap/>
            <w:vAlign w:val="center"/>
            <w:hideMark/>
          </w:tcPr>
          <w:p w14:paraId="46D8042C" w14:textId="77777777" w:rsidR="00FE4655" w:rsidRPr="00637BB8" w:rsidRDefault="00FE4655" w:rsidP="000349D5">
            <w:pPr>
              <w:jc w:val="center"/>
              <w:rPr>
                <w:color w:val="000000"/>
              </w:rPr>
            </w:pPr>
            <w:r w:rsidRPr="00637BB8">
              <w:rPr>
                <w:color w:val="000000"/>
              </w:rPr>
              <w:t>863</w:t>
            </w:r>
          </w:p>
        </w:tc>
        <w:tc>
          <w:tcPr>
            <w:tcW w:w="992" w:type="dxa"/>
            <w:tcBorders>
              <w:top w:val="nil"/>
              <w:left w:val="nil"/>
              <w:bottom w:val="nil"/>
              <w:right w:val="nil"/>
            </w:tcBorders>
            <w:shd w:val="clear" w:color="auto" w:fill="auto"/>
            <w:noWrap/>
            <w:vAlign w:val="center"/>
            <w:hideMark/>
          </w:tcPr>
          <w:p w14:paraId="6824F16F" w14:textId="77777777" w:rsidR="00FE4655" w:rsidRPr="00637BB8" w:rsidRDefault="00FE4655" w:rsidP="000349D5">
            <w:pPr>
              <w:jc w:val="center"/>
              <w:rPr>
                <w:color w:val="000000"/>
              </w:rPr>
            </w:pPr>
            <w:r w:rsidRPr="00637BB8">
              <w:rPr>
                <w:color w:val="000000"/>
              </w:rPr>
              <w:t>1181</w:t>
            </w:r>
          </w:p>
        </w:tc>
        <w:tc>
          <w:tcPr>
            <w:tcW w:w="993" w:type="dxa"/>
            <w:tcBorders>
              <w:top w:val="nil"/>
              <w:left w:val="nil"/>
              <w:bottom w:val="nil"/>
              <w:right w:val="nil"/>
            </w:tcBorders>
            <w:shd w:val="clear" w:color="auto" w:fill="auto"/>
            <w:noWrap/>
            <w:vAlign w:val="center"/>
            <w:hideMark/>
          </w:tcPr>
          <w:p w14:paraId="6C4F2D47" w14:textId="77777777" w:rsidR="00FE4655" w:rsidRPr="00637BB8" w:rsidRDefault="00FE4655" w:rsidP="000349D5">
            <w:pPr>
              <w:jc w:val="center"/>
              <w:rPr>
                <w:color w:val="000000"/>
              </w:rPr>
            </w:pPr>
            <w:r w:rsidRPr="00637BB8">
              <w:rPr>
                <w:color w:val="000000"/>
              </w:rPr>
              <w:t>1480</w:t>
            </w:r>
          </w:p>
        </w:tc>
        <w:tc>
          <w:tcPr>
            <w:tcW w:w="1134" w:type="dxa"/>
            <w:tcBorders>
              <w:top w:val="nil"/>
              <w:left w:val="nil"/>
              <w:bottom w:val="nil"/>
              <w:right w:val="nil"/>
            </w:tcBorders>
            <w:shd w:val="clear" w:color="auto" w:fill="auto"/>
            <w:noWrap/>
            <w:vAlign w:val="center"/>
            <w:hideMark/>
          </w:tcPr>
          <w:p w14:paraId="3488E398" w14:textId="77777777" w:rsidR="00FE4655" w:rsidRPr="00637BB8" w:rsidRDefault="00FE4655" w:rsidP="000349D5">
            <w:pPr>
              <w:jc w:val="center"/>
              <w:rPr>
                <w:color w:val="000000"/>
              </w:rPr>
            </w:pPr>
            <w:r w:rsidRPr="00637BB8">
              <w:rPr>
                <w:color w:val="000000"/>
              </w:rPr>
              <w:t>1795</w:t>
            </w:r>
          </w:p>
        </w:tc>
        <w:tc>
          <w:tcPr>
            <w:tcW w:w="992" w:type="dxa"/>
            <w:tcBorders>
              <w:top w:val="nil"/>
              <w:left w:val="nil"/>
              <w:bottom w:val="nil"/>
              <w:right w:val="nil"/>
            </w:tcBorders>
            <w:shd w:val="clear" w:color="auto" w:fill="auto"/>
            <w:noWrap/>
            <w:vAlign w:val="center"/>
            <w:hideMark/>
          </w:tcPr>
          <w:p w14:paraId="02902027" w14:textId="77777777" w:rsidR="00FE4655" w:rsidRPr="00637BB8" w:rsidRDefault="00FE4655" w:rsidP="000349D5">
            <w:pPr>
              <w:jc w:val="center"/>
              <w:rPr>
                <w:color w:val="000000"/>
              </w:rPr>
            </w:pPr>
            <w:r w:rsidRPr="00637BB8">
              <w:rPr>
                <w:color w:val="000000"/>
              </w:rPr>
              <w:t>2080</w:t>
            </w:r>
          </w:p>
        </w:tc>
        <w:tc>
          <w:tcPr>
            <w:tcW w:w="992" w:type="dxa"/>
            <w:tcBorders>
              <w:top w:val="nil"/>
              <w:left w:val="nil"/>
              <w:bottom w:val="nil"/>
              <w:right w:val="nil"/>
            </w:tcBorders>
            <w:shd w:val="clear" w:color="auto" w:fill="auto"/>
            <w:noWrap/>
            <w:vAlign w:val="center"/>
            <w:hideMark/>
          </w:tcPr>
          <w:p w14:paraId="6E2E3B27" w14:textId="77777777" w:rsidR="00FE4655" w:rsidRPr="00637BB8" w:rsidRDefault="00FE4655" w:rsidP="000349D5">
            <w:pPr>
              <w:jc w:val="center"/>
              <w:rPr>
                <w:color w:val="000000"/>
              </w:rPr>
            </w:pPr>
            <w:r w:rsidRPr="00637BB8">
              <w:rPr>
                <w:color w:val="000000"/>
              </w:rPr>
              <w:t>2300</w:t>
            </w:r>
          </w:p>
        </w:tc>
        <w:tc>
          <w:tcPr>
            <w:tcW w:w="992" w:type="dxa"/>
            <w:tcBorders>
              <w:top w:val="nil"/>
              <w:left w:val="nil"/>
              <w:bottom w:val="nil"/>
              <w:right w:val="nil"/>
            </w:tcBorders>
            <w:shd w:val="clear" w:color="auto" w:fill="auto"/>
            <w:noWrap/>
            <w:vAlign w:val="center"/>
            <w:hideMark/>
          </w:tcPr>
          <w:p w14:paraId="7EA02FD7" w14:textId="77777777" w:rsidR="00FE4655" w:rsidRPr="00637BB8" w:rsidRDefault="00FE4655" w:rsidP="000349D5">
            <w:pPr>
              <w:jc w:val="center"/>
              <w:rPr>
                <w:color w:val="000000"/>
              </w:rPr>
            </w:pPr>
            <w:r w:rsidRPr="00637BB8">
              <w:rPr>
                <w:color w:val="000000"/>
              </w:rPr>
              <w:t>2490</w:t>
            </w:r>
          </w:p>
        </w:tc>
        <w:tc>
          <w:tcPr>
            <w:tcW w:w="993" w:type="dxa"/>
            <w:tcBorders>
              <w:top w:val="nil"/>
              <w:left w:val="nil"/>
              <w:bottom w:val="nil"/>
              <w:right w:val="nil"/>
            </w:tcBorders>
            <w:shd w:val="clear" w:color="auto" w:fill="auto"/>
            <w:noWrap/>
            <w:vAlign w:val="center"/>
            <w:hideMark/>
          </w:tcPr>
          <w:p w14:paraId="625858CB" w14:textId="77777777" w:rsidR="00FE4655" w:rsidRPr="00637BB8" w:rsidRDefault="00FE4655" w:rsidP="000349D5">
            <w:pPr>
              <w:jc w:val="center"/>
              <w:rPr>
                <w:color w:val="000000"/>
              </w:rPr>
            </w:pPr>
            <w:r w:rsidRPr="00637BB8">
              <w:rPr>
                <w:color w:val="000000"/>
              </w:rPr>
              <w:t>2626</w:t>
            </w:r>
          </w:p>
        </w:tc>
      </w:tr>
      <w:tr w:rsidR="00FE4655" w:rsidRPr="00637BB8" w14:paraId="0CCF08AF" w14:textId="77777777" w:rsidTr="000349D5">
        <w:trPr>
          <w:trHeight w:val="320"/>
          <w:jc w:val="center"/>
        </w:trPr>
        <w:tc>
          <w:tcPr>
            <w:tcW w:w="993" w:type="dxa"/>
            <w:tcBorders>
              <w:top w:val="nil"/>
              <w:left w:val="nil"/>
              <w:bottom w:val="nil"/>
              <w:right w:val="nil"/>
            </w:tcBorders>
            <w:shd w:val="clear" w:color="auto" w:fill="auto"/>
            <w:noWrap/>
            <w:vAlign w:val="center"/>
            <w:hideMark/>
          </w:tcPr>
          <w:p w14:paraId="01375518" w14:textId="77777777" w:rsidR="00FE4655" w:rsidRPr="00637BB8" w:rsidRDefault="00FE4655" w:rsidP="000349D5">
            <w:pPr>
              <w:jc w:val="center"/>
              <w:rPr>
                <w:color w:val="000000"/>
              </w:rPr>
            </w:pPr>
            <w:r w:rsidRPr="00637BB8">
              <w:rPr>
                <w:color w:val="000000"/>
              </w:rPr>
              <w:t>27</w:t>
            </w:r>
          </w:p>
        </w:tc>
        <w:tc>
          <w:tcPr>
            <w:tcW w:w="992" w:type="dxa"/>
            <w:tcBorders>
              <w:top w:val="nil"/>
              <w:left w:val="nil"/>
              <w:bottom w:val="nil"/>
              <w:right w:val="nil"/>
            </w:tcBorders>
            <w:shd w:val="clear" w:color="auto" w:fill="auto"/>
            <w:noWrap/>
            <w:vAlign w:val="center"/>
            <w:hideMark/>
          </w:tcPr>
          <w:p w14:paraId="42C83AAF" w14:textId="77777777" w:rsidR="00FE4655" w:rsidRPr="00637BB8" w:rsidRDefault="00FE4655" w:rsidP="000349D5">
            <w:pPr>
              <w:jc w:val="center"/>
              <w:rPr>
                <w:color w:val="000000"/>
              </w:rPr>
            </w:pPr>
            <w:r w:rsidRPr="00637BB8">
              <w:rPr>
                <w:color w:val="000000"/>
              </w:rPr>
              <w:t>535</w:t>
            </w:r>
          </w:p>
        </w:tc>
        <w:tc>
          <w:tcPr>
            <w:tcW w:w="992" w:type="dxa"/>
            <w:tcBorders>
              <w:top w:val="nil"/>
              <w:left w:val="nil"/>
              <w:bottom w:val="nil"/>
              <w:right w:val="nil"/>
            </w:tcBorders>
            <w:shd w:val="clear" w:color="auto" w:fill="auto"/>
            <w:noWrap/>
            <w:vAlign w:val="center"/>
            <w:hideMark/>
          </w:tcPr>
          <w:p w14:paraId="16801190" w14:textId="77777777" w:rsidR="00FE4655" w:rsidRPr="00637BB8" w:rsidRDefault="00FE4655" w:rsidP="000349D5">
            <w:pPr>
              <w:jc w:val="center"/>
              <w:rPr>
                <w:color w:val="000000"/>
              </w:rPr>
            </w:pPr>
            <w:r w:rsidRPr="00637BB8">
              <w:rPr>
                <w:color w:val="000000"/>
              </w:rPr>
              <w:t>849</w:t>
            </w:r>
          </w:p>
        </w:tc>
        <w:tc>
          <w:tcPr>
            <w:tcW w:w="992" w:type="dxa"/>
            <w:tcBorders>
              <w:top w:val="nil"/>
              <w:left w:val="nil"/>
              <w:bottom w:val="nil"/>
              <w:right w:val="nil"/>
            </w:tcBorders>
            <w:shd w:val="clear" w:color="auto" w:fill="auto"/>
            <w:noWrap/>
            <w:vAlign w:val="center"/>
            <w:hideMark/>
          </w:tcPr>
          <w:p w14:paraId="4A2E72EA" w14:textId="77777777" w:rsidR="00FE4655" w:rsidRPr="00637BB8" w:rsidRDefault="00FE4655" w:rsidP="000349D5">
            <w:pPr>
              <w:jc w:val="center"/>
              <w:rPr>
                <w:color w:val="000000"/>
              </w:rPr>
            </w:pPr>
            <w:r w:rsidRPr="00637BB8">
              <w:rPr>
                <w:color w:val="000000"/>
              </w:rPr>
              <w:t>1183</w:t>
            </w:r>
          </w:p>
        </w:tc>
        <w:tc>
          <w:tcPr>
            <w:tcW w:w="993" w:type="dxa"/>
            <w:tcBorders>
              <w:top w:val="nil"/>
              <w:left w:val="nil"/>
              <w:bottom w:val="nil"/>
              <w:right w:val="nil"/>
            </w:tcBorders>
            <w:shd w:val="clear" w:color="auto" w:fill="auto"/>
            <w:noWrap/>
            <w:vAlign w:val="center"/>
            <w:hideMark/>
          </w:tcPr>
          <w:p w14:paraId="72FB5E49" w14:textId="77777777" w:rsidR="00FE4655" w:rsidRPr="00637BB8" w:rsidRDefault="00FE4655" w:rsidP="000349D5">
            <w:pPr>
              <w:jc w:val="center"/>
              <w:rPr>
                <w:color w:val="000000"/>
              </w:rPr>
            </w:pPr>
            <w:r w:rsidRPr="00637BB8">
              <w:rPr>
                <w:color w:val="000000"/>
              </w:rPr>
              <w:t>1470</w:t>
            </w:r>
          </w:p>
        </w:tc>
        <w:tc>
          <w:tcPr>
            <w:tcW w:w="1134" w:type="dxa"/>
            <w:tcBorders>
              <w:top w:val="nil"/>
              <w:left w:val="nil"/>
              <w:bottom w:val="nil"/>
              <w:right w:val="nil"/>
            </w:tcBorders>
            <w:shd w:val="clear" w:color="auto" w:fill="auto"/>
            <w:noWrap/>
            <w:vAlign w:val="center"/>
            <w:hideMark/>
          </w:tcPr>
          <w:p w14:paraId="305D0A36" w14:textId="77777777" w:rsidR="00FE4655" w:rsidRPr="00637BB8" w:rsidRDefault="00FE4655" w:rsidP="000349D5">
            <w:pPr>
              <w:jc w:val="center"/>
              <w:rPr>
                <w:color w:val="000000"/>
              </w:rPr>
            </w:pPr>
            <w:r w:rsidRPr="00637BB8">
              <w:rPr>
                <w:color w:val="000000"/>
              </w:rPr>
              <w:t>1753</w:t>
            </w:r>
          </w:p>
        </w:tc>
        <w:tc>
          <w:tcPr>
            <w:tcW w:w="992" w:type="dxa"/>
            <w:tcBorders>
              <w:top w:val="nil"/>
              <w:left w:val="nil"/>
              <w:bottom w:val="nil"/>
              <w:right w:val="nil"/>
            </w:tcBorders>
            <w:shd w:val="clear" w:color="auto" w:fill="auto"/>
            <w:noWrap/>
            <w:vAlign w:val="center"/>
            <w:hideMark/>
          </w:tcPr>
          <w:p w14:paraId="7C5D7E79" w14:textId="77777777" w:rsidR="00FE4655" w:rsidRPr="00637BB8" w:rsidRDefault="00FE4655" w:rsidP="000349D5">
            <w:pPr>
              <w:jc w:val="center"/>
              <w:rPr>
                <w:color w:val="000000"/>
              </w:rPr>
            </w:pPr>
            <w:r w:rsidRPr="00637BB8">
              <w:rPr>
                <w:color w:val="000000"/>
              </w:rPr>
              <w:t>2003</w:t>
            </w:r>
          </w:p>
        </w:tc>
        <w:tc>
          <w:tcPr>
            <w:tcW w:w="992" w:type="dxa"/>
            <w:tcBorders>
              <w:top w:val="nil"/>
              <w:left w:val="nil"/>
              <w:bottom w:val="nil"/>
              <w:right w:val="nil"/>
            </w:tcBorders>
            <w:shd w:val="clear" w:color="auto" w:fill="auto"/>
            <w:noWrap/>
            <w:vAlign w:val="center"/>
            <w:hideMark/>
          </w:tcPr>
          <w:p w14:paraId="29C9E564" w14:textId="77777777" w:rsidR="00FE4655" w:rsidRPr="00637BB8" w:rsidRDefault="00FE4655" w:rsidP="000349D5">
            <w:pPr>
              <w:jc w:val="center"/>
              <w:rPr>
                <w:color w:val="000000"/>
              </w:rPr>
            </w:pPr>
            <w:r w:rsidRPr="00637BB8">
              <w:rPr>
                <w:color w:val="000000"/>
              </w:rPr>
              <w:t>2203</w:t>
            </w:r>
          </w:p>
        </w:tc>
        <w:tc>
          <w:tcPr>
            <w:tcW w:w="992" w:type="dxa"/>
            <w:tcBorders>
              <w:top w:val="nil"/>
              <w:left w:val="nil"/>
              <w:bottom w:val="nil"/>
              <w:right w:val="nil"/>
            </w:tcBorders>
            <w:shd w:val="clear" w:color="auto" w:fill="auto"/>
            <w:noWrap/>
            <w:vAlign w:val="center"/>
            <w:hideMark/>
          </w:tcPr>
          <w:p w14:paraId="4171E380" w14:textId="77777777" w:rsidR="00FE4655" w:rsidRPr="00637BB8" w:rsidRDefault="00FE4655" w:rsidP="000349D5">
            <w:pPr>
              <w:jc w:val="center"/>
              <w:rPr>
                <w:color w:val="000000"/>
              </w:rPr>
            </w:pPr>
            <w:r w:rsidRPr="00637BB8">
              <w:rPr>
                <w:color w:val="000000"/>
              </w:rPr>
              <w:t>2381</w:t>
            </w:r>
          </w:p>
        </w:tc>
        <w:tc>
          <w:tcPr>
            <w:tcW w:w="993" w:type="dxa"/>
            <w:tcBorders>
              <w:top w:val="nil"/>
              <w:left w:val="nil"/>
              <w:bottom w:val="nil"/>
              <w:right w:val="nil"/>
            </w:tcBorders>
            <w:shd w:val="clear" w:color="auto" w:fill="auto"/>
            <w:noWrap/>
            <w:vAlign w:val="center"/>
            <w:hideMark/>
          </w:tcPr>
          <w:p w14:paraId="49318BDA" w14:textId="77777777" w:rsidR="00FE4655" w:rsidRPr="00637BB8" w:rsidRDefault="00FE4655" w:rsidP="000349D5">
            <w:pPr>
              <w:jc w:val="center"/>
              <w:rPr>
                <w:color w:val="000000"/>
              </w:rPr>
            </w:pPr>
            <w:r w:rsidRPr="00637BB8">
              <w:rPr>
                <w:color w:val="000000"/>
              </w:rPr>
              <w:t>2512</w:t>
            </w:r>
          </w:p>
        </w:tc>
      </w:tr>
      <w:tr w:rsidR="00FE4655" w:rsidRPr="00637BB8" w14:paraId="1D476EE7" w14:textId="77777777" w:rsidTr="000349D5">
        <w:trPr>
          <w:trHeight w:val="320"/>
          <w:jc w:val="center"/>
        </w:trPr>
        <w:tc>
          <w:tcPr>
            <w:tcW w:w="993" w:type="dxa"/>
            <w:tcBorders>
              <w:top w:val="nil"/>
              <w:left w:val="nil"/>
              <w:right w:val="nil"/>
            </w:tcBorders>
            <w:shd w:val="clear" w:color="auto" w:fill="auto"/>
            <w:noWrap/>
            <w:vAlign w:val="center"/>
            <w:hideMark/>
          </w:tcPr>
          <w:p w14:paraId="7D8CD6EB" w14:textId="77777777" w:rsidR="00FE4655" w:rsidRPr="00637BB8" w:rsidRDefault="00FE4655" w:rsidP="000349D5">
            <w:pPr>
              <w:jc w:val="center"/>
              <w:rPr>
                <w:color w:val="000000"/>
              </w:rPr>
            </w:pPr>
            <w:r w:rsidRPr="00637BB8">
              <w:rPr>
                <w:color w:val="000000"/>
              </w:rPr>
              <w:t>29</w:t>
            </w:r>
          </w:p>
        </w:tc>
        <w:tc>
          <w:tcPr>
            <w:tcW w:w="992" w:type="dxa"/>
            <w:tcBorders>
              <w:top w:val="nil"/>
              <w:left w:val="nil"/>
              <w:right w:val="nil"/>
            </w:tcBorders>
            <w:shd w:val="clear" w:color="auto" w:fill="auto"/>
            <w:noWrap/>
            <w:vAlign w:val="center"/>
            <w:hideMark/>
          </w:tcPr>
          <w:p w14:paraId="1F1E022A" w14:textId="77777777" w:rsidR="00FE4655" w:rsidRPr="00637BB8" w:rsidRDefault="00FE4655" w:rsidP="000349D5">
            <w:pPr>
              <w:jc w:val="center"/>
              <w:rPr>
                <w:color w:val="000000"/>
              </w:rPr>
            </w:pPr>
            <w:r w:rsidRPr="00637BB8">
              <w:rPr>
                <w:color w:val="000000"/>
              </w:rPr>
              <w:t>499</w:t>
            </w:r>
          </w:p>
        </w:tc>
        <w:tc>
          <w:tcPr>
            <w:tcW w:w="992" w:type="dxa"/>
            <w:tcBorders>
              <w:top w:val="nil"/>
              <w:left w:val="nil"/>
              <w:right w:val="nil"/>
            </w:tcBorders>
            <w:shd w:val="clear" w:color="auto" w:fill="auto"/>
            <w:noWrap/>
            <w:vAlign w:val="center"/>
            <w:hideMark/>
          </w:tcPr>
          <w:p w14:paraId="5D45C46C" w14:textId="77777777" w:rsidR="00FE4655" w:rsidRPr="00637BB8" w:rsidRDefault="00FE4655" w:rsidP="000349D5">
            <w:pPr>
              <w:jc w:val="center"/>
              <w:rPr>
                <w:color w:val="000000"/>
              </w:rPr>
            </w:pPr>
            <w:r w:rsidRPr="00637BB8">
              <w:rPr>
                <w:color w:val="000000"/>
              </w:rPr>
              <w:t>831</w:t>
            </w:r>
          </w:p>
        </w:tc>
        <w:tc>
          <w:tcPr>
            <w:tcW w:w="992" w:type="dxa"/>
            <w:tcBorders>
              <w:top w:val="nil"/>
              <w:left w:val="nil"/>
              <w:right w:val="nil"/>
            </w:tcBorders>
            <w:shd w:val="clear" w:color="auto" w:fill="auto"/>
            <w:noWrap/>
            <w:vAlign w:val="center"/>
            <w:hideMark/>
          </w:tcPr>
          <w:p w14:paraId="588D41CB" w14:textId="77777777" w:rsidR="00FE4655" w:rsidRPr="00637BB8" w:rsidRDefault="00FE4655" w:rsidP="000349D5">
            <w:pPr>
              <w:jc w:val="center"/>
              <w:rPr>
                <w:color w:val="000000"/>
              </w:rPr>
            </w:pPr>
            <w:r w:rsidRPr="00637BB8">
              <w:rPr>
                <w:color w:val="000000"/>
              </w:rPr>
              <w:t>1175</w:t>
            </w:r>
          </w:p>
        </w:tc>
        <w:tc>
          <w:tcPr>
            <w:tcW w:w="993" w:type="dxa"/>
            <w:tcBorders>
              <w:top w:val="nil"/>
              <w:left w:val="nil"/>
              <w:right w:val="nil"/>
            </w:tcBorders>
            <w:shd w:val="clear" w:color="auto" w:fill="auto"/>
            <w:noWrap/>
            <w:vAlign w:val="center"/>
            <w:hideMark/>
          </w:tcPr>
          <w:p w14:paraId="3E21EB6D" w14:textId="77777777" w:rsidR="00FE4655" w:rsidRPr="00637BB8" w:rsidRDefault="00FE4655" w:rsidP="000349D5">
            <w:pPr>
              <w:jc w:val="center"/>
              <w:rPr>
                <w:color w:val="000000"/>
              </w:rPr>
            </w:pPr>
            <w:r w:rsidRPr="00637BB8">
              <w:rPr>
                <w:color w:val="000000"/>
              </w:rPr>
              <w:t>1447</w:t>
            </w:r>
          </w:p>
        </w:tc>
        <w:tc>
          <w:tcPr>
            <w:tcW w:w="1134" w:type="dxa"/>
            <w:tcBorders>
              <w:top w:val="nil"/>
              <w:left w:val="nil"/>
              <w:right w:val="nil"/>
            </w:tcBorders>
            <w:shd w:val="clear" w:color="auto" w:fill="auto"/>
            <w:noWrap/>
            <w:vAlign w:val="center"/>
            <w:hideMark/>
          </w:tcPr>
          <w:p w14:paraId="365196E8" w14:textId="77777777" w:rsidR="00FE4655" w:rsidRPr="00637BB8" w:rsidRDefault="00FE4655" w:rsidP="000349D5">
            <w:pPr>
              <w:jc w:val="center"/>
              <w:rPr>
                <w:color w:val="000000"/>
              </w:rPr>
            </w:pPr>
            <w:r w:rsidRPr="00637BB8">
              <w:rPr>
                <w:color w:val="000000"/>
              </w:rPr>
              <w:t>1691</w:t>
            </w:r>
          </w:p>
        </w:tc>
        <w:tc>
          <w:tcPr>
            <w:tcW w:w="992" w:type="dxa"/>
            <w:tcBorders>
              <w:top w:val="nil"/>
              <w:left w:val="nil"/>
              <w:right w:val="nil"/>
            </w:tcBorders>
            <w:shd w:val="clear" w:color="auto" w:fill="auto"/>
            <w:noWrap/>
            <w:vAlign w:val="center"/>
            <w:hideMark/>
          </w:tcPr>
          <w:p w14:paraId="731701BE" w14:textId="77777777" w:rsidR="00FE4655" w:rsidRPr="00637BB8" w:rsidRDefault="00FE4655" w:rsidP="000349D5">
            <w:pPr>
              <w:jc w:val="center"/>
              <w:rPr>
                <w:color w:val="000000"/>
              </w:rPr>
            </w:pPr>
            <w:r w:rsidRPr="00637BB8">
              <w:rPr>
                <w:color w:val="000000"/>
              </w:rPr>
              <w:t>1906</w:t>
            </w:r>
          </w:p>
        </w:tc>
        <w:tc>
          <w:tcPr>
            <w:tcW w:w="992" w:type="dxa"/>
            <w:tcBorders>
              <w:top w:val="nil"/>
              <w:left w:val="nil"/>
              <w:right w:val="nil"/>
            </w:tcBorders>
            <w:shd w:val="clear" w:color="auto" w:fill="auto"/>
            <w:noWrap/>
            <w:vAlign w:val="center"/>
            <w:hideMark/>
          </w:tcPr>
          <w:p w14:paraId="54AAD075" w14:textId="77777777" w:rsidR="00FE4655" w:rsidRPr="00637BB8" w:rsidRDefault="00FE4655" w:rsidP="000349D5">
            <w:pPr>
              <w:jc w:val="center"/>
              <w:rPr>
                <w:color w:val="000000"/>
              </w:rPr>
            </w:pPr>
            <w:r w:rsidRPr="00637BB8">
              <w:rPr>
                <w:color w:val="000000"/>
              </w:rPr>
              <w:t>2088</w:t>
            </w:r>
          </w:p>
        </w:tc>
        <w:tc>
          <w:tcPr>
            <w:tcW w:w="992" w:type="dxa"/>
            <w:tcBorders>
              <w:top w:val="nil"/>
              <w:left w:val="nil"/>
              <w:right w:val="nil"/>
            </w:tcBorders>
            <w:shd w:val="clear" w:color="auto" w:fill="auto"/>
            <w:noWrap/>
            <w:vAlign w:val="center"/>
            <w:hideMark/>
          </w:tcPr>
          <w:p w14:paraId="380BEADA" w14:textId="77777777" w:rsidR="00FE4655" w:rsidRPr="00637BB8" w:rsidRDefault="00FE4655" w:rsidP="000349D5">
            <w:pPr>
              <w:jc w:val="center"/>
              <w:rPr>
                <w:color w:val="000000"/>
              </w:rPr>
            </w:pPr>
            <w:r w:rsidRPr="00637BB8">
              <w:rPr>
                <w:color w:val="000000"/>
              </w:rPr>
              <w:t>2260</w:t>
            </w:r>
          </w:p>
        </w:tc>
        <w:tc>
          <w:tcPr>
            <w:tcW w:w="993" w:type="dxa"/>
            <w:tcBorders>
              <w:top w:val="nil"/>
              <w:left w:val="nil"/>
              <w:right w:val="nil"/>
            </w:tcBorders>
            <w:shd w:val="clear" w:color="auto" w:fill="auto"/>
            <w:noWrap/>
            <w:vAlign w:val="center"/>
            <w:hideMark/>
          </w:tcPr>
          <w:p w14:paraId="3C3D7893" w14:textId="77777777" w:rsidR="00FE4655" w:rsidRPr="00637BB8" w:rsidRDefault="00FE4655" w:rsidP="000349D5">
            <w:pPr>
              <w:jc w:val="center"/>
              <w:rPr>
                <w:color w:val="000000"/>
              </w:rPr>
            </w:pPr>
            <w:r w:rsidRPr="00637BB8">
              <w:rPr>
                <w:color w:val="000000"/>
              </w:rPr>
              <w:t>2391</w:t>
            </w:r>
          </w:p>
        </w:tc>
      </w:tr>
      <w:tr w:rsidR="00FE4655" w:rsidRPr="00637BB8" w14:paraId="50C26FA4" w14:textId="77777777" w:rsidTr="000349D5">
        <w:trPr>
          <w:trHeight w:val="320"/>
          <w:jc w:val="center"/>
        </w:trPr>
        <w:tc>
          <w:tcPr>
            <w:tcW w:w="10065" w:type="dxa"/>
            <w:gridSpan w:val="10"/>
            <w:tcBorders>
              <w:top w:val="single" w:sz="4" w:space="0" w:color="auto"/>
              <w:left w:val="nil"/>
              <w:right w:val="nil"/>
            </w:tcBorders>
            <w:shd w:val="clear" w:color="auto" w:fill="auto"/>
            <w:noWrap/>
            <w:vAlign w:val="center"/>
          </w:tcPr>
          <w:p w14:paraId="5876630B" w14:textId="77777777" w:rsidR="00FE4655" w:rsidRPr="00637BB8" w:rsidRDefault="00FE4655" w:rsidP="000349D5">
            <w:pPr>
              <w:rPr>
                <w:color w:val="000000"/>
              </w:rPr>
            </w:pPr>
            <w:r>
              <w:rPr>
                <w:color w:val="000000"/>
              </w:rPr>
              <w:t xml:space="preserve">Age range: 12.7 years to 36.0 years. </w:t>
            </w:r>
            <w:r w:rsidRPr="00637BB8">
              <w:rPr>
                <w:color w:val="000000"/>
              </w:rPr>
              <w:t>Sparse data for chronological age &gt; 25 years</w:t>
            </w:r>
          </w:p>
        </w:tc>
      </w:tr>
    </w:tbl>
    <w:p w14:paraId="4E41CDD4" w14:textId="77777777" w:rsidR="00FE4655" w:rsidRDefault="00FE4655" w:rsidP="00FE4655"/>
    <w:p w14:paraId="4CA21926" w14:textId="0CBBC5AB" w:rsidR="00FE4655" w:rsidRDefault="00FE4655" w:rsidP="00B227C8"/>
    <w:p w14:paraId="1A9AD936" w14:textId="47A22ED6" w:rsidR="00362D19" w:rsidRDefault="00362D19" w:rsidP="00B227C8"/>
    <w:p w14:paraId="33EB960B" w14:textId="77777777" w:rsidR="00362D19" w:rsidRDefault="00362D19" w:rsidP="00B227C8"/>
    <w:p w14:paraId="7CAE0A7B" w14:textId="03F29658" w:rsidR="00362D19" w:rsidRDefault="00362D19" w:rsidP="00B227C8">
      <w:r w:rsidRPr="00362D19">
        <w:lastRenderedPageBreak/>
        <w:drawing>
          <wp:inline distT="0" distB="0" distL="0" distR="0" wp14:anchorId="0C7E5DDA" wp14:editId="05CE590F">
            <wp:extent cx="5727700" cy="3272790"/>
            <wp:effectExtent l="0" t="0" r="0" b="3810"/>
            <wp:docPr id="1" name="Picture 1"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chart&#10;&#10;Description automatically generated"/>
                    <pic:cNvPicPr/>
                  </pic:nvPicPr>
                  <pic:blipFill>
                    <a:blip r:embed="rId6"/>
                    <a:stretch>
                      <a:fillRect/>
                    </a:stretch>
                  </pic:blipFill>
                  <pic:spPr>
                    <a:xfrm>
                      <a:off x="0" y="0"/>
                      <a:ext cx="5727700" cy="3272790"/>
                    </a:xfrm>
                    <a:prstGeom prst="rect">
                      <a:avLst/>
                    </a:prstGeom>
                  </pic:spPr>
                </pic:pic>
              </a:graphicData>
            </a:graphic>
          </wp:inline>
        </w:drawing>
      </w:r>
    </w:p>
    <w:p w14:paraId="37DD2372" w14:textId="6EBD1928" w:rsidR="00FE4655" w:rsidRDefault="00FE4655" w:rsidP="00B227C8"/>
    <w:p w14:paraId="54165E03" w14:textId="77777777" w:rsidR="00362D19" w:rsidRDefault="00362D19" w:rsidP="00362D19">
      <w:pPr>
        <w:rPr>
          <w:color w:val="000000"/>
        </w:rPr>
      </w:pPr>
      <w:r w:rsidRPr="00715561">
        <w:rPr>
          <w:b/>
          <w:bCs/>
          <w:color w:val="000000"/>
          <w:lang w:eastAsia="en-GB"/>
        </w:rPr>
        <w:t>Figure 1.</w:t>
      </w:r>
      <w:r>
        <w:rPr>
          <w:color w:val="000000"/>
          <w:lang w:eastAsia="en-GB"/>
        </w:rPr>
        <w:t xml:space="preserve"> </w:t>
      </w:r>
      <w:r w:rsidRPr="00637BB8">
        <w:rPr>
          <w:color w:val="000000"/>
        </w:rPr>
        <w:t>Predicted reference centiles for 5-m sprinting time by chronological age (N=416, n=1191)</w:t>
      </w:r>
    </w:p>
    <w:p w14:paraId="677B01D3" w14:textId="271D29E6" w:rsidR="00362D19" w:rsidRDefault="00362D19" w:rsidP="00362D19"/>
    <w:p w14:paraId="24DD32CD" w14:textId="5744743A" w:rsidR="00362D19" w:rsidRDefault="00362D19" w:rsidP="00362D19">
      <w:r w:rsidRPr="00362D19">
        <w:drawing>
          <wp:inline distT="0" distB="0" distL="0" distR="0" wp14:anchorId="5B9561F0" wp14:editId="47E3D3B6">
            <wp:extent cx="5727700" cy="3272790"/>
            <wp:effectExtent l="0" t="0" r="0" b="381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7"/>
                    <a:stretch>
                      <a:fillRect/>
                    </a:stretch>
                  </pic:blipFill>
                  <pic:spPr>
                    <a:xfrm>
                      <a:off x="0" y="0"/>
                      <a:ext cx="5727700" cy="3272790"/>
                    </a:xfrm>
                    <a:prstGeom prst="rect">
                      <a:avLst/>
                    </a:prstGeom>
                  </pic:spPr>
                </pic:pic>
              </a:graphicData>
            </a:graphic>
          </wp:inline>
        </w:drawing>
      </w:r>
    </w:p>
    <w:p w14:paraId="27C03BD7" w14:textId="77777777" w:rsidR="00362D19" w:rsidRDefault="00362D19" w:rsidP="00362D19">
      <w:pPr>
        <w:rPr>
          <w:color w:val="000000"/>
          <w:lang w:eastAsia="en-GB"/>
        </w:rPr>
      </w:pPr>
      <w:r>
        <w:rPr>
          <w:b/>
          <w:bCs/>
          <w:color w:val="000000"/>
        </w:rPr>
        <w:t>Figure</w:t>
      </w:r>
      <w:r w:rsidRPr="00637BB8">
        <w:rPr>
          <w:b/>
          <w:bCs/>
          <w:color w:val="000000"/>
        </w:rPr>
        <w:t xml:space="preserve"> </w:t>
      </w:r>
      <w:r>
        <w:rPr>
          <w:b/>
          <w:bCs/>
          <w:color w:val="000000"/>
        </w:rPr>
        <w:t>2</w:t>
      </w:r>
      <w:r w:rsidRPr="00637BB8">
        <w:rPr>
          <w:color w:val="000000"/>
        </w:rPr>
        <w:t>. Predicted reference centiles for 30-m sprinting time by chronological age (N=436, n=1327)</w:t>
      </w:r>
    </w:p>
    <w:p w14:paraId="782BA923" w14:textId="11104EF8" w:rsidR="00362D19" w:rsidRDefault="00362D19" w:rsidP="00362D19"/>
    <w:p w14:paraId="39B23093" w14:textId="4895B332" w:rsidR="00362D19" w:rsidRDefault="00362D19" w:rsidP="00362D19">
      <w:r w:rsidRPr="00362D19">
        <w:lastRenderedPageBreak/>
        <w:drawing>
          <wp:inline distT="0" distB="0" distL="0" distR="0" wp14:anchorId="1ED67413" wp14:editId="05CAE151">
            <wp:extent cx="5727700" cy="3272790"/>
            <wp:effectExtent l="0" t="0" r="0" b="381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8"/>
                    <a:stretch>
                      <a:fillRect/>
                    </a:stretch>
                  </pic:blipFill>
                  <pic:spPr>
                    <a:xfrm>
                      <a:off x="0" y="0"/>
                      <a:ext cx="5727700" cy="3272790"/>
                    </a:xfrm>
                    <a:prstGeom prst="rect">
                      <a:avLst/>
                    </a:prstGeom>
                  </pic:spPr>
                </pic:pic>
              </a:graphicData>
            </a:graphic>
          </wp:inline>
        </w:drawing>
      </w:r>
    </w:p>
    <w:p w14:paraId="32085F28" w14:textId="3F15B38D" w:rsidR="00362D19" w:rsidRDefault="00362D19" w:rsidP="00362D19"/>
    <w:p w14:paraId="3C80296E" w14:textId="77777777" w:rsidR="00362D19" w:rsidRDefault="00362D19" w:rsidP="00362D19">
      <w:pPr>
        <w:rPr>
          <w:color w:val="000000"/>
        </w:rPr>
      </w:pPr>
      <w:r>
        <w:rPr>
          <w:b/>
          <w:bCs/>
          <w:color w:val="000000"/>
        </w:rPr>
        <w:t>Figure</w:t>
      </w:r>
      <w:r w:rsidRPr="00637BB8">
        <w:rPr>
          <w:b/>
          <w:bCs/>
          <w:color w:val="000000"/>
        </w:rPr>
        <w:t xml:space="preserve"> </w:t>
      </w:r>
      <w:r>
        <w:rPr>
          <w:b/>
          <w:bCs/>
          <w:color w:val="000000"/>
        </w:rPr>
        <w:t>3</w:t>
      </w:r>
      <w:r w:rsidRPr="00637BB8">
        <w:rPr>
          <w:color w:val="000000"/>
        </w:rPr>
        <w:t>. Predicted reference centiles for CMJ height by chronological age (N=471, n=1629)</w:t>
      </w:r>
    </w:p>
    <w:p w14:paraId="3E96111F" w14:textId="0CFF900B" w:rsidR="00362D19" w:rsidRDefault="00362D19" w:rsidP="00362D19"/>
    <w:p w14:paraId="4345B144" w14:textId="16FC2378" w:rsidR="00362D19" w:rsidRDefault="00362D19" w:rsidP="00362D19">
      <w:r w:rsidRPr="00362D19">
        <w:drawing>
          <wp:inline distT="0" distB="0" distL="0" distR="0" wp14:anchorId="7C4AE9EB" wp14:editId="698BE4A8">
            <wp:extent cx="5727700" cy="3272790"/>
            <wp:effectExtent l="0" t="0" r="0" b="3810"/>
            <wp:docPr id="4" name="Picture 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low confidence"/>
                    <pic:cNvPicPr/>
                  </pic:nvPicPr>
                  <pic:blipFill>
                    <a:blip r:embed="rId9"/>
                    <a:stretch>
                      <a:fillRect/>
                    </a:stretch>
                  </pic:blipFill>
                  <pic:spPr>
                    <a:xfrm>
                      <a:off x="0" y="0"/>
                      <a:ext cx="5727700" cy="3272790"/>
                    </a:xfrm>
                    <a:prstGeom prst="rect">
                      <a:avLst/>
                    </a:prstGeom>
                  </pic:spPr>
                </pic:pic>
              </a:graphicData>
            </a:graphic>
          </wp:inline>
        </w:drawing>
      </w:r>
    </w:p>
    <w:p w14:paraId="61E96877" w14:textId="23C9038B" w:rsidR="00362D19" w:rsidRDefault="00362D19" w:rsidP="00362D19"/>
    <w:p w14:paraId="18BCB8BE" w14:textId="77777777" w:rsidR="00362D19" w:rsidRDefault="00362D19" w:rsidP="00362D19">
      <w:pPr>
        <w:rPr>
          <w:color w:val="000000"/>
        </w:rPr>
      </w:pPr>
      <w:r>
        <w:rPr>
          <w:b/>
          <w:bCs/>
          <w:color w:val="000000"/>
        </w:rPr>
        <w:t>Figure</w:t>
      </w:r>
      <w:r w:rsidRPr="00637BB8">
        <w:rPr>
          <w:b/>
          <w:bCs/>
          <w:color w:val="000000"/>
        </w:rPr>
        <w:t xml:space="preserve"> </w:t>
      </w:r>
      <w:r>
        <w:rPr>
          <w:b/>
          <w:bCs/>
          <w:color w:val="000000"/>
        </w:rPr>
        <w:t>4</w:t>
      </w:r>
      <w:r w:rsidRPr="00637BB8">
        <w:rPr>
          <w:color w:val="000000"/>
        </w:rPr>
        <w:t>. Predicted reference centiles for Yo-Yo IR1 distance by chronological age (N=436, n=1308)</w:t>
      </w:r>
    </w:p>
    <w:p w14:paraId="7199B094" w14:textId="4F174033" w:rsidR="00362D19" w:rsidRDefault="00362D19" w:rsidP="00362D19"/>
    <w:p w14:paraId="4A06D645" w14:textId="52B89955" w:rsidR="00362D19" w:rsidRDefault="00362D19" w:rsidP="00362D19"/>
    <w:p w14:paraId="0EDF3071" w14:textId="6BB1CCB4" w:rsidR="00362D19" w:rsidRDefault="00362D19" w:rsidP="00362D19">
      <w:r w:rsidRPr="00362D19">
        <w:lastRenderedPageBreak/>
        <w:drawing>
          <wp:inline distT="0" distB="0" distL="0" distR="0" wp14:anchorId="12A6D3AA" wp14:editId="18EDC8F6">
            <wp:extent cx="5727700" cy="3272790"/>
            <wp:effectExtent l="0" t="0" r="0" b="381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0"/>
                    <a:stretch>
                      <a:fillRect/>
                    </a:stretch>
                  </pic:blipFill>
                  <pic:spPr>
                    <a:xfrm>
                      <a:off x="0" y="0"/>
                      <a:ext cx="5727700" cy="3272790"/>
                    </a:xfrm>
                    <a:prstGeom prst="rect">
                      <a:avLst/>
                    </a:prstGeom>
                  </pic:spPr>
                </pic:pic>
              </a:graphicData>
            </a:graphic>
          </wp:inline>
        </w:drawing>
      </w:r>
    </w:p>
    <w:p w14:paraId="1F071440" w14:textId="5A31B0FD" w:rsidR="00362D19" w:rsidRDefault="00362D19" w:rsidP="00362D19"/>
    <w:p w14:paraId="45A935C6" w14:textId="77777777" w:rsidR="00362D19" w:rsidRDefault="00362D19" w:rsidP="00362D19">
      <w:pPr>
        <w:rPr>
          <w:color w:val="000000"/>
          <w:lang w:eastAsia="en-GB"/>
        </w:rPr>
      </w:pPr>
      <w:r w:rsidRPr="00715561">
        <w:rPr>
          <w:b/>
          <w:bCs/>
          <w:color w:val="000000"/>
          <w:lang w:eastAsia="en-GB"/>
        </w:rPr>
        <w:t xml:space="preserve">Figure </w:t>
      </w:r>
      <w:r>
        <w:rPr>
          <w:b/>
          <w:bCs/>
          <w:color w:val="000000"/>
          <w:lang w:eastAsia="en-GB"/>
        </w:rPr>
        <w:t>5</w:t>
      </w:r>
      <w:r w:rsidRPr="00715561">
        <w:rPr>
          <w:b/>
          <w:bCs/>
          <w:color w:val="000000"/>
          <w:lang w:eastAsia="en-GB"/>
        </w:rPr>
        <w:t>.</w:t>
      </w:r>
      <w:r>
        <w:rPr>
          <w:color w:val="000000"/>
          <w:lang w:eastAsia="en-GB"/>
        </w:rPr>
        <w:t xml:space="preserve"> </w:t>
      </w:r>
      <w:r w:rsidRPr="00715561">
        <w:rPr>
          <w:color w:val="000000"/>
          <w:lang w:eastAsia="en-GB"/>
        </w:rPr>
        <w:t>Worm plots from the 5-m sprinting (A), 30-m sprinting (B), CMJ (C), and Yo-Yo IR1 (D) models</w:t>
      </w:r>
    </w:p>
    <w:p w14:paraId="3F5FAE21" w14:textId="77777777" w:rsidR="00362D19" w:rsidRDefault="00362D19" w:rsidP="00362D19"/>
    <w:sectPr w:rsidR="00362D19" w:rsidSect="00832930">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7C8"/>
    <w:rsid w:val="000273BD"/>
    <w:rsid w:val="00034CEF"/>
    <w:rsid w:val="000B7904"/>
    <w:rsid w:val="000C553E"/>
    <w:rsid w:val="000D425B"/>
    <w:rsid w:val="00147CA2"/>
    <w:rsid w:val="001555E8"/>
    <w:rsid w:val="00155E73"/>
    <w:rsid w:val="001B5D63"/>
    <w:rsid w:val="001B792D"/>
    <w:rsid w:val="001C164D"/>
    <w:rsid w:val="001E14CC"/>
    <w:rsid w:val="00233836"/>
    <w:rsid w:val="0024629A"/>
    <w:rsid w:val="00284D80"/>
    <w:rsid w:val="002938B6"/>
    <w:rsid w:val="00297240"/>
    <w:rsid w:val="002B06BC"/>
    <w:rsid w:val="003127F6"/>
    <w:rsid w:val="00314C0E"/>
    <w:rsid w:val="00323E18"/>
    <w:rsid w:val="00327878"/>
    <w:rsid w:val="00352258"/>
    <w:rsid w:val="00362D19"/>
    <w:rsid w:val="0037378F"/>
    <w:rsid w:val="00396F47"/>
    <w:rsid w:val="003B47E8"/>
    <w:rsid w:val="004025DF"/>
    <w:rsid w:val="00432348"/>
    <w:rsid w:val="00455DD0"/>
    <w:rsid w:val="004D3A1D"/>
    <w:rsid w:val="004F01BD"/>
    <w:rsid w:val="005130E0"/>
    <w:rsid w:val="0054197A"/>
    <w:rsid w:val="0057426C"/>
    <w:rsid w:val="005D392C"/>
    <w:rsid w:val="005D4078"/>
    <w:rsid w:val="006063A6"/>
    <w:rsid w:val="00623949"/>
    <w:rsid w:val="00637CB5"/>
    <w:rsid w:val="00637D0E"/>
    <w:rsid w:val="00642AA5"/>
    <w:rsid w:val="00660AAA"/>
    <w:rsid w:val="00680723"/>
    <w:rsid w:val="00681E8F"/>
    <w:rsid w:val="006C58E6"/>
    <w:rsid w:val="00715561"/>
    <w:rsid w:val="00722D7A"/>
    <w:rsid w:val="00745C8A"/>
    <w:rsid w:val="00785B74"/>
    <w:rsid w:val="007B3C0D"/>
    <w:rsid w:val="007E22AE"/>
    <w:rsid w:val="007E600A"/>
    <w:rsid w:val="008261B3"/>
    <w:rsid w:val="00832930"/>
    <w:rsid w:val="008419E8"/>
    <w:rsid w:val="00853D07"/>
    <w:rsid w:val="008B135F"/>
    <w:rsid w:val="008B274E"/>
    <w:rsid w:val="008E0682"/>
    <w:rsid w:val="00916B75"/>
    <w:rsid w:val="00976207"/>
    <w:rsid w:val="009920AD"/>
    <w:rsid w:val="009A243D"/>
    <w:rsid w:val="009B621B"/>
    <w:rsid w:val="009C44A2"/>
    <w:rsid w:val="009F3668"/>
    <w:rsid w:val="00A11115"/>
    <w:rsid w:val="00A37590"/>
    <w:rsid w:val="00A438D8"/>
    <w:rsid w:val="00A47A6B"/>
    <w:rsid w:val="00A566AC"/>
    <w:rsid w:val="00A709BD"/>
    <w:rsid w:val="00A9730E"/>
    <w:rsid w:val="00AE3DEC"/>
    <w:rsid w:val="00AF0C31"/>
    <w:rsid w:val="00AF3CC9"/>
    <w:rsid w:val="00B0308E"/>
    <w:rsid w:val="00B227C8"/>
    <w:rsid w:val="00B35A49"/>
    <w:rsid w:val="00B424AA"/>
    <w:rsid w:val="00B70854"/>
    <w:rsid w:val="00B73AE4"/>
    <w:rsid w:val="00B73C37"/>
    <w:rsid w:val="00BF61E2"/>
    <w:rsid w:val="00C12670"/>
    <w:rsid w:val="00C20791"/>
    <w:rsid w:val="00C43B61"/>
    <w:rsid w:val="00C54AF8"/>
    <w:rsid w:val="00C72F7C"/>
    <w:rsid w:val="00C96F79"/>
    <w:rsid w:val="00CC5F80"/>
    <w:rsid w:val="00CE5607"/>
    <w:rsid w:val="00CE78E7"/>
    <w:rsid w:val="00CF28B7"/>
    <w:rsid w:val="00D267B1"/>
    <w:rsid w:val="00D3048A"/>
    <w:rsid w:val="00DD406E"/>
    <w:rsid w:val="00DF0389"/>
    <w:rsid w:val="00DF22B0"/>
    <w:rsid w:val="00E01B3D"/>
    <w:rsid w:val="00E246CA"/>
    <w:rsid w:val="00E32CD7"/>
    <w:rsid w:val="00E804AA"/>
    <w:rsid w:val="00F818A7"/>
    <w:rsid w:val="00FA0D4C"/>
    <w:rsid w:val="00FB2001"/>
    <w:rsid w:val="00FB74C0"/>
    <w:rsid w:val="00FC6A54"/>
    <w:rsid w:val="00FD4586"/>
    <w:rsid w:val="00FE4655"/>
    <w:rsid w:val="00FF3D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49A2C"/>
  <w15:chartTrackingRefBased/>
  <w15:docId w15:val="{F60F79F9-FEB3-B441-8872-53FF1F86C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7C8"/>
    <w:rPr>
      <w:rFonts w:ascii="Times New Roman" w:eastAsia="Times New Roman" w:hAnsi="Times New Roman" w:cs="Times New Roman"/>
    </w:rPr>
  </w:style>
  <w:style w:type="paragraph" w:styleId="Heading1">
    <w:name w:val="heading 1"/>
    <w:basedOn w:val="Normal"/>
    <w:next w:val="Normal"/>
    <w:link w:val="Heading1Char"/>
    <w:uiPriority w:val="9"/>
    <w:qFormat/>
    <w:rsid w:val="004025D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B227C8"/>
    <w:pPr>
      <w:tabs>
        <w:tab w:val="left" w:pos="380"/>
      </w:tabs>
      <w:spacing w:after="240"/>
      <w:ind w:left="384" w:hanging="384"/>
    </w:pPr>
  </w:style>
  <w:style w:type="paragraph" w:styleId="NormalWeb">
    <w:name w:val="Normal (Web)"/>
    <w:basedOn w:val="Normal"/>
    <w:uiPriority w:val="99"/>
    <w:unhideWhenUsed/>
    <w:rsid w:val="004025DF"/>
    <w:pPr>
      <w:spacing w:before="100" w:beforeAutospacing="1" w:after="100" w:afterAutospacing="1"/>
    </w:pPr>
    <w:rPr>
      <w:lang w:eastAsia="en-GB"/>
    </w:rPr>
  </w:style>
  <w:style w:type="paragraph" w:customStyle="1" w:styleId="PhDHeading">
    <w:name w:val="PhD Heading"/>
    <w:basedOn w:val="Heading1"/>
    <w:next w:val="Normal"/>
    <w:qFormat/>
    <w:rsid w:val="004025DF"/>
    <w:pPr>
      <w:keepNext w:val="0"/>
      <w:keepLines w:val="0"/>
      <w:widowControl w:val="0"/>
      <w:spacing w:before="0" w:line="480" w:lineRule="auto"/>
      <w:ind w:left="484"/>
      <w:jc w:val="center"/>
    </w:pPr>
    <w:rPr>
      <w:rFonts w:ascii="Times New Roman" w:eastAsia="Times New Roman" w:hAnsi="Times New Roman" w:cs="Times New Roman"/>
      <w:b/>
      <w:bCs/>
      <w:color w:val="auto"/>
      <w:sz w:val="24"/>
      <w:szCs w:val="24"/>
      <w:lang w:val="en-US"/>
    </w:rPr>
  </w:style>
  <w:style w:type="character" w:customStyle="1" w:styleId="Heading1Char">
    <w:name w:val="Heading 1 Char"/>
    <w:basedOn w:val="DefaultParagraphFont"/>
    <w:link w:val="Heading1"/>
    <w:uiPriority w:val="9"/>
    <w:rsid w:val="004025D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96F79"/>
    <w:rPr>
      <w:color w:val="0000FF"/>
      <w:u w:val="single"/>
    </w:rPr>
  </w:style>
  <w:style w:type="character" w:styleId="CommentReference">
    <w:name w:val="annotation reference"/>
    <w:basedOn w:val="DefaultParagraphFont"/>
    <w:uiPriority w:val="99"/>
    <w:semiHidden/>
    <w:unhideWhenUsed/>
    <w:rsid w:val="00A566AC"/>
    <w:rPr>
      <w:sz w:val="16"/>
      <w:szCs w:val="16"/>
    </w:rPr>
  </w:style>
  <w:style w:type="paragraph" w:styleId="CommentText">
    <w:name w:val="annotation text"/>
    <w:basedOn w:val="Normal"/>
    <w:link w:val="CommentTextChar"/>
    <w:uiPriority w:val="99"/>
    <w:semiHidden/>
    <w:unhideWhenUsed/>
    <w:rsid w:val="00A566AC"/>
    <w:rPr>
      <w:sz w:val="20"/>
      <w:szCs w:val="20"/>
    </w:rPr>
  </w:style>
  <w:style w:type="character" w:customStyle="1" w:styleId="CommentTextChar">
    <w:name w:val="Comment Text Char"/>
    <w:basedOn w:val="DefaultParagraphFont"/>
    <w:link w:val="CommentText"/>
    <w:uiPriority w:val="99"/>
    <w:semiHidden/>
    <w:rsid w:val="00A566A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66AC"/>
    <w:rPr>
      <w:b/>
      <w:bCs/>
    </w:rPr>
  </w:style>
  <w:style w:type="character" w:customStyle="1" w:styleId="CommentSubjectChar">
    <w:name w:val="Comment Subject Char"/>
    <w:basedOn w:val="CommentTextChar"/>
    <w:link w:val="CommentSubject"/>
    <w:uiPriority w:val="99"/>
    <w:semiHidden/>
    <w:rsid w:val="00A566AC"/>
    <w:rPr>
      <w:rFonts w:ascii="Times New Roman" w:eastAsia="Times New Roman" w:hAnsi="Times New Roman" w:cs="Times New Roman"/>
      <w:b/>
      <w:bCs/>
      <w:sz w:val="20"/>
      <w:szCs w:val="20"/>
    </w:rPr>
  </w:style>
  <w:style w:type="paragraph" w:styleId="Revision">
    <w:name w:val="Revision"/>
    <w:hidden/>
    <w:uiPriority w:val="99"/>
    <w:semiHidden/>
    <w:rsid w:val="00323E1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37D0E"/>
    <w:rPr>
      <w:sz w:val="18"/>
      <w:szCs w:val="18"/>
    </w:rPr>
  </w:style>
  <w:style w:type="character" w:customStyle="1" w:styleId="BalloonTextChar">
    <w:name w:val="Balloon Text Char"/>
    <w:basedOn w:val="DefaultParagraphFont"/>
    <w:link w:val="BalloonText"/>
    <w:uiPriority w:val="99"/>
    <w:semiHidden/>
    <w:rsid w:val="00637D0E"/>
    <w:rPr>
      <w:rFonts w:ascii="Times New Roman" w:eastAsia="Times New Roman" w:hAnsi="Times New Roman" w:cs="Times New Roman"/>
      <w:sz w:val="18"/>
      <w:szCs w:val="18"/>
    </w:rPr>
  </w:style>
  <w:style w:type="character" w:styleId="PlaceholderText">
    <w:name w:val="Placeholder Text"/>
    <w:basedOn w:val="DefaultParagraphFont"/>
    <w:uiPriority w:val="99"/>
    <w:semiHidden/>
    <w:rsid w:val="008419E8"/>
    <w:rPr>
      <w:color w:val="808080"/>
    </w:rPr>
  </w:style>
  <w:style w:type="character" w:styleId="LineNumber">
    <w:name w:val="line number"/>
    <w:basedOn w:val="DefaultParagraphFont"/>
    <w:uiPriority w:val="99"/>
    <w:semiHidden/>
    <w:unhideWhenUsed/>
    <w:rsid w:val="00FB7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487850">
      <w:bodyDiv w:val="1"/>
      <w:marLeft w:val="0"/>
      <w:marRight w:val="0"/>
      <w:marTop w:val="0"/>
      <w:marBottom w:val="0"/>
      <w:divBdr>
        <w:top w:val="none" w:sz="0" w:space="0" w:color="auto"/>
        <w:left w:val="none" w:sz="0" w:space="0" w:color="auto"/>
        <w:bottom w:val="none" w:sz="0" w:space="0" w:color="auto"/>
        <w:right w:val="none" w:sz="0" w:space="0" w:color="auto"/>
      </w:divBdr>
    </w:div>
    <w:div w:id="1465388350">
      <w:bodyDiv w:val="1"/>
      <w:marLeft w:val="0"/>
      <w:marRight w:val="0"/>
      <w:marTop w:val="0"/>
      <w:marBottom w:val="0"/>
      <w:divBdr>
        <w:top w:val="none" w:sz="0" w:space="0" w:color="auto"/>
        <w:left w:val="none" w:sz="0" w:space="0" w:color="auto"/>
        <w:bottom w:val="none" w:sz="0" w:space="0" w:color="auto"/>
        <w:right w:val="none" w:sz="0" w:space="0" w:color="auto"/>
      </w:divBdr>
    </w:div>
    <w:div w:id="152131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mailto:N.Datson@chi.ac.u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1C766-4B7B-9544-89FF-D0A9F71FA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25999</Words>
  <Characters>148198</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Datson</dc:creator>
  <cp:keywords/>
  <dc:description/>
  <cp:lastModifiedBy>Naomi Datson</cp:lastModifiedBy>
  <cp:revision>3</cp:revision>
  <dcterms:created xsi:type="dcterms:W3CDTF">2022-01-28T10:34:00Z</dcterms:created>
  <dcterms:modified xsi:type="dcterms:W3CDTF">2022-01-28T11:05:00Z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id="kUUJ2AFb"/&gt;&lt;style id="http://www.zotero.org/styles/vancouver" locale="en-GB"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ies>
</file>