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17A2B" w14:textId="77777777" w:rsidR="00CF0ACA" w:rsidRPr="00765AEE" w:rsidRDefault="00CF0ACA" w:rsidP="00CF0ACA">
      <w:pPr>
        <w:pStyle w:val="Heading1"/>
        <w:jc w:val="left"/>
        <w:rPr>
          <w:rStyle w:val="Strong"/>
          <w:b/>
          <w:bCs/>
          <w:color w:val="000000"/>
          <w:lang w:val="en-US"/>
        </w:rPr>
      </w:pPr>
      <w:bookmarkStart w:id="0" w:name="_Hlk485909791"/>
      <w:r>
        <w:rPr>
          <w:b w:val="0"/>
          <w:bCs w:val="0"/>
          <w:color w:val="000000"/>
        </w:rPr>
        <w:t xml:space="preserve">Title: </w:t>
      </w:r>
      <w:r w:rsidRPr="00765AEE">
        <w:rPr>
          <w:b w:val="0"/>
          <w:bCs w:val="0"/>
          <w:color w:val="000000"/>
        </w:rPr>
        <w:t xml:space="preserve">Daily </w:t>
      </w:r>
      <w:r>
        <w:rPr>
          <w:b w:val="0"/>
          <w:bCs w:val="0"/>
          <w:color w:val="000000"/>
        </w:rPr>
        <w:t xml:space="preserve">and not every-other-day intake </w:t>
      </w:r>
      <w:r w:rsidRPr="00765AEE">
        <w:rPr>
          <w:b w:val="0"/>
          <w:bCs w:val="0"/>
          <w:color w:val="000000"/>
        </w:rPr>
        <w:t>of anthocyanin-rich New Zealand blackcurrant extract alter</w:t>
      </w:r>
      <w:r>
        <w:rPr>
          <w:b w:val="0"/>
          <w:bCs w:val="0"/>
          <w:color w:val="000000"/>
        </w:rPr>
        <w:t>s</w:t>
      </w:r>
      <w:r w:rsidRPr="00765AEE">
        <w:rPr>
          <w:b w:val="0"/>
          <w:bCs w:val="0"/>
          <w:color w:val="000000"/>
        </w:rPr>
        <w:t xml:space="preserve"> substrate oxidation during moderate</w:t>
      </w:r>
      <w:r>
        <w:rPr>
          <w:b w:val="0"/>
          <w:bCs w:val="0"/>
          <w:color w:val="000000"/>
        </w:rPr>
        <w:t>-</w:t>
      </w:r>
      <w:r w:rsidRPr="00765AEE">
        <w:rPr>
          <w:b w:val="0"/>
          <w:bCs w:val="0"/>
          <w:color w:val="000000"/>
        </w:rPr>
        <w:t>intensity walking in adult males</w:t>
      </w:r>
    </w:p>
    <w:p w14:paraId="79D891B1" w14:textId="77777777" w:rsidR="00CF0ACA" w:rsidRPr="00FB65D7" w:rsidRDefault="00CF0ACA" w:rsidP="00CF0ACA">
      <w:pPr>
        <w:spacing w:line="480" w:lineRule="auto"/>
        <w:rPr>
          <w:lang w:val="en-US"/>
        </w:rPr>
      </w:pPr>
      <w:r w:rsidRPr="00FB65D7">
        <w:rPr>
          <w:lang w:val="en-US"/>
        </w:rPr>
        <w:tab/>
      </w:r>
      <w:r w:rsidRPr="00FB65D7">
        <w:rPr>
          <w:lang w:val="en-US"/>
        </w:rPr>
        <w:tab/>
      </w:r>
      <w:r w:rsidRPr="00FB65D7">
        <w:rPr>
          <w:lang w:val="en-US"/>
        </w:rPr>
        <w:tab/>
      </w:r>
      <w:r w:rsidRPr="00FB65D7">
        <w:rPr>
          <w:lang w:val="en-US"/>
        </w:rPr>
        <w:tab/>
      </w:r>
      <w:r w:rsidRPr="00FB65D7">
        <w:rPr>
          <w:lang w:val="en-US"/>
        </w:rPr>
        <w:tab/>
      </w:r>
      <w:r w:rsidRPr="00FB65D7">
        <w:rPr>
          <w:lang w:val="en-US"/>
        </w:rPr>
        <w:tab/>
      </w:r>
      <w:r w:rsidRPr="00FB65D7">
        <w:rPr>
          <w:lang w:val="en-US"/>
        </w:rPr>
        <w:tab/>
      </w:r>
      <w:r w:rsidRPr="00FB65D7">
        <w:rPr>
          <w:lang w:val="en-US"/>
        </w:rPr>
        <w:tab/>
      </w:r>
    </w:p>
    <w:p w14:paraId="045A3DD9" w14:textId="77777777" w:rsidR="00CF0ACA" w:rsidRPr="00FB65D7" w:rsidRDefault="00CF0ACA" w:rsidP="00CF0ACA">
      <w:pPr>
        <w:spacing w:line="480" w:lineRule="auto"/>
      </w:pPr>
      <w:r w:rsidRPr="00FB65D7">
        <w:t xml:space="preserve">Running title: Blackcurrant and </w:t>
      </w:r>
      <w:r>
        <w:t>dosing strategy</w:t>
      </w:r>
    </w:p>
    <w:p w14:paraId="15035BC4" w14:textId="77777777" w:rsidR="00CF0ACA" w:rsidRPr="00FB65D7" w:rsidRDefault="00CF0ACA" w:rsidP="00CF0ACA">
      <w:pPr>
        <w:spacing w:line="480" w:lineRule="auto"/>
      </w:pPr>
    </w:p>
    <w:p w14:paraId="3CE42EF1" w14:textId="5B222F59" w:rsidR="00CF0ACA" w:rsidRPr="00FB65D7" w:rsidRDefault="00CF0ACA" w:rsidP="00CF0ACA">
      <w:pPr>
        <w:spacing w:line="480" w:lineRule="auto"/>
      </w:pPr>
      <w:r>
        <w:rPr>
          <w:color w:val="000000"/>
          <w:lang w:val="en-GB"/>
        </w:rPr>
        <w:t>Authors: Mehmet A</w:t>
      </w:r>
      <w:r w:rsidRPr="00FB65D7">
        <w:rPr>
          <w:color w:val="000000"/>
          <w:lang w:val="en-GB"/>
        </w:rPr>
        <w:t xml:space="preserve"> Şahin </w:t>
      </w:r>
      <w:r w:rsidRPr="00FB65D7">
        <w:rPr>
          <w:bCs/>
          <w:vertAlign w:val="superscript"/>
          <w:lang w:val="en-US"/>
        </w:rPr>
        <w:t>1,2</w:t>
      </w:r>
      <w:r w:rsidRPr="00FB65D7">
        <w:rPr>
          <w:bCs/>
          <w:lang w:val="en-US"/>
        </w:rPr>
        <w:t xml:space="preserve">, </w:t>
      </w:r>
      <w:r>
        <w:rPr>
          <w:bCs/>
          <w:lang w:val="en-US"/>
        </w:rPr>
        <w:t>Pelin</w:t>
      </w:r>
      <w:r w:rsidRPr="00FB65D7">
        <w:rPr>
          <w:color w:val="000000"/>
          <w:lang w:val="tr-TR"/>
        </w:rPr>
        <w:t xml:space="preserve"> </w:t>
      </w:r>
      <w:r>
        <w:rPr>
          <w:color w:val="000000"/>
          <w:lang w:val="tr-TR"/>
        </w:rPr>
        <w:t>B</w:t>
      </w:r>
      <w:r w:rsidRPr="00FB65D7">
        <w:rPr>
          <w:color w:val="000000"/>
          <w:lang w:val="tr-TR"/>
        </w:rPr>
        <w:t>ilgiç</w:t>
      </w:r>
      <w:r w:rsidRPr="00FB65D7">
        <w:rPr>
          <w:bCs/>
          <w:lang w:val="en-US"/>
        </w:rPr>
        <w:t xml:space="preserve"> </w:t>
      </w:r>
      <w:r w:rsidRPr="00FB65D7">
        <w:rPr>
          <w:bCs/>
          <w:vertAlign w:val="superscript"/>
          <w:lang w:val="en-US"/>
        </w:rPr>
        <w:t>2</w:t>
      </w:r>
      <w:r w:rsidRPr="00FB65D7">
        <w:rPr>
          <w:bCs/>
          <w:lang w:val="en-US"/>
        </w:rPr>
        <w:t xml:space="preserve">, </w:t>
      </w:r>
      <w:r>
        <w:rPr>
          <w:bCs/>
          <w:lang w:val="en-US"/>
        </w:rPr>
        <w:t>Stefano</w:t>
      </w:r>
      <w:r w:rsidRPr="00FB65D7">
        <w:rPr>
          <w:bCs/>
          <w:lang w:val="en-US"/>
        </w:rPr>
        <w:t xml:space="preserve"> </w:t>
      </w:r>
      <w:proofErr w:type="spellStart"/>
      <w:r>
        <w:rPr>
          <w:bCs/>
          <w:lang w:val="en-US"/>
        </w:rPr>
        <w:t>Montanari</w:t>
      </w:r>
      <w:proofErr w:type="spellEnd"/>
      <w:r w:rsidRPr="00FB65D7">
        <w:rPr>
          <w:bCs/>
          <w:vertAlign w:val="superscript"/>
          <w:lang w:val="en-US"/>
        </w:rPr>
        <w:t xml:space="preserve"> 1</w:t>
      </w:r>
      <w:r w:rsidRPr="00FB65D7">
        <w:rPr>
          <w:bCs/>
          <w:lang w:val="en-US"/>
        </w:rPr>
        <w:t xml:space="preserve">, </w:t>
      </w:r>
      <w:r>
        <w:rPr>
          <w:bCs/>
          <w:lang w:val="en-US"/>
        </w:rPr>
        <w:t>Mark ET Willems</w:t>
      </w:r>
      <w:r w:rsidRPr="00FB65D7">
        <w:rPr>
          <w:bCs/>
          <w:lang w:val="en-US"/>
        </w:rPr>
        <w:t xml:space="preserve"> *</w:t>
      </w:r>
      <w:r>
        <w:rPr>
          <w:bCs/>
          <w:vertAlign w:val="superscript"/>
          <w:lang w:val="en-US"/>
        </w:rPr>
        <w:t>,1</w:t>
      </w:r>
    </w:p>
    <w:bookmarkEnd w:id="0"/>
    <w:p w14:paraId="18E9AAFF" w14:textId="77777777" w:rsidR="00CF0ACA" w:rsidRDefault="00CF0ACA" w:rsidP="00CF0ACA">
      <w:pPr>
        <w:pStyle w:val="NormalWeb"/>
        <w:spacing w:before="0" w:beforeAutospacing="0" w:after="0" w:afterAutospacing="0" w:line="480" w:lineRule="auto"/>
        <w:rPr>
          <w:vertAlign w:val="superscript"/>
          <w:lang w:val="en-GB"/>
        </w:rPr>
      </w:pPr>
    </w:p>
    <w:p w14:paraId="5751AB23" w14:textId="77777777" w:rsidR="00CF0ACA" w:rsidRPr="00FB65D7" w:rsidRDefault="00CF0ACA" w:rsidP="00CF0ACA">
      <w:pPr>
        <w:pStyle w:val="NormalWeb"/>
        <w:spacing w:before="0" w:beforeAutospacing="0" w:after="0" w:afterAutospacing="0" w:line="480" w:lineRule="auto"/>
        <w:rPr>
          <w:b/>
          <w:color w:val="000000"/>
        </w:rPr>
      </w:pPr>
      <w:r w:rsidRPr="00FB65D7">
        <w:rPr>
          <w:vertAlign w:val="superscript"/>
          <w:lang w:val="en-GB"/>
        </w:rPr>
        <w:t>1</w:t>
      </w:r>
      <w:r w:rsidRPr="00FB65D7">
        <w:rPr>
          <w:color w:val="000000"/>
        </w:rPr>
        <w:t xml:space="preserve">University of Chichester, Institute of Sport, College Lane, Chichester, PO19 6PE, United Kingdom, </w:t>
      </w:r>
      <w:r w:rsidRPr="00FB65D7">
        <w:rPr>
          <w:color w:val="000000"/>
          <w:vertAlign w:val="superscript"/>
        </w:rPr>
        <w:t>2</w:t>
      </w:r>
      <w:r w:rsidRPr="00FB65D7">
        <w:rPr>
          <w:color w:val="000000"/>
        </w:rPr>
        <w:t>Hacettepe University, Department of Nutrition and Dietetics, Ankara, Turkey</w:t>
      </w:r>
    </w:p>
    <w:p w14:paraId="731F47E3" w14:textId="77777777" w:rsidR="00CF0ACA" w:rsidRPr="00FB65D7" w:rsidRDefault="00CF0ACA" w:rsidP="00CF0ACA">
      <w:pPr>
        <w:spacing w:line="480" w:lineRule="auto"/>
        <w:jc w:val="both"/>
        <w:rPr>
          <w:lang w:val="en-GB"/>
        </w:rPr>
      </w:pPr>
    </w:p>
    <w:p w14:paraId="1215B811" w14:textId="16EA1B48" w:rsidR="00CF0ACA" w:rsidRPr="00366B5D" w:rsidRDefault="00CF0ACA" w:rsidP="00CF0ACA">
      <w:pPr>
        <w:pStyle w:val="NormalWeb"/>
        <w:spacing w:before="0" w:beforeAutospacing="0" w:after="0" w:afterAutospacing="0" w:line="480" w:lineRule="auto"/>
        <w:rPr>
          <w:color w:val="000000"/>
        </w:rPr>
      </w:pPr>
      <w:r w:rsidRPr="00366B5D">
        <w:rPr>
          <w:color w:val="000000"/>
        </w:rPr>
        <w:t xml:space="preserve">Corresponding author: </w:t>
      </w:r>
      <w:r w:rsidRPr="00366B5D">
        <w:rPr>
          <w:color w:val="000000"/>
        </w:rPr>
        <w:tab/>
        <w:t>Prof</w:t>
      </w:r>
      <w:r>
        <w:rPr>
          <w:color w:val="000000"/>
        </w:rPr>
        <w:t>.</w:t>
      </w:r>
      <w:r w:rsidRPr="00366B5D">
        <w:rPr>
          <w:color w:val="000000"/>
        </w:rPr>
        <w:t xml:space="preserve"> Mark Willems</w:t>
      </w:r>
    </w:p>
    <w:p w14:paraId="66432D87" w14:textId="77777777" w:rsidR="00CF0ACA" w:rsidRDefault="00CF0ACA" w:rsidP="008B2449">
      <w:pPr>
        <w:pStyle w:val="NormalWeb"/>
        <w:spacing w:before="0" w:beforeAutospacing="0" w:after="0" w:afterAutospacing="0" w:line="480" w:lineRule="auto"/>
        <w:ind w:left="2124" w:firstLine="708"/>
        <w:rPr>
          <w:color w:val="000000"/>
        </w:rPr>
      </w:pPr>
      <w:r>
        <w:rPr>
          <w:color w:val="000000"/>
        </w:rPr>
        <w:t>University of Chichester</w:t>
      </w:r>
    </w:p>
    <w:p w14:paraId="3A368D94" w14:textId="77777777" w:rsidR="00CF0ACA" w:rsidRPr="00366B5D" w:rsidRDefault="00CF0ACA" w:rsidP="008B2449">
      <w:pPr>
        <w:pStyle w:val="NormalWeb"/>
        <w:spacing w:before="0" w:beforeAutospacing="0" w:after="0" w:afterAutospacing="0" w:line="480" w:lineRule="auto"/>
        <w:ind w:left="2124" w:firstLine="708"/>
        <w:rPr>
          <w:color w:val="000000"/>
        </w:rPr>
      </w:pPr>
      <w:r w:rsidRPr="00366B5D">
        <w:rPr>
          <w:color w:val="000000"/>
        </w:rPr>
        <w:t>Institute of Sport</w:t>
      </w:r>
    </w:p>
    <w:p w14:paraId="59E23211" w14:textId="77777777" w:rsidR="00CF0ACA" w:rsidRPr="00366B5D" w:rsidRDefault="00CF0ACA" w:rsidP="008B2449">
      <w:pPr>
        <w:pStyle w:val="NormalWeb"/>
        <w:spacing w:before="0" w:beforeAutospacing="0" w:after="0" w:afterAutospacing="0" w:line="480" w:lineRule="auto"/>
        <w:ind w:left="2124" w:firstLine="708"/>
        <w:rPr>
          <w:color w:val="000000"/>
        </w:rPr>
      </w:pPr>
      <w:r w:rsidRPr="00366B5D">
        <w:rPr>
          <w:color w:val="000000"/>
        </w:rPr>
        <w:t>College Lane</w:t>
      </w:r>
    </w:p>
    <w:p w14:paraId="55A7A512" w14:textId="77777777" w:rsidR="00CF0ACA" w:rsidRPr="00366B5D" w:rsidRDefault="00CF0ACA" w:rsidP="008B2449">
      <w:pPr>
        <w:pStyle w:val="NormalWeb"/>
        <w:spacing w:before="0" w:beforeAutospacing="0" w:after="0" w:afterAutospacing="0" w:line="480" w:lineRule="auto"/>
        <w:ind w:left="2124" w:firstLine="708"/>
        <w:rPr>
          <w:color w:val="000000"/>
        </w:rPr>
      </w:pPr>
      <w:r w:rsidRPr="00366B5D">
        <w:rPr>
          <w:color w:val="000000"/>
        </w:rPr>
        <w:t>Chichester, PO19 6PE</w:t>
      </w:r>
    </w:p>
    <w:p w14:paraId="1B7476C9" w14:textId="77777777" w:rsidR="00CF0ACA" w:rsidRPr="00366B5D" w:rsidRDefault="00CF0ACA" w:rsidP="008B2449">
      <w:pPr>
        <w:pStyle w:val="NormalWeb"/>
        <w:spacing w:before="0" w:beforeAutospacing="0" w:after="0" w:afterAutospacing="0" w:line="480" w:lineRule="auto"/>
        <w:ind w:left="2124" w:firstLine="708"/>
        <w:rPr>
          <w:color w:val="000000"/>
        </w:rPr>
      </w:pPr>
      <w:r w:rsidRPr="00366B5D">
        <w:rPr>
          <w:color w:val="000000"/>
        </w:rPr>
        <w:t>United Kingdom</w:t>
      </w:r>
    </w:p>
    <w:p w14:paraId="5DFDCF4A" w14:textId="77777777" w:rsidR="00CF0ACA" w:rsidRPr="00366B5D" w:rsidRDefault="00CF0ACA" w:rsidP="00CF0ACA">
      <w:pPr>
        <w:pStyle w:val="NormalWeb"/>
        <w:spacing w:before="0" w:beforeAutospacing="0" w:after="0" w:afterAutospacing="0" w:line="480" w:lineRule="auto"/>
        <w:ind w:left="2880"/>
        <w:rPr>
          <w:color w:val="000000"/>
        </w:rPr>
      </w:pPr>
    </w:p>
    <w:p w14:paraId="6D0634A7" w14:textId="77777777" w:rsidR="00CF0ACA" w:rsidRPr="00366B5D" w:rsidRDefault="00CF0ACA" w:rsidP="00CF0ACA">
      <w:pPr>
        <w:pStyle w:val="NormalWeb"/>
        <w:spacing w:before="0" w:beforeAutospacing="0" w:after="0" w:afterAutospacing="0" w:line="480" w:lineRule="auto"/>
        <w:ind w:left="2880"/>
        <w:rPr>
          <w:color w:val="000000"/>
        </w:rPr>
      </w:pPr>
      <w:r w:rsidRPr="00366B5D">
        <w:rPr>
          <w:color w:val="000000"/>
        </w:rPr>
        <w:t>Email: m.willems</w:t>
      </w:r>
      <w:r>
        <w:rPr>
          <w:color w:val="000000"/>
        </w:rPr>
        <w:t>@</w:t>
      </w:r>
      <w:r w:rsidRPr="00366B5D">
        <w:rPr>
          <w:color w:val="000000"/>
        </w:rPr>
        <w:t xml:space="preserve">chi.ac.uk </w:t>
      </w:r>
    </w:p>
    <w:p w14:paraId="221EE4A7" w14:textId="77777777" w:rsidR="00CF0ACA" w:rsidRPr="00366B5D" w:rsidRDefault="00CF0ACA" w:rsidP="00CF0ACA">
      <w:pPr>
        <w:pStyle w:val="NormalWeb"/>
        <w:spacing w:before="0" w:beforeAutospacing="0" w:after="0" w:afterAutospacing="0" w:line="480" w:lineRule="auto"/>
        <w:ind w:left="2160" w:firstLine="720"/>
        <w:rPr>
          <w:color w:val="000000"/>
        </w:rPr>
      </w:pPr>
      <w:r>
        <w:rPr>
          <w:color w:val="000000"/>
        </w:rPr>
        <w:t xml:space="preserve">ORCID: </w:t>
      </w:r>
      <w:r w:rsidRPr="008C2BF1">
        <w:rPr>
          <w:color w:val="000000"/>
        </w:rPr>
        <w:t>0000-0003-4385-8739</w:t>
      </w:r>
    </w:p>
    <w:p w14:paraId="1636A96C" w14:textId="77777777" w:rsidR="000C3BF2" w:rsidRDefault="000C3BF2" w:rsidP="00F94E41">
      <w:pPr>
        <w:spacing w:line="480" w:lineRule="auto"/>
        <w:rPr>
          <w:bCs/>
          <w:lang w:val="en-GB"/>
        </w:rPr>
      </w:pPr>
    </w:p>
    <w:p w14:paraId="4A0E440A" w14:textId="77777777" w:rsidR="00CF0ACA" w:rsidRDefault="00CF0ACA" w:rsidP="00F94E41">
      <w:pPr>
        <w:spacing w:line="480" w:lineRule="auto"/>
        <w:rPr>
          <w:bCs/>
          <w:lang w:val="en-GB"/>
        </w:rPr>
      </w:pPr>
    </w:p>
    <w:p w14:paraId="20550921" w14:textId="77777777" w:rsidR="00CF0ACA" w:rsidRDefault="00CF0ACA" w:rsidP="00F94E41">
      <w:pPr>
        <w:spacing w:line="480" w:lineRule="auto"/>
        <w:rPr>
          <w:bCs/>
          <w:lang w:val="en-GB"/>
        </w:rPr>
      </w:pPr>
    </w:p>
    <w:p w14:paraId="794BF420" w14:textId="77777777" w:rsidR="00CF0ACA" w:rsidRDefault="00CF0ACA" w:rsidP="00F94E41">
      <w:pPr>
        <w:spacing w:line="480" w:lineRule="auto"/>
        <w:rPr>
          <w:bCs/>
          <w:lang w:val="en-GB"/>
        </w:rPr>
      </w:pPr>
    </w:p>
    <w:p w14:paraId="71E17837" w14:textId="77777777" w:rsidR="00CF0ACA" w:rsidRDefault="00CF0ACA" w:rsidP="00F94E41">
      <w:pPr>
        <w:spacing w:line="480" w:lineRule="auto"/>
        <w:rPr>
          <w:bCs/>
          <w:lang w:val="en-GB"/>
        </w:rPr>
      </w:pPr>
    </w:p>
    <w:p w14:paraId="71CDDB46" w14:textId="77777777" w:rsidR="00CF0ACA" w:rsidRDefault="00CF0ACA" w:rsidP="00F94E41">
      <w:pPr>
        <w:spacing w:line="480" w:lineRule="auto"/>
        <w:rPr>
          <w:bCs/>
          <w:lang w:val="en-GB"/>
        </w:rPr>
      </w:pPr>
    </w:p>
    <w:p w14:paraId="01621208" w14:textId="77777777" w:rsidR="0051175F" w:rsidRPr="00FB65D7" w:rsidRDefault="0011590D" w:rsidP="00F94E41">
      <w:pPr>
        <w:spacing w:line="480" w:lineRule="auto"/>
        <w:rPr>
          <w:bCs/>
          <w:lang w:val="en-GB"/>
        </w:rPr>
      </w:pPr>
      <w:r>
        <w:rPr>
          <w:bCs/>
          <w:lang w:val="en-GB"/>
        </w:rPr>
        <w:lastRenderedPageBreak/>
        <w:t>Abstract</w:t>
      </w:r>
    </w:p>
    <w:p w14:paraId="2A5A6B4A" w14:textId="653269EA" w:rsidR="00873767" w:rsidRPr="00F94E41" w:rsidRDefault="00B13288" w:rsidP="00F94E41">
      <w:pPr>
        <w:spacing w:line="480" w:lineRule="auto"/>
      </w:pPr>
      <w:r w:rsidRPr="00FB65D7">
        <w:t xml:space="preserve">Daily </w:t>
      </w:r>
      <w:r w:rsidRPr="00FB65D7">
        <w:rPr>
          <w:rFonts w:eastAsia="Calibri"/>
          <w:lang w:val="en-GB"/>
        </w:rPr>
        <w:t xml:space="preserve">intake of anthocyanin-rich New Zealand blackcurrant (NZBC) extract can enhance exercise-induced fat oxidation. </w:t>
      </w:r>
      <w:r w:rsidR="00CF0ACA">
        <w:rPr>
          <w:rFonts w:eastAsia="Calibri"/>
          <w:lang w:val="en-GB"/>
        </w:rPr>
        <w:t xml:space="preserve">It is not known whether habitual </w:t>
      </w:r>
      <w:r w:rsidR="00981BB0">
        <w:rPr>
          <w:rFonts w:eastAsia="Calibri"/>
          <w:lang w:val="en-GB"/>
        </w:rPr>
        <w:t xml:space="preserve">dietary </w:t>
      </w:r>
      <w:r w:rsidR="00CF0ACA">
        <w:rPr>
          <w:rFonts w:eastAsia="Calibri"/>
          <w:lang w:val="en-GB"/>
        </w:rPr>
        <w:t xml:space="preserve">anthocyanin intake and body composition affects blackcurrant-induced fat oxidation or if </w:t>
      </w:r>
      <w:r w:rsidRPr="00FB65D7">
        <w:rPr>
          <w:rFonts w:eastAsia="Calibri"/>
          <w:lang w:val="en-GB"/>
        </w:rPr>
        <w:t>daily intake is required. We examined effects of daily and every-other-day intake of NZBC extract on metabolic and physiological responses during</w:t>
      </w:r>
      <w:r w:rsidRPr="00FB65D7">
        <w:t xml:space="preserve"> </w:t>
      </w:r>
      <w:r w:rsidR="00587764">
        <w:t>moderate-</w:t>
      </w:r>
      <w:r w:rsidRPr="00FB65D7">
        <w:t xml:space="preserve">intensity </w:t>
      </w:r>
      <w:r w:rsidRPr="00FB65D7">
        <w:rPr>
          <w:rFonts w:eastAsia="Calibri"/>
          <w:lang w:val="en-GB"/>
        </w:rPr>
        <w:t>walking.</w:t>
      </w:r>
      <w:r w:rsidR="00F94E41">
        <w:rPr>
          <w:rFonts w:eastAsia="Calibri"/>
          <w:lang w:val="en-GB"/>
        </w:rPr>
        <w:t xml:space="preserve"> </w:t>
      </w:r>
      <w:r w:rsidRPr="00FB65D7">
        <w:rPr>
          <w:rFonts w:eastAsia="Calibri"/>
          <w:lang w:val="en-GB"/>
        </w:rPr>
        <w:t>Sixteen physically active males (age: 24±6 yr, body mass: 78±16 kg, BMI: 24.7±4.2 kg·m</w:t>
      </w:r>
      <w:r w:rsidRPr="00FB65D7">
        <w:rPr>
          <w:rFonts w:eastAsia="Calibri"/>
          <w:vertAlign w:val="superscript"/>
          <w:lang w:val="en-GB"/>
        </w:rPr>
        <w:t>-2</w:t>
      </w:r>
      <w:r w:rsidRPr="00FB65D7">
        <w:rPr>
          <w:rFonts w:eastAsia="Calibri"/>
          <w:lang w:val="en-GB"/>
        </w:rPr>
        <w:t xml:space="preserve">, body fat: </w:t>
      </w:r>
      <w:r w:rsidRPr="00FB65D7">
        <w:t>15.2±5.0%</w:t>
      </w:r>
      <w:r w:rsidRPr="00FB65D7">
        <w:rPr>
          <w:rFonts w:eastAsia="Calibri"/>
          <w:lang w:val="en-GB"/>
        </w:rPr>
        <w:t xml:space="preserve">) volunteered. A randomised, cross-over design with a control condition was used and habitual </w:t>
      </w:r>
      <w:r w:rsidR="008B2449">
        <w:rPr>
          <w:rFonts w:eastAsia="Calibri"/>
          <w:lang w:val="en-GB"/>
        </w:rPr>
        <w:t xml:space="preserve">dietary </w:t>
      </w:r>
      <w:r w:rsidRPr="00FB65D7">
        <w:rPr>
          <w:rFonts w:eastAsia="Calibri"/>
          <w:lang w:val="en-GB"/>
        </w:rPr>
        <w:t xml:space="preserve">anthocyanin intake quantified. </w:t>
      </w:r>
      <w:r w:rsidR="001342D6">
        <w:rPr>
          <w:rFonts w:eastAsia="Calibri"/>
          <w:lang w:val="en-GB"/>
        </w:rPr>
        <w:t>For intake conditions, p</w:t>
      </w:r>
      <w:r w:rsidRPr="00FB65D7">
        <w:rPr>
          <w:rFonts w:eastAsia="Calibri"/>
          <w:lang w:val="en-GB"/>
        </w:rPr>
        <w:t xml:space="preserve">articipants consumed 2 capsules of NZBC extract (210 mg of anthocyanins) daily or every-other-day for 14 days </w:t>
      </w:r>
      <w:r w:rsidRPr="00FB65D7">
        <w:t xml:space="preserve">(14-D and 14-EOD) </w:t>
      </w:r>
      <w:r w:rsidRPr="00FB65D7">
        <w:rPr>
          <w:rFonts w:eastAsia="Calibri"/>
          <w:lang w:val="en-GB"/>
        </w:rPr>
        <w:t xml:space="preserve">with 14-days washout. Final two capsules </w:t>
      </w:r>
      <w:r w:rsidRPr="00FB65D7">
        <w:t xml:space="preserve">were taken </w:t>
      </w:r>
      <w:r w:rsidRPr="00FB65D7">
        <w:rPr>
          <w:rFonts w:eastAsia="Calibri"/>
          <w:lang w:val="en-GB"/>
        </w:rPr>
        <w:t xml:space="preserve">2-hr before </w:t>
      </w:r>
      <w:r w:rsidR="001342D6">
        <w:t>the</w:t>
      </w:r>
      <w:r w:rsidRPr="00FB65D7">
        <w:t xml:space="preserve"> </w:t>
      </w:r>
      <w:r w:rsidR="00A90F0E">
        <w:rPr>
          <w:rFonts w:eastAsia="Calibri"/>
          <w:lang w:val="en-GB"/>
        </w:rPr>
        <w:t xml:space="preserve">walk </w:t>
      </w:r>
      <w:r w:rsidRPr="00FB65D7">
        <w:rPr>
          <w:rFonts w:eastAsia="Calibri"/>
          <w:lang w:val="en-GB"/>
        </w:rPr>
        <w:t>(speed: 5.</w:t>
      </w:r>
      <w:r w:rsidR="00A90F0E">
        <w:rPr>
          <w:rFonts w:eastAsia="Calibri"/>
          <w:lang w:val="en-GB"/>
        </w:rPr>
        <w:t>7</w:t>
      </w:r>
      <w:r w:rsidRPr="00FB65D7">
        <w:rPr>
          <w:rFonts w:eastAsia="Calibri"/>
          <w:lang w:val="en-GB"/>
        </w:rPr>
        <w:t>±0.</w:t>
      </w:r>
      <w:r w:rsidR="00A90F0E">
        <w:rPr>
          <w:rFonts w:eastAsia="Calibri"/>
          <w:lang w:val="en-GB"/>
        </w:rPr>
        <w:t>7</w:t>
      </w:r>
      <w:r w:rsidRPr="00FB65D7">
        <w:rPr>
          <w:rFonts w:eastAsia="Calibri"/>
          <w:lang w:val="en-GB"/>
        </w:rPr>
        <w:t xml:space="preserve"> km·hr</w:t>
      </w:r>
      <w:r w:rsidRPr="00FB65D7">
        <w:rPr>
          <w:rFonts w:eastAsia="Calibri"/>
          <w:vertAlign w:val="superscript"/>
          <w:lang w:val="en-GB"/>
        </w:rPr>
        <w:t>-1</w:t>
      </w:r>
      <w:r w:rsidRPr="00FB65D7">
        <w:rPr>
          <w:rFonts w:eastAsia="Calibri"/>
          <w:lang w:val="en-GB"/>
        </w:rPr>
        <w:t xml:space="preserve">). There was a trend for lower </w:t>
      </w:r>
      <w:r w:rsidR="00BF5F2D">
        <w:rPr>
          <w:rFonts w:eastAsia="Calibri"/>
          <w:lang w:val="en-GB"/>
        </w:rPr>
        <w:t>respiratory exchange ratio</w:t>
      </w:r>
      <w:r w:rsidRPr="00FB65D7">
        <w:rPr>
          <w:rFonts w:eastAsia="Calibri"/>
          <w:lang w:val="en-GB"/>
        </w:rPr>
        <w:t xml:space="preserve"> and carbohydrate oxidation with changes only for 14-D. Fat oxidation was increased </w:t>
      </w:r>
      <w:r w:rsidRPr="00FB65D7">
        <w:t xml:space="preserve">only </w:t>
      </w:r>
      <w:r w:rsidRPr="00FB65D7">
        <w:rPr>
          <w:rFonts w:eastAsia="Calibri"/>
          <w:lang w:val="en-GB"/>
        </w:rPr>
        <w:t>for 14-D</w:t>
      </w:r>
      <w:r w:rsidR="006501C3">
        <w:rPr>
          <w:rFonts w:eastAsia="Calibri"/>
          <w:lang w:val="en-GB"/>
        </w:rPr>
        <w:t xml:space="preserve"> (P&lt;0.05) with </w:t>
      </w:r>
      <w:r w:rsidR="006501C3">
        <w:t xml:space="preserve">50% of the participants </w:t>
      </w:r>
      <w:r w:rsidR="006501C3" w:rsidRPr="00FB65D7">
        <w:t xml:space="preserve">more than </w:t>
      </w:r>
      <w:r w:rsidR="006501C3">
        <w:t xml:space="preserve">a </w:t>
      </w:r>
      <w:r w:rsidR="006501C3" w:rsidRPr="00FB65D7">
        <w:t xml:space="preserve">10% change. </w:t>
      </w:r>
      <w:r w:rsidRPr="00FB65D7">
        <w:rPr>
          <w:rFonts w:eastAsia="Calibri"/>
          <w:lang w:val="en-GB"/>
        </w:rPr>
        <w:t>In 14-D</w:t>
      </w:r>
      <w:r w:rsidR="001342D6">
        <w:rPr>
          <w:rFonts w:eastAsia="Calibri"/>
          <w:lang w:val="en-GB"/>
        </w:rPr>
        <w:t xml:space="preserve">, </w:t>
      </w:r>
      <w:r w:rsidRPr="00FB65D7">
        <w:rPr>
          <w:rFonts w:eastAsia="Calibri"/>
          <w:lang w:val="en-GB"/>
        </w:rPr>
        <w:t>t</w:t>
      </w:r>
      <w:r w:rsidRPr="00FB65D7">
        <w:t>here was a positive correlation for BMI and body fat % with the absolute</w:t>
      </w:r>
      <w:r w:rsidRPr="00FB65D7">
        <w:rPr>
          <w:color w:val="000000"/>
        </w:rPr>
        <w:t xml:space="preserve"> change </w:t>
      </w:r>
      <w:r w:rsidRPr="00FB65D7">
        <w:t xml:space="preserve">in fat oxidation but not with </w:t>
      </w:r>
      <w:r w:rsidR="00981BB0">
        <w:t xml:space="preserve">dietary </w:t>
      </w:r>
      <w:r w:rsidRPr="00FB65D7">
        <w:t>anthocyanin intake.</w:t>
      </w:r>
      <w:r w:rsidR="00F94E41">
        <w:t xml:space="preserve"> </w:t>
      </w:r>
      <w:r w:rsidRPr="00FB65D7">
        <w:rPr>
          <w:rFonts w:eastAsia="Calibri"/>
          <w:lang w:val="en-GB"/>
        </w:rPr>
        <w:t>Daily intake of N</w:t>
      </w:r>
      <w:r w:rsidR="001342D6">
        <w:rPr>
          <w:rFonts w:eastAsia="Calibri"/>
          <w:lang w:val="en-GB"/>
        </w:rPr>
        <w:t>ZBC</w:t>
      </w:r>
      <w:r w:rsidRPr="00FB65D7">
        <w:rPr>
          <w:rFonts w:eastAsia="Calibri"/>
          <w:lang w:val="en-GB"/>
        </w:rPr>
        <w:t xml:space="preserve"> extract is required to enhance </w:t>
      </w:r>
      <w:r w:rsidR="001342D6">
        <w:rPr>
          <w:rFonts w:eastAsia="Calibri"/>
          <w:lang w:val="en-GB"/>
        </w:rPr>
        <w:t xml:space="preserve">exercise-induced </w:t>
      </w:r>
      <w:r w:rsidRPr="00FB65D7">
        <w:rPr>
          <w:rFonts w:eastAsia="Calibri"/>
          <w:lang w:val="en-GB"/>
        </w:rPr>
        <w:t xml:space="preserve">fat oxidation. Enhanced exercise-induced fat oxidation by daily intake of NZBC extract is related to body composition but not to </w:t>
      </w:r>
      <w:r w:rsidR="008316AF">
        <w:rPr>
          <w:rFonts w:eastAsia="Calibri"/>
          <w:lang w:val="en-GB"/>
        </w:rPr>
        <w:t xml:space="preserve">habitual </w:t>
      </w:r>
      <w:r w:rsidR="00981BB0">
        <w:rPr>
          <w:rFonts w:eastAsia="Calibri"/>
          <w:lang w:val="en-GB"/>
        </w:rPr>
        <w:t xml:space="preserve">dietary </w:t>
      </w:r>
      <w:r w:rsidRPr="00FB65D7">
        <w:rPr>
          <w:rFonts w:eastAsia="Calibri"/>
          <w:lang w:val="en-GB"/>
        </w:rPr>
        <w:t xml:space="preserve">anthocyanin intake in physically active males. </w:t>
      </w:r>
      <w:r w:rsidR="00615D7D">
        <w:rPr>
          <w:rFonts w:eastAsia="Calibri"/>
          <w:lang w:val="en-GB"/>
        </w:rPr>
        <w:t xml:space="preserve">Daily anthocyanin </w:t>
      </w:r>
      <w:r w:rsidR="00981BB0">
        <w:rPr>
          <w:rFonts w:eastAsia="Calibri"/>
          <w:lang w:val="en-GB"/>
        </w:rPr>
        <w:t xml:space="preserve">intake </w:t>
      </w:r>
      <w:r w:rsidR="00615D7D">
        <w:rPr>
          <w:rFonts w:eastAsia="Calibri"/>
          <w:lang w:val="en-GB"/>
        </w:rPr>
        <w:t xml:space="preserve">seems to allow the </w:t>
      </w:r>
      <w:r w:rsidRPr="00FB65D7">
        <w:rPr>
          <w:rFonts w:eastAsia="Calibri"/>
          <w:lang w:val="en-GB"/>
        </w:rPr>
        <w:t>gradual build-up and maintenance of anthocyanin</w:t>
      </w:r>
      <w:r w:rsidRPr="00FB65D7">
        <w:t>-derived</w:t>
      </w:r>
      <w:r w:rsidRPr="00FB65D7">
        <w:rPr>
          <w:rFonts w:eastAsia="Calibri"/>
          <w:lang w:val="en-GB"/>
        </w:rPr>
        <w:t xml:space="preserve"> metabolites required to alter mechanisms for exercise-induced s</w:t>
      </w:r>
      <w:r w:rsidRPr="00FB65D7">
        <w:t>ubstrate oxidation</w:t>
      </w:r>
      <w:r w:rsidRPr="00FB65D7">
        <w:rPr>
          <w:rFonts w:eastAsia="Calibri"/>
          <w:lang w:val="en-GB"/>
        </w:rPr>
        <w:t xml:space="preserve">. </w:t>
      </w:r>
      <w:r w:rsidR="00873767" w:rsidRPr="00FB65D7">
        <w:rPr>
          <w:lang w:val="en-GB"/>
        </w:rPr>
        <w:t xml:space="preserve"> </w:t>
      </w:r>
    </w:p>
    <w:p w14:paraId="69D2BA11" w14:textId="77777777" w:rsidR="00342ED8" w:rsidRPr="00FB65D7" w:rsidRDefault="00342ED8" w:rsidP="00F94E41">
      <w:pPr>
        <w:spacing w:line="480" w:lineRule="auto"/>
        <w:rPr>
          <w:lang w:val="en-GB"/>
        </w:rPr>
      </w:pPr>
    </w:p>
    <w:p w14:paraId="54390EC1" w14:textId="77777777" w:rsidR="00873767" w:rsidRPr="00FB65D7" w:rsidRDefault="00873767" w:rsidP="00F94E41">
      <w:pPr>
        <w:spacing w:line="480" w:lineRule="auto"/>
        <w:rPr>
          <w:lang w:val="en-GB"/>
        </w:rPr>
      </w:pPr>
      <w:r w:rsidRPr="006501C3">
        <w:rPr>
          <w:b/>
          <w:lang w:val="en-GB"/>
        </w:rPr>
        <w:t>Key words</w:t>
      </w:r>
      <w:r w:rsidRPr="00FB65D7">
        <w:rPr>
          <w:lang w:val="en-GB"/>
        </w:rPr>
        <w:t xml:space="preserve">: </w:t>
      </w:r>
      <w:r w:rsidR="00B13288" w:rsidRPr="00FB65D7">
        <w:rPr>
          <w:lang w:val="en-GB"/>
        </w:rPr>
        <w:t>blackcurrant</w:t>
      </w:r>
      <w:r w:rsidR="006501C3">
        <w:rPr>
          <w:lang w:val="en-GB"/>
        </w:rPr>
        <w:t>;</w:t>
      </w:r>
      <w:r w:rsidR="00B13288" w:rsidRPr="00FB65D7">
        <w:rPr>
          <w:lang w:val="en-GB"/>
        </w:rPr>
        <w:t xml:space="preserve"> </w:t>
      </w:r>
      <w:r w:rsidR="006501C3">
        <w:rPr>
          <w:lang w:val="en-GB"/>
        </w:rPr>
        <w:t xml:space="preserve">dosing strategy; </w:t>
      </w:r>
      <w:r w:rsidR="00B13288" w:rsidRPr="00FB65D7">
        <w:rPr>
          <w:lang w:val="en-GB"/>
        </w:rPr>
        <w:t>substrate oxidation</w:t>
      </w:r>
      <w:r w:rsidR="006501C3">
        <w:rPr>
          <w:lang w:val="en-GB"/>
        </w:rPr>
        <w:t xml:space="preserve">; </w:t>
      </w:r>
      <w:r w:rsidR="00B13288" w:rsidRPr="00FB65D7">
        <w:rPr>
          <w:lang w:val="en-GB"/>
        </w:rPr>
        <w:t>exercise</w:t>
      </w:r>
      <w:r w:rsidR="006501C3">
        <w:rPr>
          <w:lang w:val="en-GB"/>
        </w:rPr>
        <w:t xml:space="preserve">; </w:t>
      </w:r>
      <w:r w:rsidR="00B13288" w:rsidRPr="00FB65D7">
        <w:rPr>
          <w:lang w:val="en-GB"/>
        </w:rPr>
        <w:t>metabolic equivalent</w:t>
      </w:r>
    </w:p>
    <w:p w14:paraId="2BF7EBEA" w14:textId="77777777" w:rsidR="00FB65D7" w:rsidRDefault="00FB65D7" w:rsidP="00F94E41">
      <w:pPr>
        <w:spacing w:before="100" w:beforeAutospacing="1" w:line="480" w:lineRule="auto"/>
        <w:rPr>
          <w:b/>
          <w:lang w:val="en-US"/>
        </w:rPr>
      </w:pPr>
    </w:p>
    <w:p w14:paraId="612235C4" w14:textId="77777777" w:rsidR="009F5F96" w:rsidRPr="00FB65D7" w:rsidRDefault="009F5F96" w:rsidP="00F94E41">
      <w:pPr>
        <w:spacing w:before="100" w:beforeAutospacing="1" w:line="480" w:lineRule="auto"/>
        <w:rPr>
          <w:b/>
          <w:lang w:val="en-US"/>
        </w:rPr>
      </w:pPr>
      <w:r w:rsidRPr="00FB65D7">
        <w:rPr>
          <w:b/>
          <w:lang w:val="en-US"/>
        </w:rPr>
        <w:lastRenderedPageBreak/>
        <w:t>Introduction</w:t>
      </w:r>
    </w:p>
    <w:p w14:paraId="78757E29" w14:textId="77777777" w:rsidR="00B13288" w:rsidRPr="00FB65D7" w:rsidRDefault="00B13288" w:rsidP="00F94E41">
      <w:pPr>
        <w:spacing w:line="480" w:lineRule="auto"/>
        <w:ind w:firstLine="708"/>
        <w:rPr>
          <w:lang w:val="en-US"/>
        </w:rPr>
      </w:pPr>
      <w:r w:rsidRPr="00FB65D7">
        <w:t xml:space="preserve">The dark purple blackcurrant berries are rich in color-giving anthocyanins </w:t>
      </w:r>
      <w:r w:rsidR="0011590D">
        <w:t>(</w:t>
      </w:r>
      <w:r w:rsidR="0011590D" w:rsidRPr="00FB65D7">
        <w:t xml:space="preserve">Neveu </w:t>
      </w:r>
      <w:r w:rsidR="006501C3">
        <w:t>et al.</w:t>
      </w:r>
      <w:r w:rsidR="0011590D">
        <w:t xml:space="preserve"> 2010)</w:t>
      </w:r>
      <w:r w:rsidRPr="00FB65D7">
        <w:t xml:space="preserve">. </w:t>
      </w:r>
      <w:r w:rsidRPr="00FB65D7">
        <w:rPr>
          <w:lang w:val="en-US"/>
        </w:rPr>
        <w:t xml:space="preserve">Anthocyanins are phytochemicals and part of the flavonoid family, a subclass of polyphenols. The anthocyanin composition of blackcurrant consists primarily of </w:t>
      </w:r>
      <w:r w:rsidRPr="00FB65D7">
        <w:t>d</w:t>
      </w:r>
      <w:r w:rsidRPr="00FB65D7">
        <w:rPr>
          <w:lang w:val="en-US"/>
        </w:rPr>
        <w:t>elphinidin-3-</w:t>
      </w:r>
      <w:r w:rsidRPr="00FB65D7">
        <w:rPr>
          <w:i/>
          <w:lang w:val="en-US"/>
        </w:rPr>
        <w:t>O</w:t>
      </w:r>
      <w:r w:rsidRPr="00FB65D7">
        <w:rPr>
          <w:lang w:val="en-US"/>
        </w:rPr>
        <w:t>-rutinoside, delphinidin-3-</w:t>
      </w:r>
      <w:r w:rsidRPr="00FB65D7">
        <w:rPr>
          <w:i/>
          <w:lang w:val="en-US"/>
        </w:rPr>
        <w:t>O</w:t>
      </w:r>
      <w:r w:rsidRPr="00FB65D7">
        <w:rPr>
          <w:lang w:val="en-US"/>
        </w:rPr>
        <w:t>-glucoside, cyanidin-3-</w:t>
      </w:r>
      <w:r w:rsidRPr="00FB65D7">
        <w:rPr>
          <w:i/>
          <w:lang w:val="en-US"/>
        </w:rPr>
        <w:t>O</w:t>
      </w:r>
      <w:r w:rsidRPr="00FB65D7">
        <w:rPr>
          <w:lang w:val="en-US"/>
        </w:rPr>
        <w:t>-rutinoside, and cyanidin-3-</w:t>
      </w:r>
      <w:r w:rsidRPr="00FB65D7">
        <w:rPr>
          <w:i/>
          <w:lang w:val="en-US"/>
        </w:rPr>
        <w:t>O</w:t>
      </w:r>
      <w:r w:rsidRPr="00FB65D7">
        <w:rPr>
          <w:lang w:val="en-US"/>
        </w:rPr>
        <w:t>-glucoside</w:t>
      </w:r>
      <w:r w:rsidR="0011590D">
        <w:rPr>
          <w:lang w:val="en-US"/>
        </w:rPr>
        <w:t xml:space="preserve"> (Overall </w:t>
      </w:r>
      <w:r w:rsidR="006501C3">
        <w:rPr>
          <w:lang w:val="en-US"/>
        </w:rPr>
        <w:t>et al.</w:t>
      </w:r>
      <w:r w:rsidR="0011590D">
        <w:rPr>
          <w:lang w:val="en-US"/>
        </w:rPr>
        <w:t xml:space="preserve"> 2017)</w:t>
      </w:r>
      <w:r w:rsidRPr="00FB65D7">
        <w:rPr>
          <w:lang w:val="en-US"/>
        </w:rPr>
        <w:t>. In berry plants and bushes, color-providing anthocyanins are secondary metabolites and function also to offer protection from oxidative stress and pathogens</w:t>
      </w:r>
      <w:r w:rsidR="0011590D">
        <w:rPr>
          <w:lang w:val="en-US"/>
        </w:rPr>
        <w:t xml:space="preserve"> (Manach </w:t>
      </w:r>
      <w:r w:rsidR="006501C3">
        <w:rPr>
          <w:lang w:val="en-US"/>
        </w:rPr>
        <w:t>et al.</w:t>
      </w:r>
      <w:r w:rsidR="0011590D">
        <w:rPr>
          <w:lang w:val="en-US"/>
        </w:rPr>
        <w:t xml:space="preserve"> 2004)</w:t>
      </w:r>
      <w:r w:rsidRPr="00FB65D7">
        <w:rPr>
          <w:lang w:val="en-US"/>
        </w:rPr>
        <w:t>. In humans, regular anthocyanin intake can provide substantial health benefits</w:t>
      </w:r>
      <w:r w:rsidR="00B97F44">
        <w:rPr>
          <w:lang w:val="en-US"/>
        </w:rPr>
        <w:t xml:space="preserve"> (Li </w:t>
      </w:r>
      <w:r w:rsidR="006501C3">
        <w:rPr>
          <w:lang w:val="en-US"/>
        </w:rPr>
        <w:t>et al.</w:t>
      </w:r>
      <w:r w:rsidR="00B97F44">
        <w:rPr>
          <w:lang w:val="en-US"/>
        </w:rPr>
        <w:t xml:space="preserve"> 2017; </w:t>
      </w:r>
      <w:r w:rsidR="00B97F44" w:rsidRPr="00FB65D7">
        <w:rPr>
          <w:color w:val="000000"/>
        </w:rPr>
        <w:t>Zafra-Stone</w:t>
      </w:r>
      <w:r w:rsidR="00B97F44">
        <w:rPr>
          <w:color w:val="000000"/>
        </w:rPr>
        <w:t xml:space="preserve"> </w:t>
      </w:r>
      <w:r w:rsidR="006501C3">
        <w:rPr>
          <w:color w:val="000000"/>
        </w:rPr>
        <w:t>et al.</w:t>
      </w:r>
      <w:r w:rsidR="00B97F44">
        <w:rPr>
          <w:color w:val="000000"/>
        </w:rPr>
        <w:t xml:space="preserve"> 2007</w:t>
      </w:r>
      <w:r w:rsidR="00B97F44">
        <w:rPr>
          <w:lang w:val="en-US"/>
        </w:rPr>
        <w:t>)</w:t>
      </w:r>
      <w:r w:rsidRPr="00FB65D7">
        <w:rPr>
          <w:lang w:val="en-US"/>
        </w:rPr>
        <w:t>. Higher anthocyanin intake was associated with lower insulin resistance, lower inflammation, reduced arterial stiffness, reduced blood pressure, and lower risk for cardiovascular disease and type 2 diabetes as the intake may have improved endothelial function, blood flow, and is linked with the anthocyanin-modulating effects on the antioxidant defense system</w:t>
      </w:r>
      <w:r w:rsidR="00461F4F">
        <w:rPr>
          <w:lang w:val="en-US"/>
        </w:rPr>
        <w:t xml:space="preserve"> (</w:t>
      </w:r>
      <w:r w:rsidR="00461F4F" w:rsidRPr="00FB65D7">
        <w:rPr>
          <w:bCs/>
          <w:color w:val="000000"/>
        </w:rPr>
        <w:t>Cassidy</w:t>
      </w:r>
      <w:r w:rsidR="00461F4F" w:rsidRPr="00FB65D7">
        <w:rPr>
          <w:color w:val="000000"/>
        </w:rPr>
        <w:t> </w:t>
      </w:r>
      <w:r w:rsidR="006501C3">
        <w:rPr>
          <w:color w:val="000000"/>
        </w:rPr>
        <w:t>et al.</w:t>
      </w:r>
      <w:r w:rsidR="00461F4F">
        <w:rPr>
          <w:color w:val="000000"/>
        </w:rPr>
        <w:t xml:space="preserve"> 2016; </w:t>
      </w:r>
      <w:r w:rsidR="00342A0D" w:rsidRPr="00FB65D7">
        <w:rPr>
          <w:bCs/>
          <w:color w:val="000000"/>
        </w:rPr>
        <w:t>Jacques</w:t>
      </w:r>
      <w:r w:rsidR="00342A0D" w:rsidRPr="00FB65D7">
        <w:rPr>
          <w:color w:val="000000"/>
        </w:rPr>
        <w:t> </w:t>
      </w:r>
      <w:r w:rsidR="006501C3">
        <w:rPr>
          <w:color w:val="000000"/>
        </w:rPr>
        <w:t>et al.</w:t>
      </w:r>
      <w:r w:rsidR="00342A0D">
        <w:rPr>
          <w:color w:val="000000"/>
        </w:rPr>
        <w:t xml:space="preserve"> 2013; </w:t>
      </w:r>
      <w:r w:rsidR="00342A0D" w:rsidRPr="00FB65D7">
        <w:rPr>
          <w:color w:val="000000"/>
        </w:rPr>
        <w:t>Jennings</w:t>
      </w:r>
      <w:r w:rsidR="00342A0D">
        <w:rPr>
          <w:color w:val="000000"/>
        </w:rPr>
        <w:t xml:space="preserve"> </w:t>
      </w:r>
      <w:r w:rsidR="006501C3">
        <w:rPr>
          <w:color w:val="000000"/>
        </w:rPr>
        <w:t>et al.</w:t>
      </w:r>
      <w:r w:rsidR="00342A0D">
        <w:rPr>
          <w:color w:val="000000"/>
        </w:rPr>
        <w:t xml:space="preserve"> 2014; Mink </w:t>
      </w:r>
      <w:r w:rsidR="006501C3">
        <w:rPr>
          <w:color w:val="000000"/>
        </w:rPr>
        <w:t>et al.</w:t>
      </w:r>
      <w:r w:rsidR="00342A0D">
        <w:rPr>
          <w:color w:val="000000"/>
        </w:rPr>
        <w:t xml:space="preserve"> 2007</w:t>
      </w:r>
      <w:r w:rsidR="00461F4F">
        <w:rPr>
          <w:lang w:val="en-US"/>
        </w:rPr>
        <w:t>)</w:t>
      </w:r>
      <w:r w:rsidRPr="00FB65D7">
        <w:rPr>
          <w:lang w:val="en-US"/>
        </w:rPr>
        <w:t>. When epidemiological studies provide quantitative information on anthocyanin-induced health benefits</w:t>
      </w:r>
      <w:r w:rsidR="00342A0D">
        <w:rPr>
          <w:lang w:val="en-US"/>
        </w:rPr>
        <w:t xml:space="preserve"> (</w:t>
      </w:r>
      <w:r w:rsidR="00342A0D" w:rsidRPr="00FB65D7">
        <w:rPr>
          <w:bCs/>
          <w:color w:val="000000"/>
        </w:rPr>
        <w:t>Cassidy</w:t>
      </w:r>
      <w:r w:rsidR="00342A0D" w:rsidRPr="00FB65D7">
        <w:rPr>
          <w:color w:val="000000"/>
        </w:rPr>
        <w:t> </w:t>
      </w:r>
      <w:r w:rsidR="006501C3">
        <w:rPr>
          <w:color w:val="000000"/>
        </w:rPr>
        <w:t>et al.</w:t>
      </w:r>
      <w:r w:rsidR="00342A0D">
        <w:rPr>
          <w:color w:val="000000"/>
        </w:rPr>
        <w:t xml:space="preserve"> 2016)</w:t>
      </w:r>
      <w:r w:rsidRPr="00FB65D7">
        <w:rPr>
          <w:lang w:val="en-US"/>
        </w:rPr>
        <w:t>, it is assumed that the benefits are obtained with daily intake, in line with dietary guidelines of daily intake for other nutrients.</w:t>
      </w:r>
    </w:p>
    <w:p w14:paraId="4E75E28E" w14:textId="5A161D2F" w:rsidR="00B13288" w:rsidRPr="00FB65D7" w:rsidRDefault="00B13288" w:rsidP="00F94E41">
      <w:pPr>
        <w:spacing w:line="480" w:lineRule="auto"/>
        <w:ind w:firstLine="708"/>
      </w:pPr>
      <w:r w:rsidRPr="00FB65D7">
        <w:t>Studies have also shown beneficial effects of long-term anthocyanin intake on body weight and body composition and possibly linked with an enhancement of fat oxidation. For example, in overweight and obese Korean adults, Lee et al.</w:t>
      </w:r>
      <w:r w:rsidR="00342A0D">
        <w:t xml:space="preserve"> (2016)</w:t>
      </w:r>
      <w:r w:rsidRPr="00FB65D7">
        <w:t xml:space="preserve"> observed lower abdominal fat, indicated by lower waist circumference (1.9 cm) and hip circumference (1.3 cm) after 8 weeks daily intake of 2.5 g anthocyanin-rich black soybean extract (12.58 mg anthocyanins). Solverson et al.</w:t>
      </w:r>
      <w:r w:rsidR="008A400D">
        <w:t xml:space="preserve"> (2018)</w:t>
      </w:r>
      <w:r w:rsidRPr="00FB65D7">
        <w:t xml:space="preserve"> observed that 7-day daily intake of 600 g blackberry (361 mg·day</w:t>
      </w:r>
      <w:r w:rsidRPr="00FB65D7">
        <w:rPr>
          <w:vertAlign w:val="superscript"/>
        </w:rPr>
        <w:t>-1</w:t>
      </w:r>
      <w:r w:rsidRPr="00FB65D7">
        <w:t xml:space="preserve"> anthocyanins) decreased the 24 h respiratory exchange ratio by 0.007 units, indicating a 7% increase in fat oxidation at rest. In addition, exercise-induced fat oxidation by treadmill </w:t>
      </w:r>
      <w:r w:rsidRPr="00FB65D7">
        <w:lastRenderedPageBreak/>
        <w:t>walking was enhanced by 12% in overweight and obese males</w:t>
      </w:r>
      <w:r w:rsidR="008A400D">
        <w:t xml:space="preserve"> (</w:t>
      </w:r>
      <w:r w:rsidR="008A400D" w:rsidRPr="00FB65D7">
        <w:t xml:space="preserve">Solverson </w:t>
      </w:r>
      <w:r w:rsidR="006501C3">
        <w:t>et al.</w:t>
      </w:r>
      <w:r w:rsidR="008A400D">
        <w:t xml:space="preserve"> 2018)</w:t>
      </w:r>
      <w:r w:rsidRPr="00FB65D7">
        <w:t>. Observations in animals and animal tissues have also supported an effect of anthocyanins on fat oxidation. Treatment of isolated rat adipocytes for 24 hr with cyanidin-3-</w:t>
      </w:r>
      <w:r w:rsidRPr="00FB65D7">
        <w:rPr>
          <w:i/>
          <w:iCs/>
        </w:rPr>
        <w:t>O</w:t>
      </w:r>
      <w:r w:rsidRPr="00FB65D7">
        <w:t>-glucoside, an anthocyanin present in blackcurrant, enhanced the release of adiponectin and leptin which can have implications for the prevention of obesity</w:t>
      </w:r>
      <w:r w:rsidR="000235F3">
        <w:t xml:space="preserve"> (Tsuda </w:t>
      </w:r>
      <w:r w:rsidR="006501C3">
        <w:t>et al.</w:t>
      </w:r>
      <w:r w:rsidR="000235F3">
        <w:t xml:space="preserve"> 2004)</w:t>
      </w:r>
      <w:r w:rsidRPr="00FB65D7">
        <w:t>. Anthocyanin-rich fruit juice (i.e. blueberry and mulberry) in mice fed a high-fat diet inhibited body weight gain, attenuated lipid accumulation and enhanced the expression of the mRNA for carnitine palmitoyltransferase l, involved in translocation of fatty acids into the mitochondria</w:t>
      </w:r>
      <w:r w:rsidR="00D50FBC">
        <w:t xml:space="preserve"> (Wu </w:t>
      </w:r>
      <w:r w:rsidR="006501C3">
        <w:t>et al.</w:t>
      </w:r>
      <w:r w:rsidR="00D50FBC">
        <w:t xml:space="preserve"> 2013)</w:t>
      </w:r>
      <w:r w:rsidRPr="00FB65D7">
        <w:t xml:space="preserve">. </w:t>
      </w:r>
    </w:p>
    <w:p w14:paraId="1B813E93" w14:textId="17B6D3CB" w:rsidR="00B13288" w:rsidRPr="00FB65D7" w:rsidRDefault="00B13288" w:rsidP="00F94E41">
      <w:pPr>
        <w:spacing w:line="480" w:lineRule="auto"/>
        <w:ind w:firstLine="708"/>
        <w:rPr>
          <w:color w:val="000000"/>
        </w:rPr>
      </w:pPr>
      <w:r w:rsidRPr="00FB65D7">
        <w:t>In humans, the enhancement of whole-body fat oxidation by nutritional ergogenic aids may be beneficial for weight management.</w:t>
      </w:r>
      <w:r w:rsidRPr="00FB65D7">
        <w:rPr>
          <w:color w:val="000000"/>
        </w:rPr>
        <w:t xml:space="preserve"> </w:t>
      </w:r>
      <w:r w:rsidRPr="00FB65D7">
        <w:t>Enhanced whole-body fat oxidation has been observed after 7-days daily intake of anthocyanin-rich New Zealand blackcurrant (NZBC) extract intake. For example, Cook et al.</w:t>
      </w:r>
      <w:r w:rsidR="00D50FBC">
        <w:t xml:space="preserve"> (2015)</w:t>
      </w:r>
      <w:r w:rsidRPr="00FB65D7">
        <w:t xml:space="preserve"> observed in trained male cyclists a 27% increase in fat oxidation during 10-min of ergometer cycling at 65%</w:t>
      </w:r>
      <w:r w:rsidRPr="00FB65D7">
        <w:rPr>
          <w:i/>
          <w:iCs/>
        </w:rPr>
        <w:t>V̇</w:t>
      </w:r>
      <w:r w:rsidRPr="00FB65D7">
        <w:t>O2max with 7-day daily intake of NZBC extract (105 mg·day</w:t>
      </w:r>
      <w:r w:rsidRPr="00FB65D7">
        <w:rPr>
          <w:vertAlign w:val="superscript"/>
        </w:rPr>
        <w:t>-1</w:t>
      </w:r>
      <w:r w:rsidRPr="00FB65D7">
        <w:t xml:space="preserve"> anthocyanin). In addition, during 120-min of cycling at 65%</w:t>
      </w:r>
      <w:r w:rsidRPr="00FB65D7">
        <w:rPr>
          <w:i/>
          <w:iCs/>
        </w:rPr>
        <w:t>V̇</w:t>
      </w:r>
      <w:r w:rsidRPr="00FB65D7">
        <w:t>O2max, fat oxidation was enhanced by 22% in males and 27% in females with 7-day daily NZBC extract (210 mg·day</w:t>
      </w:r>
      <w:r w:rsidRPr="00FB65D7">
        <w:rPr>
          <w:vertAlign w:val="superscript"/>
        </w:rPr>
        <w:t>-1</w:t>
      </w:r>
      <w:r w:rsidRPr="00FB65D7">
        <w:t xml:space="preserve"> anthocyanins)</w:t>
      </w:r>
      <w:r w:rsidR="00D50FBC">
        <w:t xml:space="preserve"> (Cook </w:t>
      </w:r>
      <w:r w:rsidR="006501C3">
        <w:t>et al.</w:t>
      </w:r>
      <w:r w:rsidR="00D50FBC">
        <w:t xml:space="preserve"> 2017; Strauss </w:t>
      </w:r>
      <w:r w:rsidR="006501C3">
        <w:t>et al.</w:t>
      </w:r>
      <w:r w:rsidR="00D50FBC">
        <w:t xml:space="preserve"> 2018)</w:t>
      </w:r>
      <w:r w:rsidRPr="00FB65D7">
        <w:t>.</w:t>
      </w:r>
      <w:r w:rsidRPr="00FB65D7">
        <w:rPr>
          <w:color w:val="000000"/>
        </w:rPr>
        <w:t xml:space="preserve"> However, it was not clear in these studies whether daily intake was required to enhance exercise-induced fat oxidation</w:t>
      </w:r>
      <w:r w:rsidR="00615D7D">
        <w:rPr>
          <w:color w:val="000000"/>
        </w:rPr>
        <w:t xml:space="preserve"> (</w:t>
      </w:r>
      <w:r w:rsidR="00587764">
        <w:rPr>
          <w:color w:val="000000"/>
        </w:rPr>
        <w:t xml:space="preserve">Cook </w:t>
      </w:r>
      <w:r w:rsidR="006501C3">
        <w:rPr>
          <w:color w:val="000000"/>
        </w:rPr>
        <w:t>et al.</w:t>
      </w:r>
      <w:r w:rsidR="00587764">
        <w:rPr>
          <w:color w:val="000000"/>
        </w:rPr>
        <w:t xml:space="preserve"> 2015, 2017; Strauss </w:t>
      </w:r>
      <w:r w:rsidR="006501C3">
        <w:rPr>
          <w:color w:val="000000"/>
        </w:rPr>
        <w:t>et al.</w:t>
      </w:r>
      <w:r w:rsidR="00587764">
        <w:rPr>
          <w:color w:val="000000"/>
        </w:rPr>
        <w:t xml:space="preserve"> 2018</w:t>
      </w:r>
      <w:r w:rsidR="00615D7D">
        <w:rPr>
          <w:color w:val="000000"/>
        </w:rPr>
        <w:t>)</w:t>
      </w:r>
      <w:r w:rsidRPr="00FB65D7">
        <w:rPr>
          <w:color w:val="000000"/>
        </w:rPr>
        <w:t xml:space="preserve">. </w:t>
      </w:r>
      <w:r w:rsidRPr="00FB65D7">
        <w:t>Although the mechanisms for enhanced exercise-induced fat oxidation by anthocyanin intake have not been established, a causal link with the bioavailability of anthocyanins and anthocyanin-derived metabolites is likely. Czank et al.</w:t>
      </w:r>
      <w:r w:rsidR="00587764">
        <w:t xml:space="preserve"> (2013)</w:t>
      </w:r>
      <w:r w:rsidRPr="00FB65D7">
        <w:t xml:space="preserve"> and De Ferrars et al.</w:t>
      </w:r>
      <w:r w:rsidR="00587764">
        <w:t xml:space="preserve"> (2014)</w:t>
      </w:r>
      <w:r w:rsidRPr="00FB65D7">
        <w:t xml:space="preserve"> observed that anthocyanin metabolites are still present in plasma up to 48-h and 96 hr, respectively, after ingestion of </w:t>
      </w:r>
      <w:r w:rsidR="009441D7">
        <w:t xml:space="preserve">the blackcurrant anthocyanin </w:t>
      </w:r>
      <w:r w:rsidRPr="00FB65D7">
        <w:t>cyanidin-3-</w:t>
      </w:r>
      <w:r w:rsidRPr="00FB65D7">
        <w:rPr>
          <w:i/>
          <w:iCs/>
        </w:rPr>
        <w:t>O</w:t>
      </w:r>
      <w:r w:rsidRPr="00FB65D7">
        <w:t xml:space="preserve">-glucoside. Therefore, intake of anthocyanins every-other-day may still accumulate anthocyanin-derived metabolites in plasma over time and result in adaptations responsible for changes in exercise-induced substrate oxidation. </w:t>
      </w:r>
    </w:p>
    <w:p w14:paraId="484A50D6" w14:textId="046A67A8" w:rsidR="00B13288" w:rsidRPr="00FB65D7" w:rsidRDefault="00B13288" w:rsidP="00F94E41">
      <w:pPr>
        <w:spacing w:line="480" w:lineRule="auto"/>
        <w:ind w:firstLine="708"/>
      </w:pPr>
      <w:r w:rsidRPr="00FB65D7">
        <w:rPr>
          <w:bCs/>
        </w:rPr>
        <w:t>Whole-body resting fat oxidation has been correlated with body mass index after 4-weeks intake of capsinoids</w:t>
      </w:r>
      <w:r w:rsidR="00587764">
        <w:rPr>
          <w:bCs/>
        </w:rPr>
        <w:t xml:space="preserve"> (</w:t>
      </w:r>
      <w:r w:rsidR="00587764" w:rsidRPr="00FB65D7">
        <w:rPr>
          <w:rStyle w:val="labs-docsum-authors"/>
          <w:color w:val="000000"/>
        </w:rPr>
        <w:t>Inoue</w:t>
      </w:r>
      <w:r w:rsidR="00587764">
        <w:rPr>
          <w:rStyle w:val="labs-docsum-authors"/>
          <w:color w:val="000000"/>
        </w:rPr>
        <w:t xml:space="preserve"> </w:t>
      </w:r>
      <w:r w:rsidR="006501C3">
        <w:rPr>
          <w:rStyle w:val="labs-docsum-authors"/>
          <w:color w:val="000000"/>
        </w:rPr>
        <w:t>et al.</w:t>
      </w:r>
      <w:r w:rsidR="00587764">
        <w:rPr>
          <w:rStyle w:val="labs-docsum-authors"/>
          <w:color w:val="000000"/>
        </w:rPr>
        <w:t xml:space="preserve"> 2007</w:t>
      </w:r>
      <w:r w:rsidR="00587764">
        <w:rPr>
          <w:bCs/>
        </w:rPr>
        <w:t>)</w:t>
      </w:r>
      <w:r w:rsidRPr="00FB65D7">
        <w:rPr>
          <w:bCs/>
        </w:rPr>
        <w:t>. The relationship between body mass index, and body fat, and potential to enhance exercise-induced fat oxidation by blackcurrant intake has not been examined. In addition, many studies implemented a wash-out dietary strategy that would lower the intake of polyphenols before dosing</w:t>
      </w:r>
      <w:r w:rsidR="00587764">
        <w:rPr>
          <w:bCs/>
        </w:rPr>
        <w:t xml:space="preserve"> (Bell </w:t>
      </w:r>
      <w:r w:rsidR="006501C3">
        <w:rPr>
          <w:bCs/>
        </w:rPr>
        <w:t>et al.</w:t>
      </w:r>
      <w:r w:rsidR="00587764">
        <w:rPr>
          <w:bCs/>
        </w:rPr>
        <w:t xml:space="preserve"> 2015; Czank </w:t>
      </w:r>
      <w:r w:rsidR="006501C3">
        <w:rPr>
          <w:bCs/>
        </w:rPr>
        <w:t>et al.</w:t>
      </w:r>
      <w:r w:rsidR="00587764">
        <w:rPr>
          <w:bCs/>
        </w:rPr>
        <w:t xml:space="preserve"> 2013)</w:t>
      </w:r>
      <w:r w:rsidRPr="00FB65D7">
        <w:rPr>
          <w:bCs/>
        </w:rPr>
        <w:t xml:space="preserve">. The wash-out dietary strategy before testing of supplement-induced responses seems to suggest a potential blunting of habitual </w:t>
      </w:r>
      <w:r w:rsidR="00D8583A">
        <w:rPr>
          <w:bCs/>
        </w:rPr>
        <w:t xml:space="preserve">dietary </w:t>
      </w:r>
      <w:r w:rsidRPr="00FB65D7">
        <w:rPr>
          <w:bCs/>
        </w:rPr>
        <w:t xml:space="preserve">intake of polyphenols on those responses. It is not known whether habitual </w:t>
      </w:r>
      <w:r w:rsidR="00D8583A">
        <w:rPr>
          <w:bCs/>
        </w:rPr>
        <w:t xml:space="preserve">dietary </w:t>
      </w:r>
      <w:r w:rsidRPr="00FB65D7">
        <w:rPr>
          <w:bCs/>
        </w:rPr>
        <w:t xml:space="preserve">intake of anthocyanins can affect the responses to an anthocyanin-rich supplement. </w:t>
      </w:r>
    </w:p>
    <w:p w14:paraId="660C0DDD" w14:textId="4ABB7843" w:rsidR="00B13288" w:rsidRPr="00FB65D7" w:rsidRDefault="00B13288" w:rsidP="00F94E41">
      <w:pPr>
        <w:spacing w:line="480" w:lineRule="auto"/>
        <w:ind w:firstLine="708"/>
      </w:pPr>
      <w:r w:rsidRPr="00FB65D7">
        <w:t xml:space="preserve">Therefore, the primary aim of the present study was to examine the effects of daily intake and every-other-day intake of anthocyanin-rich New Zealand blackcurrant extract on the physiological and metabolic responses during </w:t>
      </w:r>
      <w:r w:rsidR="00587764">
        <w:t>moderate-</w:t>
      </w:r>
      <w:r w:rsidRPr="00FB65D7">
        <w:t xml:space="preserve">intensity exercise. </w:t>
      </w:r>
      <w:r w:rsidRPr="00FB65D7">
        <w:rPr>
          <w:color w:val="000000"/>
          <w:lang w:eastAsia="en-GB"/>
        </w:rPr>
        <w:t xml:space="preserve">The secondary aim was to examine whether body mass index, body fat percentage and habitual </w:t>
      </w:r>
      <w:r w:rsidR="00D8583A">
        <w:rPr>
          <w:color w:val="000000"/>
          <w:lang w:eastAsia="en-GB"/>
        </w:rPr>
        <w:t xml:space="preserve">dietary </w:t>
      </w:r>
      <w:r w:rsidRPr="00FB65D7">
        <w:rPr>
          <w:color w:val="000000"/>
          <w:lang w:eastAsia="en-GB"/>
        </w:rPr>
        <w:t>anthocyanin intake was related to the blackcurrant-induced response on fat oxidation during exercise.</w:t>
      </w:r>
    </w:p>
    <w:p w14:paraId="777CB53E" w14:textId="77777777" w:rsidR="009F5F96" w:rsidRPr="00FB65D7" w:rsidRDefault="009F5F96" w:rsidP="00F94E41">
      <w:pPr>
        <w:spacing w:line="480" w:lineRule="auto"/>
        <w:ind w:left="1416" w:firstLine="708"/>
        <w:jc w:val="both"/>
        <w:rPr>
          <w:i/>
          <w:color w:val="0000FF"/>
          <w:lang w:val="en-GB"/>
        </w:rPr>
      </w:pPr>
    </w:p>
    <w:p w14:paraId="06420330" w14:textId="77777777" w:rsidR="009F5F96" w:rsidRPr="00FB65D7" w:rsidRDefault="009F5F96" w:rsidP="00F94E41">
      <w:pPr>
        <w:pStyle w:val="BodyText"/>
        <w:spacing w:line="480" w:lineRule="auto"/>
        <w:rPr>
          <w:b/>
          <w:bCs/>
          <w:color w:val="auto"/>
          <w:lang w:val="en-US"/>
        </w:rPr>
      </w:pPr>
      <w:r w:rsidRPr="00FB65D7">
        <w:rPr>
          <w:b/>
          <w:bCs/>
          <w:color w:val="auto"/>
          <w:lang w:val="en-US"/>
        </w:rPr>
        <w:t>Materials and methods</w:t>
      </w:r>
    </w:p>
    <w:p w14:paraId="2D80FF10" w14:textId="77777777" w:rsidR="00B13288" w:rsidRPr="00FB65D7" w:rsidRDefault="00B13288" w:rsidP="00F94E41">
      <w:pPr>
        <w:spacing w:line="480" w:lineRule="auto"/>
        <w:rPr>
          <w:b/>
          <w:bCs/>
        </w:rPr>
      </w:pPr>
      <w:r w:rsidRPr="00FB65D7">
        <w:rPr>
          <w:b/>
          <w:bCs/>
        </w:rPr>
        <w:t>Participants</w:t>
      </w:r>
    </w:p>
    <w:p w14:paraId="48C5CC3F" w14:textId="54EA666C" w:rsidR="00B13288" w:rsidRPr="00FB65D7" w:rsidRDefault="00B13288" w:rsidP="00F94E41">
      <w:pPr>
        <w:spacing w:line="480" w:lineRule="auto"/>
      </w:pPr>
      <w:r w:rsidRPr="00FB65D7">
        <w:t xml:space="preserve">Sixteen recreationally active healthy adult </w:t>
      </w:r>
      <w:r w:rsidR="007E42F4">
        <w:t xml:space="preserve">Caucasian </w:t>
      </w:r>
      <w:r w:rsidRPr="00FB65D7">
        <w:t>men</w:t>
      </w:r>
      <w:r w:rsidR="007E42F4">
        <w:t xml:space="preserve"> </w:t>
      </w:r>
      <w:r w:rsidRPr="00FB65D7">
        <w:t xml:space="preserve">volunteered [age: </w:t>
      </w:r>
      <w:r w:rsidRPr="00FB65D7">
        <w:rPr>
          <w:lang w:val="en-US"/>
        </w:rPr>
        <w:t>24±6 years</w:t>
      </w:r>
      <w:r w:rsidRPr="00FB65D7">
        <w:t xml:space="preserve">, height: </w:t>
      </w:r>
      <w:r w:rsidRPr="00FB65D7">
        <w:rPr>
          <w:lang w:val="en-US"/>
        </w:rPr>
        <w:t>178±6 cm</w:t>
      </w:r>
      <w:r w:rsidRPr="00FB65D7">
        <w:t xml:space="preserve">, body mass: </w:t>
      </w:r>
      <w:r w:rsidRPr="00FB65D7">
        <w:rPr>
          <w:lang w:val="en-US"/>
        </w:rPr>
        <w:t xml:space="preserve">78±16 kg, </w:t>
      </w:r>
      <w:r w:rsidRPr="00FB65D7">
        <w:rPr>
          <w:color w:val="000000"/>
        </w:rPr>
        <w:t>BMI: 24.7±4.1 kg·m</w:t>
      </w:r>
      <w:r w:rsidRPr="00FB65D7">
        <w:rPr>
          <w:color w:val="000000"/>
          <w:vertAlign w:val="superscript"/>
        </w:rPr>
        <w:t>-2</w:t>
      </w:r>
      <w:r w:rsidRPr="00FB65D7">
        <w:rPr>
          <w:color w:val="000000"/>
        </w:rPr>
        <w:t xml:space="preserve"> (range: 19.5 to 38.1 kg·m</w:t>
      </w:r>
      <w:r w:rsidRPr="00FB65D7">
        <w:rPr>
          <w:color w:val="000000"/>
          <w:vertAlign w:val="superscript"/>
        </w:rPr>
        <w:t>-2</w:t>
      </w:r>
      <w:r w:rsidRPr="00FB65D7">
        <w:rPr>
          <w:color w:val="000000"/>
        </w:rPr>
        <w:t>, 8 normal weight, 7 overweight and 1 severely obese), body fat: 15±5% (range: 9.9 to 27.3%)]</w:t>
      </w:r>
      <w:r w:rsidRPr="00FB65D7">
        <w:t xml:space="preserve"> and provided written informed consent. Participant’s physical activity level was quantified with the short version of the International Physical Activity Questionnaire</w:t>
      </w:r>
      <w:r w:rsidR="00587764">
        <w:t xml:space="preserve"> (Craig </w:t>
      </w:r>
      <w:r w:rsidR="006501C3">
        <w:t>et al.</w:t>
      </w:r>
      <w:r w:rsidR="00587764">
        <w:t xml:space="preserve"> 2003)</w:t>
      </w:r>
      <w:r w:rsidRPr="00FB65D7">
        <w:t xml:space="preserve">, and all had a high score (IPAQ score: </w:t>
      </w:r>
      <w:r w:rsidRPr="00FB65D7">
        <w:rPr>
          <w:lang w:val="en-US"/>
        </w:rPr>
        <w:t>4385±1635 MET·week</w:t>
      </w:r>
      <w:r w:rsidRPr="00FB65D7">
        <w:rPr>
          <w:vertAlign w:val="superscript"/>
          <w:lang w:val="en-US"/>
        </w:rPr>
        <w:t>-1</w:t>
      </w:r>
      <w:r w:rsidRPr="00FB65D7">
        <w:rPr>
          <w:lang w:val="en-US"/>
        </w:rPr>
        <w:t>)</w:t>
      </w:r>
      <w:r w:rsidRPr="00FB65D7">
        <w:t>. Participants had no known allergy to berries or berry products, were non-smokers, and were not allowed to take other nutritional ergogenic aids during the study. A randomised</w:t>
      </w:r>
      <w:r w:rsidR="00346C92">
        <w:t xml:space="preserve"> (</w:t>
      </w:r>
      <w:hyperlink r:id="rId8" w:history="1">
        <w:r w:rsidR="0039176B" w:rsidRPr="00631EE4">
          <w:rPr>
            <w:rStyle w:val="Hyperlink"/>
          </w:rPr>
          <w:t>www.random.org</w:t>
        </w:r>
      </w:hyperlink>
      <w:r w:rsidR="0039176B">
        <w:t xml:space="preserve"> using sequences</w:t>
      </w:r>
      <w:r w:rsidR="00346C92">
        <w:t>)</w:t>
      </w:r>
      <w:r w:rsidRPr="00FB65D7">
        <w:t xml:space="preserve">, repeated measures, cross-over experimental design with a control condition was used. Ethical approval was obtained from the University of Chichester Research Ethics Committee with protocols and procedures conformed to the 2013 Declaration of Helsinki. </w:t>
      </w:r>
    </w:p>
    <w:p w14:paraId="67397902" w14:textId="77777777" w:rsidR="00B13288" w:rsidRPr="00FB65D7" w:rsidRDefault="00B13288" w:rsidP="00F94E41">
      <w:pPr>
        <w:spacing w:line="480" w:lineRule="auto"/>
        <w:rPr>
          <w:b/>
          <w:bCs/>
        </w:rPr>
      </w:pPr>
      <w:r w:rsidRPr="00FB65D7">
        <w:rPr>
          <w:b/>
          <w:bCs/>
        </w:rPr>
        <w:t>Study design</w:t>
      </w:r>
    </w:p>
    <w:p w14:paraId="22E41FB0" w14:textId="77777777" w:rsidR="00B13288" w:rsidRPr="00FB65D7" w:rsidRDefault="00B13288" w:rsidP="00F94E41">
      <w:pPr>
        <w:spacing w:line="480" w:lineRule="auto"/>
      </w:pPr>
      <w:r w:rsidRPr="00FB65D7">
        <w:t>Participants attended the laboratory for four morning visits. In the first visit, height, body mass, and body fat % (Tanita BC418 Segmental Body Composition Analyzer, Tanita, IL, USA) were measured. A food frequency questionnaire with anthocyanin-containing foods and drinks listed in the Phenol-Explorer database</w:t>
      </w:r>
      <w:r w:rsidR="00923598">
        <w:t xml:space="preserve"> (Neveu et al. 2010)</w:t>
      </w:r>
      <w:r w:rsidRPr="00FB65D7">
        <w:t xml:space="preserve"> was completed to estimate daily anthocyanin intake (82±73 mg·day</w:t>
      </w:r>
      <w:r w:rsidRPr="00FB65D7">
        <w:rPr>
          <w:vertAlign w:val="superscript"/>
        </w:rPr>
        <w:t>-1</w:t>
      </w:r>
      <w:r w:rsidRPr="00FB65D7">
        <w:t>) (range: 0.1 to 206.8 mg·day</w:t>
      </w:r>
      <w:r w:rsidRPr="00FB65D7">
        <w:rPr>
          <w:vertAlign w:val="superscript"/>
        </w:rPr>
        <w:t>-1</w:t>
      </w:r>
      <w:r w:rsidRPr="00FB65D7">
        <w:t>). Before each visit, participants were instructed to refrain from the intake of alcohol and caffeine for 24 hours and abstain from strenuous exercise for 48 hours.</w:t>
      </w:r>
    </w:p>
    <w:p w14:paraId="24A0743D" w14:textId="77777777" w:rsidR="00B13288" w:rsidRPr="00FB65D7" w:rsidRDefault="00B13288" w:rsidP="00F94E41">
      <w:pPr>
        <w:spacing w:line="480" w:lineRule="auto"/>
        <w:rPr>
          <w:b/>
          <w:bCs/>
        </w:rPr>
      </w:pPr>
      <w:r w:rsidRPr="00FB65D7">
        <w:rPr>
          <w:b/>
          <w:bCs/>
        </w:rPr>
        <w:t xml:space="preserve">Standardization of </w:t>
      </w:r>
      <w:r w:rsidR="00587764">
        <w:rPr>
          <w:b/>
          <w:bCs/>
        </w:rPr>
        <w:t>moderate-</w:t>
      </w:r>
      <w:r w:rsidRPr="00FB65D7">
        <w:rPr>
          <w:b/>
          <w:bCs/>
        </w:rPr>
        <w:t xml:space="preserve">intensity walking </w:t>
      </w:r>
    </w:p>
    <w:p w14:paraId="3A97FEB5" w14:textId="682D4D89" w:rsidR="00B13288" w:rsidRPr="00FB65D7" w:rsidRDefault="00B13288" w:rsidP="00F94E41">
      <w:pPr>
        <w:spacing w:line="480" w:lineRule="auto"/>
        <w:ind w:firstLine="708"/>
      </w:pPr>
      <w:r w:rsidRPr="00FB65D7">
        <w:t>After arrival for the first visit, participants were seated in a chair for 10 min, and subsequently required to lie supine on an examination couch for collection of expired air. Expired air was collected two times for 10 min with Douglas bags and the lowest oxygen uptake (see below for analysis of expired air) was taken to represent the one-metabolic equivalent (1-MET). The 1-MET was 3.95±0.64 ml·kg</w:t>
      </w:r>
      <w:r w:rsidRPr="00FB65D7">
        <w:rPr>
          <w:vertAlign w:val="superscript"/>
        </w:rPr>
        <w:t>-1</w:t>
      </w:r>
      <w:r w:rsidRPr="00FB65D7">
        <w:t>·min</w:t>
      </w:r>
      <w:r w:rsidRPr="00FB65D7">
        <w:rPr>
          <w:vertAlign w:val="superscript"/>
        </w:rPr>
        <w:t>-1</w:t>
      </w:r>
      <w:r w:rsidRPr="00FB65D7">
        <w:t xml:space="preserve"> (95% CI [3.61, 4.92]). Subsequently, the participants performed an incremental walking test on a treadmill (HP Cosmos Pulsar Bodycare Products, UK) with walking speeds of 2, 3, 4, 5, and 6 km·hr</w:t>
      </w:r>
      <w:r w:rsidRPr="00FB65D7">
        <w:rPr>
          <w:vertAlign w:val="superscript"/>
        </w:rPr>
        <w:t>-1</w:t>
      </w:r>
      <w:r w:rsidRPr="00FB65D7">
        <w:t xml:space="preserve">, each speed for 8 minutes with a 2-min break between each speed. Expired air was collected in the last 3 min of each speed. The incremental walking test was performed to calculate for each participant the linear relationship between walking speed and oxygen uptake to determine the participant’s </w:t>
      </w:r>
      <w:r w:rsidR="00587764">
        <w:t>moderate-</w:t>
      </w:r>
      <w:r w:rsidRPr="00FB65D7">
        <w:t xml:space="preserve">intensity walking speeds (i.e. the walking speed at 4- or 5- METs). The </w:t>
      </w:r>
      <w:r w:rsidR="00587764">
        <w:t>moderate-</w:t>
      </w:r>
      <w:r w:rsidRPr="00FB65D7">
        <w:t xml:space="preserve">intensity walking speed for three participants was at 4-MET because those participants indicated that the treadmill speed </w:t>
      </w:r>
      <w:r w:rsidR="00C64D00">
        <w:t>at</w:t>
      </w:r>
      <w:r w:rsidRPr="00FB65D7">
        <w:t xml:space="preserve"> 5-MET would require jogging. </w:t>
      </w:r>
    </w:p>
    <w:p w14:paraId="74134895" w14:textId="77777777" w:rsidR="00B13288" w:rsidRPr="00FB65D7" w:rsidRDefault="00B13288" w:rsidP="00F94E41">
      <w:pPr>
        <w:spacing w:line="480" w:lineRule="auto"/>
        <w:rPr>
          <w:b/>
          <w:bCs/>
        </w:rPr>
      </w:pPr>
      <w:r w:rsidRPr="00FB65D7">
        <w:rPr>
          <w:b/>
          <w:bCs/>
        </w:rPr>
        <w:t>Experimental protocols</w:t>
      </w:r>
    </w:p>
    <w:p w14:paraId="22D46C60" w14:textId="15341655" w:rsidR="00B13288" w:rsidRPr="00FB65D7" w:rsidRDefault="00B13288" w:rsidP="00F94E41">
      <w:pPr>
        <w:spacing w:line="480" w:lineRule="auto"/>
        <w:ind w:firstLine="708"/>
      </w:pPr>
      <w:r w:rsidRPr="00FB65D7">
        <w:t>Participants visited the laboratory for three experimental conditions: control (no supplementation), 14-day daily intake of NZBC extract (14-D) and 14-day every-other-day intake of NZBC extract (14-EOD). For the supplementation conditions (i.e. 14-D and 14-EOD), participants consumed 2 capsules of NZBC extract (600 mg containing 210 mg of anthocyanins, i.e. 35–50% delphinidin-3-</w:t>
      </w:r>
      <w:r w:rsidRPr="00FB65D7">
        <w:rPr>
          <w:i/>
          <w:iCs/>
        </w:rPr>
        <w:t>O</w:t>
      </w:r>
      <w:r w:rsidRPr="00FB65D7">
        <w:t>-rutinoside, 5–20% delphinidin-3-</w:t>
      </w:r>
      <w:r w:rsidRPr="00FB65D7">
        <w:rPr>
          <w:i/>
          <w:iCs/>
        </w:rPr>
        <w:t>O</w:t>
      </w:r>
      <w:r w:rsidRPr="00FB65D7">
        <w:t>-glucoside, 30–45% cyanidin-3-</w:t>
      </w:r>
      <w:r w:rsidRPr="00FB65D7">
        <w:rPr>
          <w:i/>
          <w:iCs/>
        </w:rPr>
        <w:t>O</w:t>
      </w:r>
      <w:r w:rsidRPr="00FB65D7">
        <w:t>-rutinoside, 3–10% cyanidin-3-</w:t>
      </w:r>
      <w:r w:rsidRPr="00FB65D7">
        <w:rPr>
          <w:i/>
          <w:iCs/>
        </w:rPr>
        <w:t>O</w:t>
      </w:r>
      <w:r w:rsidRPr="00FB65D7">
        <w:t xml:space="preserve">-glucoside) (Health Currancy Ltd., Surrey, UK; CurraNZ Ltd, NZ) with breakfast daily for 14 days or every-other-day for 14 days. On the morning of the final intake in both 14-D and 14-EOD conditions, participants ingested the last two capsules 2 hours before the visits and had one slice of bread and water 3 hours before the visits. </w:t>
      </w:r>
      <w:bookmarkStart w:id="1" w:name="_Hlk50732091"/>
      <w:r w:rsidR="005910C6">
        <w:t xml:space="preserve">The dose of 600 mg NZBC extract was based on dose-response observations of whole-body exercise-induced fat oxidation </w:t>
      </w:r>
      <w:r w:rsidR="00195965">
        <w:t xml:space="preserve">in males </w:t>
      </w:r>
      <w:r w:rsidR="005910C6">
        <w:t xml:space="preserve">by Cook et al (2017). </w:t>
      </w:r>
      <w:bookmarkEnd w:id="1"/>
      <w:r w:rsidRPr="00FB65D7">
        <w:t xml:space="preserve">A 14-day washout period was applied between each visit </w:t>
      </w:r>
      <w:r w:rsidR="00674734">
        <w:t>(</w:t>
      </w:r>
      <w:r w:rsidR="00674734" w:rsidRPr="00FB65D7">
        <w:rPr>
          <w:color w:val="000000"/>
        </w:rPr>
        <w:t>Alvarez-Suarez</w:t>
      </w:r>
      <w:r w:rsidR="00674734">
        <w:rPr>
          <w:color w:val="000000"/>
        </w:rPr>
        <w:t xml:space="preserve"> </w:t>
      </w:r>
      <w:r w:rsidR="006501C3">
        <w:rPr>
          <w:color w:val="000000"/>
        </w:rPr>
        <w:t>et al.</w:t>
      </w:r>
      <w:r w:rsidR="00674734">
        <w:rPr>
          <w:color w:val="000000"/>
        </w:rPr>
        <w:t xml:space="preserve"> 2014</w:t>
      </w:r>
      <w:r w:rsidR="00674734">
        <w:t>)</w:t>
      </w:r>
      <w:r w:rsidRPr="00FB65D7">
        <w:t>. No supplement was provided for the control condition and between the supplement days in the 14-EOD condition</w:t>
      </w:r>
      <w:r w:rsidR="00C64D00">
        <w:t xml:space="preserve"> (Figure 1)</w:t>
      </w:r>
      <w:r w:rsidRPr="00FB65D7">
        <w:t>. Participants recorded a 48 hr food diary before the first experimental visit and were advised to replicate the 48 hr dietary intake prior to the remaining two visits. Food diaries were analysed using Nutritics (Nutritics LTD., Dublin, Ireland) for carbohydrate, fat, protein, and total energy intake. There were no differences in absolute or relative values per kilogram of body mass for carbohydrate, fat, protein, or total energy intake between the experimental conditions (p&gt;0.05) (Table 1).</w:t>
      </w:r>
    </w:p>
    <w:p w14:paraId="4A4E563F" w14:textId="58A9920B" w:rsidR="009E2F45" w:rsidRDefault="00B13288" w:rsidP="00F94E41">
      <w:pPr>
        <w:spacing w:line="480" w:lineRule="auto"/>
      </w:pPr>
      <w:r w:rsidRPr="00FB65D7">
        <w:tab/>
        <w:t xml:space="preserve">For the 30-min </w:t>
      </w:r>
      <w:r w:rsidR="00587764">
        <w:t>moderate-</w:t>
      </w:r>
      <w:r w:rsidRPr="00FB65D7">
        <w:t>intensity walk, participants walked on the treadmill at a speed of 4 (n=3) or 5 (n=13) METs (speed: 5.</w:t>
      </w:r>
      <w:r w:rsidR="00684A4C">
        <w:t>7</w:t>
      </w:r>
      <w:r w:rsidRPr="00FB65D7">
        <w:t>±0.</w:t>
      </w:r>
      <w:r w:rsidR="00684A4C">
        <w:t>7</w:t>
      </w:r>
      <w:r w:rsidRPr="00FB65D7">
        <w:t xml:space="preserve"> km·hr</w:t>
      </w:r>
      <w:r w:rsidRPr="00FB65D7">
        <w:rPr>
          <w:vertAlign w:val="superscript"/>
        </w:rPr>
        <w:t>-1</w:t>
      </w:r>
      <w:r w:rsidRPr="00FB65D7">
        <w:t xml:space="preserve">). Expired air was collected from 7 to 10, 17 to 20 and 27 to 30 minutes. Heart rate (Polar Vantage NV Polar Electro Oy Kempele Finland) and rating of perceived exertion (15-point Borg Scale) were recorded for these three stages. Expired air was analyzed with a three-point calibrated Servomex gas analyser (Series 1400, Crowborough, UK) and volume measured (Harvard Apparatus Ltd. Dry gas meter, UK). Gas volumes were calculated using the Haldane transformation and standardized to STPD conditions with consideration of inspired fractions of oxygen and carbon dioxide within the laboratory during expired air collection. Respiratory exchange ratio (i.e. RER) was calculated as the ratio between the carbon dioxide produced and oxygen consumed. Rates of whole-body fat and carbohydrate oxidation were calculated with equations </w:t>
      </w:r>
      <w:r w:rsidR="0009576C">
        <w:t xml:space="preserve">(1) and (2) </w:t>
      </w:r>
      <w:r w:rsidRPr="00FB65D7">
        <w:t>from Jeukendrup and Wallis</w:t>
      </w:r>
      <w:r w:rsidR="00674734">
        <w:t xml:space="preserve"> (2005)</w:t>
      </w:r>
      <w:r w:rsidRPr="00FB65D7">
        <w:t xml:space="preserve"> and the assumption of negligible protein oxidation.</w:t>
      </w:r>
    </w:p>
    <w:p w14:paraId="3A4F91A5" w14:textId="77777777" w:rsidR="0049717A" w:rsidRPr="00442974" w:rsidRDefault="0049717A" w:rsidP="0049717A">
      <w:pPr>
        <w:spacing w:line="480" w:lineRule="auto"/>
        <w:ind w:firstLine="425"/>
        <w:rPr>
          <w:color w:val="000000" w:themeColor="text1"/>
        </w:rPr>
      </w:pPr>
    </w:p>
    <w:p w14:paraId="199329DB" w14:textId="54D1AEBE" w:rsidR="0049717A" w:rsidRPr="00442974" w:rsidRDefault="0049717A" w:rsidP="0049717A">
      <w:pPr>
        <w:spacing w:line="480" w:lineRule="auto"/>
        <w:ind w:firstLine="425"/>
        <w:rPr>
          <w:rFonts w:eastAsiaTheme="minorEastAsia"/>
          <w:color w:val="000000" w:themeColor="text1"/>
        </w:rPr>
      </w:pPr>
      <m:oMath>
        <m:r>
          <w:rPr>
            <w:rFonts w:ascii="Cambria Math" w:hAnsi="Cambria Math"/>
            <w:color w:val="000000" w:themeColor="text1"/>
          </w:rPr>
          <m:t xml:space="preserve">Fat oxidation </m:t>
        </m:r>
        <m:d>
          <m:dPr>
            <m:ctrlPr>
              <w:rPr>
                <w:rFonts w:ascii="Cambria Math" w:hAnsi="Cambria Math"/>
                <w:i/>
                <w:color w:val="000000" w:themeColor="text1"/>
              </w:rPr>
            </m:ctrlPr>
          </m:dPr>
          <m:e>
            <m:r>
              <w:rPr>
                <w:rFonts w:ascii="Cambria Math" w:hAnsi="Cambria Math"/>
                <w:color w:val="000000" w:themeColor="text1"/>
              </w:rPr>
              <m:t>g·</m:t>
            </m:r>
            <m:sSup>
              <m:sSupPr>
                <m:ctrlPr>
                  <w:rPr>
                    <w:rFonts w:ascii="Cambria Math" w:hAnsi="Cambria Math"/>
                    <w:i/>
                    <w:color w:val="000000" w:themeColor="text1"/>
                  </w:rPr>
                </m:ctrlPr>
              </m:sSupPr>
              <m:e>
                <m:r>
                  <w:rPr>
                    <w:rFonts w:ascii="Cambria Math" w:hAnsi="Cambria Math"/>
                    <w:color w:val="000000" w:themeColor="text1"/>
                  </w:rPr>
                  <m:t>min</m:t>
                </m:r>
              </m:e>
              <m:sup>
                <m:r>
                  <w:rPr>
                    <w:rFonts w:ascii="Cambria Math" w:hAnsi="Cambria Math"/>
                    <w:color w:val="000000" w:themeColor="text1"/>
                  </w:rPr>
                  <m:t>-1</m:t>
                </m:r>
              </m:sup>
            </m:sSup>
          </m:e>
        </m:d>
        <m:r>
          <w:rPr>
            <w:rFonts w:ascii="Cambria Math" w:hAnsi="Cambria Math"/>
            <w:color w:val="000000" w:themeColor="text1"/>
          </w:rPr>
          <m:t xml:space="preserve">=1.695× </m:t>
        </m:r>
        <m:acc>
          <m:accPr>
            <m:chr m:val="̇"/>
            <m:ctrlPr>
              <w:rPr>
                <w:rFonts w:ascii="Cambria Math" w:hAnsi="Cambria Math"/>
                <w:i/>
                <w:color w:val="000000" w:themeColor="text1"/>
              </w:rPr>
            </m:ctrlPr>
          </m:accPr>
          <m:e>
            <m:r>
              <w:rPr>
                <w:rFonts w:ascii="Cambria Math" w:hAnsi="Cambria Math"/>
                <w:color w:val="000000" w:themeColor="text1"/>
              </w:rPr>
              <m:t>V</m:t>
            </m:r>
          </m:e>
        </m:acc>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r>
          <w:rPr>
            <w:rFonts w:ascii="Cambria Math" w:hAnsi="Cambria Math"/>
            <w:color w:val="000000" w:themeColor="text1"/>
          </w:rPr>
          <m:t xml:space="preserve">-1.701 × </m:t>
        </m:r>
        <m:acc>
          <m:accPr>
            <m:chr m:val="̇"/>
            <m:ctrlPr>
              <w:rPr>
                <w:rFonts w:ascii="Cambria Math" w:hAnsi="Cambria Math"/>
                <w:i/>
                <w:color w:val="000000" w:themeColor="text1"/>
              </w:rPr>
            </m:ctrlPr>
          </m:accPr>
          <m:e>
            <m:r>
              <w:rPr>
                <w:rFonts w:ascii="Cambria Math" w:hAnsi="Cambria Math"/>
                <w:color w:val="000000" w:themeColor="text1"/>
              </w:rPr>
              <m:t>V</m:t>
            </m:r>
          </m:e>
        </m:acc>
        <m:sSub>
          <m:sSubPr>
            <m:ctrlPr>
              <w:rPr>
                <w:rFonts w:ascii="Cambria Math" w:hAnsi="Cambria Math"/>
                <w:i/>
                <w:color w:val="000000" w:themeColor="text1"/>
              </w:rPr>
            </m:ctrlPr>
          </m:sSubPr>
          <m:e>
            <m:r>
              <w:rPr>
                <w:rFonts w:ascii="Cambria Math" w:hAnsi="Cambria Math"/>
                <w:color w:val="000000" w:themeColor="text1"/>
              </w:rPr>
              <m:t>CO</m:t>
            </m:r>
          </m:e>
          <m:sub>
            <m:r>
              <w:rPr>
                <w:rFonts w:ascii="Cambria Math" w:hAnsi="Cambria Math"/>
                <w:color w:val="000000" w:themeColor="text1"/>
              </w:rPr>
              <m:t>2</m:t>
            </m:r>
          </m:sub>
        </m:sSub>
      </m:oMath>
      <w:r w:rsidRPr="00442974">
        <w:rPr>
          <w:rFonts w:eastAsiaTheme="minorEastAsia"/>
          <w:color w:val="000000" w:themeColor="text1"/>
        </w:rPr>
        <w:t xml:space="preserve">                </w:t>
      </w:r>
      <w:r>
        <w:rPr>
          <w:rFonts w:eastAsiaTheme="minorEastAsia"/>
          <w:color w:val="000000" w:themeColor="text1"/>
        </w:rPr>
        <w:t xml:space="preserve">        </w:t>
      </w:r>
      <w:r w:rsidR="00C64D00">
        <w:rPr>
          <w:rFonts w:eastAsiaTheme="minorEastAsia"/>
          <w:color w:val="000000" w:themeColor="text1"/>
        </w:rPr>
        <w:t xml:space="preserve"> </w:t>
      </w:r>
      <w:r>
        <w:rPr>
          <w:rFonts w:eastAsiaTheme="minorEastAsia"/>
          <w:color w:val="000000" w:themeColor="text1"/>
        </w:rPr>
        <w:t xml:space="preserve">  </w:t>
      </w:r>
      <w:r w:rsidRPr="00442974">
        <w:rPr>
          <w:rFonts w:eastAsiaTheme="minorEastAsia"/>
          <w:color w:val="000000" w:themeColor="text1"/>
        </w:rPr>
        <w:t xml:space="preserve"> (1)</w:t>
      </w:r>
    </w:p>
    <w:p w14:paraId="3DB971E7" w14:textId="77777777" w:rsidR="0049717A" w:rsidRPr="00442974" w:rsidRDefault="0049717A" w:rsidP="0049717A">
      <w:pPr>
        <w:spacing w:line="480" w:lineRule="auto"/>
        <w:ind w:firstLine="425"/>
        <w:rPr>
          <w:color w:val="000000" w:themeColor="text1"/>
        </w:rPr>
      </w:pPr>
      <m:oMath>
        <m:r>
          <w:rPr>
            <w:rFonts w:ascii="Cambria Math" w:hAnsi="Cambria Math"/>
            <w:color w:val="000000" w:themeColor="text1"/>
          </w:rPr>
          <m:t xml:space="preserve">Carbohydrate oxidation </m:t>
        </m:r>
        <m:d>
          <m:dPr>
            <m:ctrlPr>
              <w:rPr>
                <w:rFonts w:ascii="Cambria Math" w:hAnsi="Cambria Math"/>
                <w:i/>
                <w:color w:val="000000" w:themeColor="text1"/>
              </w:rPr>
            </m:ctrlPr>
          </m:dPr>
          <m:e>
            <m:r>
              <w:rPr>
                <w:rFonts w:ascii="Cambria Math" w:hAnsi="Cambria Math"/>
                <w:color w:val="000000" w:themeColor="text1"/>
              </w:rPr>
              <m:t>g·</m:t>
            </m:r>
            <m:sSup>
              <m:sSupPr>
                <m:ctrlPr>
                  <w:rPr>
                    <w:rFonts w:ascii="Cambria Math" w:hAnsi="Cambria Math"/>
                    <w:i/>
                    <w:color w:val="000000" w:themeColor="text1"/>
                  </w:rPr>
                </m:ctrlPr>
              </m:sSupPr>
              <m:e>
                <m:r>
                  <w:rPr>
                    <w:rFonts w:ascii="Cambria Math" w:hAnsi="Cambria Math"/>
                    <w:color w:val="000000" w:themeColor="text1"/>
                  </w:rPr>
                  <m:t>min</m:t>
                </m:r>
              </m:e>
              <m:sup>
                <m:r>
                  <w:rPr>
                    <w:rFonts w:ascii="Cambria Math" w:hAnsi="Cambria Math"/>
                    <w:color w:val="000000" w:themeColor="text1"/>
                  </w:rPr>
                  <m:t>-1</m:t>
                </m:r>
              </m:sup>
            </m:sSup>
          </m:e>
        </m:d>
        <m:r>
          <w:rPr>
            <w:rFonts w:ascii="Cambria Math" w:hAnsi="Cambria Math"/>
            <w:color w:val="000000" w:themeColor="text1"/>
          </w:rPr>
          <m:t xml:space="preserve">=4.210 × </m:t>
        </m:r>
        <m:acc>
          <m:accPr>
            <m:chr m:val="̇"/>
            <m:ctrlPr>
              <w:rPr>
                <w:rFonts w:ascii="Cambria Math" w:hAnsi="Cambria Math"/>
                <w:i/>
                <w:color w:val="000000" w:themeColor="text1"/>
              </w:rPr>
            </m:ctrlPr>
          </m:accPr>
          <m:e>
            <m:r>
              <w:rPr>
                <w:rFonts w:ascii="Cambria Math" w:hAnsi="Cambria Math"/>
                <w:color w:val="000000" w:themeColor="text1"/>
              </w:rPr>
              <m:t>V</m:t>
            </m:r>
          </m:e>
        </m:acc>
        <m:r>
          <w:rPr>
            <w:rFonts w:ascii="Cambria Math" w:hAnsi="Cambria Math"/>
            <w:color w:val="000000" w:themeColor="text1"/>
          </w:rPr>
          <m:t>C</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r>
          <w:rPr>
            <w:rFonts w:ascii="Cambria Math" w:hAnsi="Cambria Math"/>
            <w:color w:val="000000" w:themeColor="text1"/>
          </w:rPr>
          <m:t xml:space="preserve">-2.962 × </m:t>
        </m:r>
        <m:acc>
          <m:accPr>
            <m:chr m:val="̇"/>
            <m:ctrlPr>
              <w:rPr>
                <w:rFonts w:ascii="Cambria Math" w:hAnsi="Cambria Math"/>
                <w:i/>
                <w:color w:val="000000" w:themeColor="text1"/>
              </w:rPr>
            </m:ctrlPr>
          </m:accPr>
          <m:e>
            <m:r>
              <w:rPr>
                <w:rFonts w:ascii="Cambria Math" w:hAnsi="Cambria Math"/>
                <w:color w:val="000000" w:themeColor="text1"/>
              </w:rPr>
              <m:t>V</m:t>
            </m:r>
          </m:e>
        </m:acc>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oMath>
      <w:r w:rsidRPr="00442974">
        <w:rPr>
          <w:rFonts w:eastAsiaTheme="minorEastAsia"/>
          <w:color w:val="000000" w:themeColor="text1"/>
        </w:rPr>
        <w:t xml:space="preserve">        (2)</w:t>
      </w:r>
    </w:p>
    <w:p w14:paraId="0E537F5E" w14:textId="77777777" w:rsidR="0009576C" w:rsidRPr="00FB65D7" w:rsidRDefault="0009576C" w:rsidP="00F94E41">
      <w:pPr>
        <w:spacing w:line="480" w:lineRule="auto"/>
      </w:pPr>
    </w:p>
    <w:p w14:paraId="3449E176" w14:textId="77777777" w:rsidR="00B13288" w:rsidRPr="00FB65D7" w:rsidRDefault="00B13288" w:rsidP="00F94E41">
      <w:pPr>
        <w:spacing w:line="480" w:lineRule="auto"/>
        <w:rPr>
          <w:b/>
          <w:bCs/>
        </w:rPr>
      </w:pPr>
      <w:r w:rsidRPr="00FB65D7">
        <w:rPr>
          <w:b/>
          <w:bCs/>
        </w:rPr>
        <w:t>Statistical analysis</w:t>
      </w:r>
    </w:p>
    <w:p w14:paraId="115B3B12" w14:textId="0A4988E2" w:rsidR="00B13288" w:rsidRPr="00FB65D7" w:rsidRDefault="00B13288" w:rsidP="00F94E41">
      <w:pPr>
        <w:spacing w:line="480" w:lineRule="auto"/>
        <w:rPr>
          <w:rFonts w:eastAsia="SimSun"/>
          <w:color w:val="000000"/>
        </w:rPr>
      </w:pPr>
      <w:r w:rsidRPr="00FB65D7">
        <w:t>Statistical analysis was completed using Graphpad Prism 5 for Windows (</w:t>
      </w:r>
      <w:r w:rsidRPr="00FB65D7">
        <w:rPr>
          <w:rStyle w:val="fdo"/>
        </w:rPr>
        <w:t xml:space="preserve">GraphPad Software, San Diego California USA). </w:t>
      </w:r>
      <w:r w:rsidRPr="00FB65D7">
        <w:t xml:space="preserve">Responses during </w:t>
      </w:r>
      <w:r w:rsidR="00587764">
        <w:t>moderate-</w:t>
      </w:r>
      <w:r w:rsidRPr="00FB65D7">
        <w:t xml:space="preserve">intensity walking were measured at 7-10, 17-20 and 27-30 min and averaged. Normality was tested with the Shapiro-Wilks normality test. Physiological and metabolic parameters for the three conditions (i.e. control, 14-D, and 14-EOD) were analysed using one-way repeated measures ANOVA with post-hoc </w:t>
      </w:r>
      <w:r w:rsidR="00E45624">
        <w:t>Tukey’s multiple comparison test</w:t>
      </w:r>
      <w:r w:rsidRPr="00FB65D7">
        <w:t xml:space="preserve">. </w:t>
      </w:r>
      <w:r w:rsidRPr="00FB65D7">
        <w:rPr>
          <w:rFonts w:eastAsia="SimSun"/>
          <w:color w:val="000000"/>
        </w:rPr>
        <w:t xml:space="preserve">Pearson correlation coefficients were calculated and tested for relationships between body mass index, body fat % and habitual </w:t>
      </w:r>
      <w:r w:rsidR="00195965">
        <w:rPr>
          <w:rFonts w:eastAsia="SimSun"/>
          <w:color w:val="000000"/>
        </w:rPr>
        <w:t xml:space="preserve">dietary </w:t>
      </w:r>
      <w:r w:rsidRPr="00FB65D7">
        <w:rPr>
          <w:rFonts w:eastAsia="SimSun"/>
          <w:color w:val="000000"/>
        </w:rPr>
        <w:t xml:space="preserve">anthocyanin intake </w:t>
      </w:r>
      <w:r w:rsidR="00195965">
        <w:rPr>
          <w:rFonts w:eastAsia="SimSun"/>
          <w:color w:val="000000"/>
        </w:rPr>
        <w:t xml:space="preserve">(not </w:t>
      </w:r>
      <w:r w:rsidR="00C64D00">
        <w:rPr>
          <w:rFonts w:eastAsia="SimSun"/>
          <w:color w:val="000000"/>
        </w:rPr>
        <w:t xml:space="preserve">considering </w:t>
      </w:r>
      <w:r w:rsidR="00195965">
        <w:rPr>
          <w:rFonts w:eastAsia="SimSun"/>
          <w:color w:val="000000"/>
        </w:rPr>
        <w:t xml:space="preserve">supplementation) </w:t>
      </w:r>
      <w:r w:rsidRPr="00FB65D7">
        <w:rPr>
          <w:rFonts w:eastAsia="SimSun"/>
          <w:color w:val="000000"/>
        </w:rPr>
        <w:t xml:space="preserve">and changes of exercise-induced fat oxidation in the 14-D condition. </w:t>
      </w:r>
      <w:r w:rsidRPr="00FB65D7">
        <w:t>All data are reported as mean±SD</w:t>
      </w:r>
      <w:r w:rsidR="00684A4C">
        <w:t xml:space="preserve"> umless stated otherwise</w:t>
      </w:r>
      <w:r w:rsidRPr="00FB65D7">
        <w:t xml:space="preserve"> and significance was accepted at P&lt;0.05. </w:t>
      </w:r>
      <w:r w:rsidRPr="00FB65D7">
        <w:rPr>
          <w:rFonts w:eastAsia="SimSun"/>
          <w:color w:val="000000"/>
        </w:rPr>
        <w:t xml:space="preserve">When significance was obtained, Cohen’s d effect sizes were calculated </w:t>
      </w:r>
      <w:r w:rsidRPr="003A49FD">
        <w:rPr>
          <w:rFonts w:eastAsia="SimSun"/>
          <w:color w:val="000000"/>
        </w:rPr>
        <w:t>(small: 0.2≤d&lt;0.5; moderate: 0.5≤d≤0.79; large: d≥0.8).</w:t>
      </w:r>
      <w:r w:rsidR="00A060A7" w:rsidRPr="003A49FD">
        <w:rPr>
          <w:rFonts w:eastAsia="SimSun"/>
          <w:color w:val="000000"/>
        </w:rPr>
        <w:t xml:space="preserve"> </w:t>
      </w:r>
      <w:r w:rsidR="003A49FD" w:rsidRPr="003A49FD">
        <w:rPr>
          <w:color w:val="FF0000"/>
        </w:rPr>
        <w:t>A power analysis for sample size indicated recru</w:t>
      </w:r>
      <w:r w:rsidR="003A49FD">
        <w:rPr>
          <w:color w:val="FF0000"/>
        </w:rPr>
        <w:t>it</w:t>
      </w:r>
      <w:r w:rsidR="003A49FD" w:rsidRPr="003A49FD">
        <w:rPr>
          <w:color w:val="FF0000"/>
        </w:rPr>
        <w:t xml:space="preserve">ment of 13 to allow a detection of a 15% increase in fat oxidation from a </w:t>
      </w:r>
      <w:r w:rsidR="00684A4C">
        <w:rPr>
          <w:color w:val="FF0000"/>
        </w:rPr>
        <w:t>normal</w:t>
      </w:r>
      <w:r w:rsidR="003A49FD" w:rsidRPr="003A49FD">
        <w:rPr>
          <w:color w:val="FF0000"/>
        </w:rPr>
        <w:t xml:space="preserve"> value of fat oxidation of 0.24 g·min</w:t>
      </w:r>
      <w:r w:rsidR="003A49FD" w:rsidRPr="00684A4C">
        <w:rPr>
          <w:color w:val="FF0000"/>
          <w:vertAlign w:val="superscript"/>
        </w:rPr>
        <w:t>-1</w:t>
      </w:r>
      <w:r w:rsidR="003A49FD" w:rsidRPr="003A49FD">
        <w:rPr>
          <w:color w:val="FF0000"/>
        </w:rPr>
        <w:t xml:space="preserve"> (Dasilva et al. 2011) with high statistical power (1−β = 0.80: 0.05 = α level).</w:t>
      </w:r>
      <w:r w:rsidR="003A49FD">
        <w:rPr>
          <w:color w:val="FF0000"/>
        </w:rPr>
        <w:t xml:space="preserve"> Our s</w:t>
      </w:r>
      <w:r w:rsidR="00A060A7" w:rsidRPr="003A49FD">
        <w:rPr>
          <w:rFonts w:eastAsia="SimSun"/>
          <w:color w:val="000000"/>
        </w:rPr>
        <w:t>ample size of 16 was comparable</w:t>
      </w:r>
      <w:r w:rsidR="00A060A7">
        <w:rPr>
          <w:rFonts w:eastAsia="SimSun"/>
          <w:color w:val="000000"/>
        </w:rPr>
        <w:t xml:space="preserve"> to studies with blackcurrant effects on exercise-induced fat oxidation (e.g. Cook et al. 2015: n=</w:t>
      </w:r>
      <w:r w:rsidR="00463D1C">
        <w:rPr>
          <w:rFonts w:eastAsia="SimSun"/>
          <w:color w:val="000000"/>
        </w:rPr>
        <w:t>14;  Strauss et al. 2018: n=16).</w:t>
      </w:r>
    </w:p>
    <w:p w14:paraId="73F5D4CA" w14:textId="77777777" w:rsidR="00874959" w:rsidRPr="00FB65D7" w:rsidRDefault="00874959" w:rsidP="00F94E41">
      <w:pPr>
        <w:spacing w:line="480" w:lineRule="auto"/>
        <w:rPr>
          <w:b/>
          <w:lang w:val="en-US"/>
        </w:rPr>
      </w:pPr>
    </w:p>
    <w:p w14:paraId="38F12C84" w14:textId="77777777" w:rsidR="009F5F96" w:rsidRPr="00FB65D7" w:rsidRDefault="009F5F96" w:rsidP="00F94E41">
      <w:pPr>
        <w:spacing w:line="480" w:lineRule="auto"/>
        <w:rPr>
          <w:b/>
          <w:color w:val="0000FF"/>
          <w:lang w:val="en-GB"/>
        </w:rPr>
      </w:pPr>
      <w:r w:rsidRPr="00FB65D7">
        <w:rPr>
          <w:b/>
          <w:lang w:val="en-GB"/>
        </w:rPr>
        <w:t>Results</w:t>
      </w:r>
    </w:p>
    <w:p w14:paraId="1745836C" w14:textId="77777777" w:rsidR="00BB1EFF" w:rsidRPr="00FB65D7" w:rsidRDefault="00BB1EFF" w:rsidP="00F94E41">
      <w:pPr>
        <w:spacing w:line="480" w:lineRule="auto"/>
        <w:rPr>
          <w:b/>
          <w:bCs/>
        </w:rPr>
      </w:pPr>
      <w:r w:rsidRPr="00FB65D7">
        <w:rPr>
          <w:b/>
          <w:bCs/>
        </w:rPr>
        <w:t>Intensity of the 30-min treadmill walk and physiological responses</w:t>
      </w:r>
    </w:p>
    <w:p w14:paraId="60CF73F0" w14:textId="77777777" w:rsidR="00BB1EFF" w:rsidRPr="00FB65D7" w:rsidRDefault="00BB1EFF" w:rsidP="00F94E41">
      <w:pPr>
        <w:spacing w:line="480" w:lineRule="auto"/>
        <w:ind w:firstLine="708"/>
      </w:pPr>
      <w:r w:rsidRPr="00FB65D7">
        <w:t>For the treadmill walking conditions, there were no differences in oxygen uptake (control: 1.50±0.30 L·min</w:t>
      </w:r>
      <w:r w:rsidRPr="00FB65D7">
        <w:rPr>
          <w:vertAlign w:val="superscript"/>
        </w:rPr>
        <w:t>-1</w:t>
      </w:r>
      <w:r w:rsidRPr="00FB65D7">
        <w:t>, 95% CI [1.33, 1.66]; 14-D: 1.51±0.34 L·min</w:t>
      </w:r>
      <w:r w:rsidRPr="00FB65D7">
        <w:rPr>
          <w:vertAlign w:val="superscript"/>
        </w:rPr>
        <w:t>-1</w:t>
      </w:r>
      <w:r w:rsidRPr="00FB65D7">
        <w:t>, 95% CI [1.33, 1.70]; 14-EOD: 1.52±0.32 L·min</w:t>
      </w:r>
      <w:r w:rsidRPr="00FB65D7">
        <w:rPr>
          <w:vertAlign w:val="superscript"/>
        </w:rPr>
        <w:t>-1</w:t>
      </w:r>
      <w:r w:rsidRPr="00FB65D7">
        <w:t xml:space="preserve">, 95% CI [1.35, 1.69]; one-way ANOVA: P=0.49). As a consequence, the exercise intensity expressed as a MET value for the 30-min treadmill walk was similar for the experimental conditions (control: 5.2±0.7, 95% CI [4.8, 5.5]; 14-D: 5.2±0.8, 95% CI [4.8, 5.6]; 14-EOD: 5.3±0.7, 95% CI [4.9, 5.7]; Kruskal-Wallis test: P=0.67), indicating the planned matched </w:t>
      </w:r>
      <w:r w:rsidR="00587764">
        <w:t>moderate-</w:t>
      </w:r>
      <w:r w:rsidRPr="00FB65D7">
        <w:t>intensity for the 30-min treadmill walk.</w:t>
      </w:r>
    </w:p>
    <w:p w14:paraId="119FB6C0" w14:textId="4214FCF3" w:rsidR="00BB1EFF" w:rsidRPr="00FB65D7" w:rsidRDefault="00BB1EFF" w:rsidP="00F94E41">
      <w:pPr>
        <w:spacing w:line="480" w:lineRule="auto"/>
        <w:ind w:firstLine="708"/>
        <w:rPr>
          <w:b/>
          <w:bCs/>
          <w:i/>
          <w:iCs/>
        </w:rPr>
      </w:pPr>
      <w:r w:rsidRPr="00FB65D7">
        <w:t xml:space="preserve">During the 30-min of </w:t>
      </w:r>
      <w:r w:rsidR="00587764">
        <w:t>moderate-</w:t>
      </w:r>
      <w:r w:rsidRPr="00FB65D7">
        <w:t>intensity treadmill walk</w:t>
      </w:r>
      <w:r w:rsidR="00684A4C">
        <w:t>ing</w:t>
      </w:r>
      <w:r w:rsidRPr="00FB65D7">
        <w:t xml:space="preserve">, there were no effects </w:t>
      </w:r>
      <w:r w:rsidR="00684A4C">
        <w:t>for</w:t>
      </w:r>
      <w:r w:rsidRPr="00FB65D7">
        <w:t xml:space="preserve"> daily and every-other-day intake of New Zealand blackcurrant extract on heart rate (control: 101±17 beats·min</w:t>
      </w:r>
      <w:r w:rsidRPr="00FB65D7">
        <w:rPr>
          <w:vertAlign w:val="superscript"/>
        </w:rPr>
        <w:t>-1</w:t>
      </w:r>
      <w:r w:rsidRPr="00FB65D7">
        <w:t>, 95% CI [92, 111]; 14-D: 101±18 beats·min</w:t>
      </w:r>
      <w:r w:rsidRPr="00FB65D7">
        <w:rPr>
          <w:vertAlign w:val="superscript"/>
        </w:rPr>
        <w:t>-1</w:t>
      </w:r>
      <w:r w:rsidRPr="00FB65D7">
        <w:t>, 95% CI [91, 111]; 14-EOD: 101±18 beats·min</w:t>
      </w:r>
      <w:r w:rsidRPr="00FB65D7">
        <w:rPr>
          <w:vertAlign w:val="superscript"/>
        </w:rPr>
        <w:t>-1</w:t>
      </w:r>
      <w:r w:rsidRPr="00FB65D7">
        <w:t>, 95% CI [91, 111]; P=0.93), minute ventilation (control: 30.4±5.8 L·min</w:t>
      </w:r>
      <w:r w:rsidRPr="00FB65D7">
        <w:rPr>
          <w:vertAlign w:val="superscript"/>
        </w:rPr>
        <w:t>-1</w:t>
      </w:r>
      <w:r w:rsidRPr="00FB65D7">
        <w:t>, 95% CI [27.3, 33.5], 14-D: 30.8±6.5 L·min</w:t>
      </w:r>
      <w:r w:rsidRPr="00FB65D7">
        <w:rPr>
          <w:vertAlign w:val="superscript"/>
        </w:rPr>
        <w:t>-1</w:t>
      </w:r>
      <w:r w:rsidRPr="00FB65D7">
        <w:t>, 95% CI [27.4, 34.3]; 14-EOD: 31.2±6.1 L·min</w:t>
      </w:r>
      <w:r w:rsidRPr="00FB65D7">
        <w:rPr>
          <w:vertAlign w:val="superscript"/>
        </w:rPr>
        <w:t>-1</w:t>
      </w:r>
      <w:r w:rsidRPr="00FB65D7">
        <w:t>, 95% CI [28.0, 34.5]; P=0.21), and carbon dioxide production (control: 1.28±0.29 L·min</w:t>
      </w:r>
      <w:r w:rsidRPr="00FB65D7">
        <w:rPr>
          <w:vertAlign w:val="superscript"/>
        </w:rPr>
        <w:t>-1</w:t>
      </w:r>
      <w:r w:rsidRPr="00FB65D7">
        <w:t>, 95% CI [1.13, 1.43]; 14-D: 1.27±0.30 L·min</w:t>
      </w:r>
      <w:r w:rsidRPr="00FB65D7">
        <w:rPr>
          <w:vertAlign w:val="superscript"/>
        </w:rPr>
        <w:t>-1</w:t>
      </w:r>
      <w:r w:rsidRPr="00FB65D7">
        <w:t>, 95% CI [1.11, 1.43]; 14-EOD: 1.29±0.29 L·min</w:t>
      </w:r>
      <w:r w:rsidRPr="00FB65D7">
        <w:rPr>
          <w:vertAlign w:val="superscript"/>
        </w:rPr>
        <w:t>-1</w:t>
      </w:r>
      <w:r w:rsidRPr="00FB65D7">
        <w:t>, 95% CI [1.14, 1.45]; P=0.41).</w:t>
      </w:r>
    </w:p>
    <w:p w14:paraId="3732A131" w14:textId="77777777" w:rsidR="00BB1EFF" w:rsidRPr="00FB65D7" w:rsidRDefault="00BB1EFF" w:rsidP="00F94E41">
      <w:pPr>
        <w:spacing w:line="480" w:lineRule="auto"/>
        <w:rPr>
          <w:b/>
          <w:bCs/>
        </w:rPr>
      </w:pPr>
      <w:r w:rsidRPr="00FB65D7">
        <w:rPr>
          <w:b/>
          <w:bCs/>
        </w:rPr>
        <w:t>Metabolic responses and energy expenditure during the 30-min treadmill walk</w:t>
      </w:r>
    </w:p>
    <w:p w14:paraId="2C5EAC8B" w14:textId="0AA47822" w:rsidR="00BB1EFF" w:rsidRPr="00FB65D7" w:rsidRDefault="00BB1EFF" w:rsidP="00F94E41">
      <w:pPr>
        <w:spacing w:line="480" w:lineRule="auto"/>
        <w:ind w:firstLine="708"/>
      </w:pPr>
      <w:r w:rsidRPr="00FB65D7">
        <w:t xml:space="preserve">Whole-body fat oxidation during the 30-min treadmill walk was only enhanced </w:t>
      </w:r>
      <w:r w:rsidR="00EB2082">
        <w:t xml:space="preserve">for </w:t>
      </w:r>
      <w:r w:rsidRPr="00FB65D7">
        <w:t xml:space="preserve">the 14-day daily intake condition  (Fig </w:t>
      </w:r>
      <w:r w:rsidR="003A49FD">
        <w:t>2</w:t>
      </w:r>
      <w:r w:rsidRPr="00FB65D7">
        <w:t>A) (control: 95% CI [0.30, 0.42 g·min</w:t>
      </w:r>
      <w:r w:rsidRPr="00FB65D7">
        <w:rPr>
          <w:vertAlign w:val="superscript"/>
        </w:rPr>
        <w:t>-1</w:t>
      </w:r>
      <w:r w:rsidRPr="00FB65D7">
        <w:t>]; 14-D: 95% [0.34, 0.48 g·min</w:t>
      </w:r>
      <w:r w:rsidRPr="00FB65D7">
        <w:rPr>
          <w:vertAlign w:val="superscript"/>
        </w:rPr>
        <w:t>-1</w:t>
      </w:r>
      <w:r w:rsidRPr="00FB65D7">
        <w:t>]; 14-EOD: 95% CI [0.32, 0.43 g·min</w:t>
      </w:r>
      <w:r w:rsidRPr="00FB65D7">
        <w:rPr>
          <w:vertAlign w:val="superscript"/>
        </w:rPr>
        <w:t>-1</w:t>
      </w:r>
      <w:r w:rsidRPr="00FB65D7">
        <w:t>], one-way ANOVA: P=0.04) with an increase of 17±26% (post-hoc, P</w:t>
      </w:r>
      <w:r w:rsidR="00E45624">
        <w:t>&lt;0.05</w:t>
      </w:r>
      <w:r w:rsidRPr="00FB65D7">
        <w:t>), albeit with moderate effect size (d=0.40). Thirteen out of the 16 participants (~81%) had higher whole-body fat oxidation during walking with 14-day daily intake of NZBC extract, with 8 of those more than 10% change. In addition, there was a significant correlation between body mass index and body fat % and the a</w:t>
      </w:r>
      <w:r w:rsidRPr="00FB65D7">
        <w:rPr>
          <w:color w:val="000000"/>
        </w:rPr>
        <w:t>bsolute change in whole-body fat oxidation (r</w:t>
      </w:r>
      <w:r w:rsidRPr="00FB65D7">
        <w:rPr>
          <w:color w:val="000000"/>
          <w:vertAlign w:val="superscript"/>
        </w:rPr>
        <w:t>2</w:t>
      </w:r>
      <w:r w:rsidRPr="00FB65D7">
        <w:rPr>
          <w:color w:val="000000"/>
        </w:rPr>
        <w:t>=0.3968, P=0.009 and r</w:t>
      </w:r>
      <w:r w:rsidRPr="00FB65D7">
        <w:rPr>
          <w:color w:val="000000"/>
          <w:vertAlign w:val="superscript"/>
        </w:rPr>
        <w:t>2</w:t>
      </w:r>
      <w:r w:rsidRPr="00FB65D7">
        <w:rPr>
          <w:color w:val="000000"/>
        </w:rPr>
        <w:t>=0.5662, P&lt;0.001, respectively)</w:t>
      </w:r>
      <w:r w:rsidR="00674734">
        <w:rPr>
          <w:color w:val="000000"/>
        </w:rPr>
        <w:t xml:space="preserve">, </w:t>
      </w:r>
      <w:r w:rsidRPr="00FB65D7">
        <w:rPr>
          <w:color w:val="000000"/>
        </w:rPr>
        <w:t xml:space="preserve">but not between habitual </w:t>
      </w:r>
      <w:r w:rsidR="00195965">
        <w:rPr>
          <w:color w:val="000000"/>
        </w:rPr>
        <w:t xml:space="preserve">dietary </w:t>
      </w:r>
      <w:r w:rsidRPr="00FB65D7">
        <w:rPr>
          <w:color w:val="000000"/>
        </w:rPr>
        <w:t>anthocyanin intake and the absolute change in whole-body fat oxidation (r</w:t>
      </w:r>
      <w:r w:rsidRPr="00FB65D7">
        <w:rPr>
          <w:color w:val="000000"/>
          <w:vertAlign w:val="superscript"/>
        </w:rPr>
        <w:t>2</w:t>
      </w:r>
      <w:r w:rsidRPr="00FB65D7">
        <w:rPr>
          <w:color w:val="000000"/>
        </w:rPr>
        <w:t xml:space="preserve">=0.0010, P=0.91) (Fig. </w:t>
      </w:r>
      <w:r w:rsidR="003A49FD">
        <w:rPr>
          <w:color w:val="000000"/>
        </w:rPr>
        <w:t>3</w:t>
      </w:r>
      <w:r w:rsidRPr="00FB65D7">
        <w:rPr>
          <w:color w:val="000000"/>
        </w:rPr>
        <w:t xml:space="preserve">ABC). </w:t>
      </w:r>
      <w:bookmarkStart w:id="2" w:name="_Hlk50732377"/>
      <w:r w:rsidR="00195965">
        <w:rPr>
          <w:color w:val="000000"/>
        </w:rPr>
        <w:t>The habitual dietary intake of anthocyanins did not include anthocyanins obtained from NZBC extract supplementation.</w:t>
      </w:r>
      <w:bookmarkEnd w:id="2"/>
    </w:p>
    <w:p w14:paraId="470E1EDF" w14:textId="400BC9D1" w:rsidR="00BB1EFF" w:rsidRPr="00FB65D7" w:rsidRDefault="00BB1EFF" w:rsidP="00F94E41">
      <w:pPr>
        <w:spacing w:line="480" w:lineRule="auto"/>
        <w:ind w:firstLine="708"/>
      </w:pPr>
      <w:r w:rsidRPr="00FB65D7">
        <w:t xml:space="preserve">For whole-body carbohydrate oxidation, there was a trend for a difference between the experimental conditions (Fig. </w:t>
      </w:r>
      <w:r w:rsidR="003A49FD">
        <w:t>2</w:t>
      </w:r>
      <w:r w:rsidRPr="00FB65D7">
        <w:t>B) (control: 95% CI [0.74, 1.17 g·min</w:t>
      </w:r>
      <w:r w:rsidRPr="00FB65D7">
        <w:rPr>
          <w:vertAlign w:val="superscript"/>
        </w:rPr>
        <w:t>-1</w:t>
      </w:r>
      <w:r w:rsidRPr="00FB65D7">
        <w:t>]; 14-D: 95% [0.68, 1.03 g·min</w:t>
      </w:r>
      <w:r w:rsidRPr="00FB65D7">
        <w:rPr>
          <w:vertAlign w:val="superscript"/>
        </w:rPr>
        <w:t>-1</w:t>
      </w:r>
      <w:r w:rsidRPr="00FB65D7">
        <w:t>]; 14-EOD: 95% CI [0.68, 1.03 g·min</w:t>
      </w:r>
      <w:r w:rsidRPr="00FB65D7">
        <w:rPr>
          <w:vertAlign w:val="superscript"/>
        </w:rPr>
        <w:t>-1</w:t>
      </w:r>
      <w:r w:rsidRPr="00FB65D7">
        <w:t>], one-way ANOVA: P=0.069) with only 14-day daily intake having decreased carbohydrate oxidation of 8±13% (post-hoc, 14-D: P</w:t>
      </w:r>
      <w:r w:rsidR="00E45624">
        <w:t>&lt;0.05</w:t>
      </w:r>
      <w:r w:rsidRPr="00FB65D7">
        <w:t xml:space="preserve">). Twelve out of 16 participants (75%) had lower carbohydrate oxidation during </w:t>
      </w:r>
      <w:r w:rsidR="00587764">
        <w:t>moderate-</w:t>
      </w:r>
      <w:r w:rsidRPr="00FB65D7">
        <w:t>intensity treadmill walking with 14-day daily intake of NZBC extract.</w:t>
      </w:r>
    </w:p>
    <w:p w14:paraId="03C32AB4" w14:textId="1F4A2D05" w:rsidR="00BB1EFF" w:rsidRPr="00FB65D7" w:rsidRDefault="00BB1EFF" w:rsidP="00F94E41">
      <w:pPr>
        <w:spacing w:line="480" w:lineRule="auto"/>
        <w:ind w:firstLine="708"/>
      </w:pPr>
      <w:r w:rsidRPr="00FB65D7">
        <w:t xml:space="preserve">There was a trend for RER to be different between the experimental conditions </w:t>
      </w:r>
      <w:r w:rsidR="00CE592F">
        <w:t>(</w:t>
      </w:r>
      <w:r w:rsidRPr="00FB65D7">
        <w:t xml:space="preserve">Fig. </w:t>
      </w:r>
      <w:r w:rsidR="003A49FD">
        <w:t>2</w:t>
      </w:r>
      <w:r w:rsidRPr="00FB65D7">
        <w:t>C) (control: 95% CI [0.827, 0.876]; 14-D: 95% [0.817, 0.857]; 14-EOD: 95% CI [0.831, 0.868], one-way ANOVA, P=0.064) with only the 14-day daily intake 0.015 lower units (post-hoc, 14-D: P</w:t>
      </w:r>
      <w:r w:rsidR="00E45624">
        <w:t>&lt;0.05</w:t>
      </w:r>
      <w:r w:rsidRPr="00FB65D7">
        <w:t xml:space="preserve">). Twelve out of 16 participants (75%) had lower RER values during </w:t>
      </w:r>
      <w:r w:rsidR="00587764">
        <w:t>moderate-</w:t>
      </w:r>
      <w:r w:rsidRPr="00FB65D7">
        <w:t>intensity treadmill walking with 14-day daily intake of NZBC extract.</w:t>
      </w:r>
    </w:p>
    <w:p w14:paraId="7149FF20" w14:textId="7BADE757" w:rsidR="00FB65D7" w:rsidRDefault="00BB1EFF" w:rsidP="00F94E41">
      <w:pPr>
        <w:spacing w:line="480" w:lineRule="auto"/>
        <w:ind w:firstLine="708"/>
      </w:pPr>
      <w:r w:rsidRPr="00FB65D7">
        <w:t xml:space="preserve">During the 30-min of </w:t>
      </w:r>
      <w:r w:rsidR="00587764">
        <w:t>moderate-</w:t>
      </w:r>
      <w:r w:rsidRPr="00FB65D7">
        <w:t xml:space="preserve">intensity walking, there was no effect of daily and </w:t>
      </w:r>
      <w:bookmarkStart w:id="3" w:name="OLE_LINK1"/>
      <w:r w:rsidRPr="00FB65D7">
        <w:t>every-other-day</w:t>
      </w:r>
      <w:bookmarkEnd w:id="3"/>
      <w:r w:rsidRPr="00FB65D7">
        <w:t xml:space="preserve"> intake of New Zealand blackcurrant extract on energy expenditure (Fig. </w:t>
      </w:r>
      <w:r w:rsidR="003A49FD">
        <w:t>2</w:t>
      </w:r>
      <w:r w:rsidRPr="00FB65D7">
        <w:t>D) (control: 95% CI [6.59, 8.20 kcal·min</w:t>
      </w:r>
      <w:r w:rsidRPr="00FB65D7">
        <w:rPr>
          <w:vertAlign w:val="superscript"/>
        </w:rPr>
        <w:t>-1</w:t>
      </w:r>
      <w:r w:rsidRPr="00FB65D7">
        <w:t>]; 14-D: 95% CI [6.56, 8.34 kcal·min</w:t>
      </w:r>
      <w:r w:rsidRPr="00FB65D7">
        <w:rPr>
          <w:vertAlign w:val="superscript"/>
        </w:rPr>
        <w:t>-1</w:t>
      </w:r>
      <w:r w:rsidRPr="00FB65D7">
        <w:t>]; 14-EOD: 95% CI [6.67; 8.35 kcal·min</w:t>
      </w:r>
      <w:r w:rsidRPr="00FB65D7">
        <w:rPr>
          <w:vertAlign w:val="superscript"/>
        </w:rPr>
        <w:t>-1</w:t>
      </w:r>
      <w:r w:rsidRPr="00FB65D7">
        <w:t>]; one-way ANOVA, P=0.54).</w:t>
      </w:r>
    </w:p>
    <w:p w14:paraId="3ECD5042" w14:textId="77777777" w:rsidR="00FB65D7" w:rsidRDefault="00BB1EFF" w:rsidP="00F94E41">
      <w:pPr>
        <w:spacing w:line="480" w:lineRule="auto"/>
      </w:pPr>
      <w:r w:rsidRPr="00FB65D7">
        <w:rPr>
          <w:b/>
          <w:bCs/>
        </w:rPr>
        <w:t>Rating of perceived exertion during the 30-min treadmill walk</w:t>
      </w:r>
    </w:p>
    <w:p w14:paraId="658CC186" w14:textId="73A3BAB2" w:rsidR="009F5F96" w:rsidRPr="00FB65D7" w:rsidRDefault="00BB1EFF" w:rsidP="00F94E41">
      <w:pPr>
        <w:spacing w:line="480" w:lineRule="auto"/>
        <w:ind w:firstLine="708"/>
      </w:pPr>
      <w:r w:rsidRPr="00FB65D7">
        <w:t xml:space="preserve">Rating of perceived exertion was lower with 14-day daily and every-other-day intake of NZBC extract during </w:t>
      </w:r>
      <w:r w:rsidR="00587764">
        <w:t>moderate-</w:t>
      </w:r>
      <w:r w:rsidRPr="00FB65D7">
        <w:t>intensity treadmill walking (control: 11.1±2.2, 95% CI [9.9, 12.2]; 14-D: 10.3±2.0, 95% CI [9.2, 11.3]; 14-EOD: 10.5±2.0, 95% CI [9.4, 11.6] (ANOVA: P=0.002)</w:t>
      </w:r>
      <w:r w:rsidR="00674734">
        <w:t xml:space="preserve"> </w:t>
      </w:r>
      <w:r w:rsidR="00674734" w:rsidRPr="00FB65D7">
        <w:t>(post-hoc, 14-D</w:t>
      </w:r>
      <w:r w:rsidR="001C618A">
        <w:t xml:space="preserve"> and</w:t>
      </w:r>
      <w:r w:rsidR="00674734" w:rsidRPr="00FB65D7">
        <w:t>14-EOD</w:t>
      </w:r>
      <w:r w:rsidR="00EB2082">
        <w:t xml:space="preserve"> both</w:t>
      </w:r>
      <w:r w:rsidR="00674734" w:rsidRPr="00FB65D7">
        <w:t xml:space="preserve"> P</w:t>
      </w:r>
      <w:r w:rsidR="001C618A">
        <w:t>&lt;0.05</w:t>
      </w:r>
      <w:r w:rsidR="00674734" w:rsidRPr="00FB65D7">
        <w:t>)</w:t>
      </w:r>
      <w:r w:rsidR="001C618A">
        <w:t>.</w:t>
      </w:r>
    </w:p>
    <w:p w14:paraId="63E931CE" w14:textId="77777777" w:rsidR="009F5F96" w:rsidRPr="00FB65D7" w:rsidRDefault="009F5F96" w:rsidP="00F94E41">
      <w:pPr>
        <w:pStyle w:val="BodyText"/>
        <w:spacing w:line="480" w:lineRule="auto"/>
        <w:jc w:val="center"/>
        <w:rPr>
          <w:b/>
          <w:bCs/>
          <w:color w:val="auto"/>
        </w:rPr>
      </w:pPr>
    </w:p>
    <w:p w14:paraId="04289CE8" w14:textId="77777777" w:rsidR="009F5F96" w:rsidRPr="00FB65D7" w:rsidRDefault="009F5F96" w:rsidP="00F94E41">
      <w:pPr>
        <w:spacing w:line="480" w:lineRule="auto"/>
        <w:rPr>
          <w:lang w:val="en-GB"/>
        </w:rPr>
      </w:pPr>
      <w:r w:rsidRPr="00FB65D7">
        <w:rPr>
          <w:b/>
          <w:bCs/>
          <w:lang w:val="en-GB"/>
        </w:rPr>
        <w:t>Discussion</w:t>
      </w:r>
    </w:p>
    <w:p w14:paraId="2518276E" w14:textId="7F24C5B1" w:rsidR="00BB1EFF" w:rsidRPr="00FB65D7" w:rsidRDefault="00BB1EFF" w:rsidP="00F94E41">
      <w:pPr>
        <w:spacing w:line="480" w:lineRule="auto"/>
      </w:pPr>
      <w:r w:rsidRPr="00FB65D7">
        <w:t xml:space="preserve">This is the first study that addressed whether every-other-day </w:t>
      </w:r>
      <w:r w:rsidR="00EB2082">
        <w:t xml:space="preserve">intake </w:t>
      </w:r>
      <w:r w:rsidRPr="00FB65D7">
        <w:t xml:space="preserve">of an anthocyanin-rich supplement was able to be effective on physiological and metabolic responses during </w:t>
      </w:r>
      <w:r w:rsidR="00587764">
        <w:t>moderate-</w:t>
      </w:r>
      <w:r w:rsidRPr="00FB65D7">
        <w:t>intensity walking compared to daily intake. The rationale for examining intake every-other-day was based on the observations of bioavailability of anthocyanin-derived metabolites</w:t>
      </w:r>
      <w:r w:rsidR="008712D4">
        <w:t xml:space="preserve"> (Czank </w:t>
      </w:r>
      <w:r w:rsidR="006501C3">
        <w:t>et al.</w:t>
      </w:r>
      <w:r w:rsidR="008712D4">
        <w:t xml:space="preserve"> 2013; </w:t>
      </w:r>
      <w:r w:rsidR="008712D4" w:rsidRPr="00FB65D7">
        <w:t xml:space="preserve">De Ferrars </w:t>
      </w:r>
      <w:r w:rsidR="006501C3">
        <w:t>et al.</w:t>
      </w:r>
      <w:r w:rsidR="008712D4">
        <w:t xml:space="preserve"> 2014)</w:t>
      </w:r>
      <w:r w:rsidRPr="00FB65D7">
        <w:t>. Czank et al.</w:t>
      </w:r>
      <w:r w:rsidR="008712D4">
        <w:t xml:space="preserve"> (2013)</w:t>
      </w:r>
      <w:r w:rsidRPr="00FB65D7">
        <w:t xml:space="preserve"> provided the evidence in humans that anthocyanin-derived metabolites by intake of cyanidin-3-glucoside, an anthocyanin present in blackcurrant, were detectable up to 48 hrs. In addition, De Ferrars et al.</w:t>
      </w:r>
      <w:r w:rsidR="008C5E2D">
        <w:t xml:space="preserve"> (2014)</w:t>
      </w:r>
      <w:r w:rsidRPr="00FB65D7">
        <w:t xml:space="preserve"> showed that some metabolites (e.g. ferulic acid) had half-lives up to 96 hr. Interestingly, dietary intake of ferulic acid has been suggested to be useful for obesity and obesity related diseases</w:t>
      </w:r>
      <w:r w:rsidR="008C5E2D">
        <w:t xml:space="preserve"> (Wang </w:t>
      </w:r>
      <w:r w:rsidR="006501C3">
        <w:t>et al.</w:t>
      </w:r>
      <w:r w:rsidR="008C5E2D">
        <w:t xml:space="preserve"> 2019)</w:t>
      </w:r>
      <w:r w:rsidRPr="00FB65D7">
        <w:t>, and could reduce adipocyte tissue mass</w:t>
      </w:r>
      <w:r w:rsidR="00B0061B">
        <w:t xml:space="preserve"> (Koh </w:t>
      </w:r>
      <w:r w:rsidR="006501C3">
        <w:t>et al.</w:t>
      </w:r>
      <w:r w:rsidR="00B0061B">
        <w:t xml:space="preserve"> 2017)</w:t>
      </w:r>
      <w:r w:rsidRPr="00FB65D7">
        <w:t>. However, ferulic acid is just one of many cyanidin-3-</w:t>
      </w:r>
      <w:r w:rsidRPr="00FB65D7">
        <w:rPr>
          <w:i/>
          <w:iCs/>
        </w:rPr>
        <w:t>O</w:t>
      </w:r>
      <w:r w:rsidRPr="00FB65D7">
        <w:t>-glucoside derived metabolites</w:t>
      </w:r>
      <w:r w:rsidR="00B0061B">
        <w:t xml:space="preserve"> (</w:t>
      </w:r>
      <w:r w:rsidR="00B0061B" w:rsidRPr="00FB65D7">
        <w:rPr>
          <w:color w:val="000000"/>
        </w:rPr>
        <w:t>De Ferrars</w:t>
      </w:r>
      <w:r w:rsidR="00B0061B">
        <w:rPr>
          <w:color w:val="000000"/>
        </w:rPr>
        <w:t xml:space="preserve"> </w:t>
      </w:r>
      <w:r w:rsidR="006501C3">
        <w:rPr>
          <w:color w:val="000000"/>
        </w:rPr>
        <w:t>et al.</w:t>
      </w:r>
      <w:r w:rsidR="00B0061B">
        <w:rPr>
          <w:color w:val="000000"/>
        </w:rPr>
        <w:t xml:space="preserve"> 2014</w:t>
      </w:r>
      <w:r w:rsidR="00B0061B">
        <w:t>)</w:t>
      </w:r>
      <w:r w:rsidRPr="00FB65D7">
        <w:t xml:space="preserve">. The maximal concentration or continued presence of the anthocyanin-derived metabolites play likely a decisive role to alter the mechanisms responsible for the changes in exercise-induced substrate oxidation. In the present study, intake every-other-day of NZBC extract (i.e. 7 doses over a period of two weeks) was not effective. This may suggest that the potential stimulus of anthocyanin-derived metabolites when NZBC extract was taken every-other-day was not sufficient to alter mechanisms involved with changing exercise-induced substrate oxidation. </w:t>
      </w:r>
      <w:bookmarkStart w:id="4" w:name="_Hlk50728200"/>
      <w:r w:rsidR="003A49FD">
        <w:t>A</w:t>
      </w:r>
      <w:r w:rsidR="007E42F4">
        <w:t xml:space="preserve"> limitation of the present study</w:t>
      </w:r>
      <w:r w:rsidR="003A49FD">
        <w:t>, however,</w:t>
      </w:r>
      <w:r w:rsidR="007E42F4">
        <w:t xml:space="preserve"> was the absence of observations on anthocyanin-derived metabolites</w:t>
      </w:r>
      <w:r w:rsidR="00965A7C">
        <w:t>.</w:t>
      </w:r>
      <w:r w:rsidR="007E42F4">
        <w:t xml:space="preserve"> </w:t>
      </w:r>
      <w:bookmarkEnd w:id="4"/>
      <w:r w:rsidRPr="00FB65D7">
        <w:t>In addition, because the final dose of NZBC extract, in both conditions (i.e. daily and every-other-day) was taken 2 hr before testing, the absence of an effect in the every-other-day condition suggests that the final dose of 210 mg of blackcurrant anthocyanins does not seem to contribute to the 14-day daily intake effects.</w:t>
      </w:r>
      <w:r w:rsidR="007249B3">
        <w:t xml:space="preserve"> </w:t>
      </w:r>
      <w:r w:rsidR="00CF21F5">
        <w:t>Furthermore, t</w:t>
      </w:r>
      <w:r w:rsidR="007249B3">
        <w:t xml:space="preserve">he absence of enhanced whole-body fat oxidation in the 14-every-other-day condition indicates that there is no acute effect of NZBC extract. </w:t>
      </w:r>
      <w:r w:rsidRPr="00FB65D7">
        <w:t xml:space="preserve">The principal findings from the present study are (1) daily NZBC extract intake is required to enhance exercise-induced fat oxidation, decrease carbohydrate oxidation, and lower RER during moderate-intensity walking, (2) the enhanced fat oxidation during </w:t>
      </w:r>
      <w:r w:rsidR="00587764">
        <w:t>moderate-</w:t>
      </w:r>
      <w:r w:rsidRPr="00FB65D7">
        <w:t xml:space="preserve">intensity walking in adult males by daily intake of NZBC extract was related to body mass index and body fat %  but not to habitual dietary intake of anthocyanins. </w:t>
      </w:r>
      <w:bookmarkStart w:id="5" w:name="_Hlk50710075"/>
      <w:r w:rsidR="001F28E3">
        <w:t xml:space="preserve">It needs to be noted that no supplementation was taken for the control condition, but we are not aware of fat and carbohydrate oxidation being affected intake of placebo supplementation. </w:t>
      </w:r>
      <w:bookmarkStart w:id="6" w:name="_Hlk50732815"/>
      <w:bookmarkEnd w:id="5"/>
      <w:r w:rsidR="00AD5FC5">
        <w:t>However, it is possible that the absence of a placebo condition affected the responses of the participants for the rating of perceived exertion during the 30-min walk.</w:t>
      </w:r>
      <w:bookmarkEnd w:id="6"/>
    </w:p>
    <w:p w14:paraId="2AAD74D0" w14:textId="3A2B6F0A" w:rsidR="00BB1EFF" w:rsidRPr="00FB65D7" w:rsidRDefault="00BB1EFF" w:rsidP="00F94E41">
      <w:pPr>
        <w:spacing w:line="480" w:lineRule="auto"/>
        <w:ind w:firstLine="708"/>
      </w:pPr>
      <w:r w:rsidRPr="00FB65D7">
        <w:t xml:space="preserve">Seven-day daily intake of NZBC extract (i.e. 7 doses) enhanced exercise-induced fat oxidation in endurance trained males by 27% during 10-min of cycling at 65% of </w:t>
      </w:r>
      <w:r w:rsidRPr="00FB65D7">
        <w:rPr>
          <w:i/>
          <w:iCs/>
        </w:rPr>
        <w:t>V̇</w:t>
      </w:r>
      <w:r w:rsidRPr="00FB65D7">
        <w:t>O2max</w:t>
      </w:r>
      <w:r w:rsidR="00B0061B">
        <w:t xml:space="preserve"> (Cook </w:t>
      </w:r>
      <w:r w:rsidR="006501C3">
        <w:t>et al.</w:t>
      </w:r>
      <w:r w:rsidR="00B0061B">
        <w:t xml:space="preserve"> 2015)</w:t>
      </w:r>
      <w:r w:rsidRPr="00FB65D7">
        <w:t xml:space="preserve"> and by 22% and 24% during 2-hr of cycling at 65%</w:t>
      </w:r>
      <w:r w:rsidRPr="00FB65D7">
        <w:rPr>
          <w:i/>
          <w:iCs/>
        </w:rPr>
        <w:t>V̇</w:t>
      </w:r>
      <w:r w:rsidRPr="00FB65D7">
        <w:t>O2max in endurance trained males</w:t>
      </w:r>
      <w:r w:rsidR="00B0061B">
        <w:t xml:space="preserve"> (Cook </w:t>
      </w:r>
      <w:r w:rsidR="006501C3">
        <w:t>et al.</w:t>
      </w:r>
      <w:r w:rsidR="00B0061B">
        <w:t xml:space="preserve"> 2017)</w:t>
      </w:r>
      <w:r w:rsidRPr="00FB65D7">
        <w:t xml:space="preserve"> and females</w:t>
      </w:r>
      <w:r w:rsidR="00B0061B">
        <w:t xml:space="preserve"> (Strauss </w:t>
      </w:r>
      <w:r w:rsidR="006501C3">
        <w:t>et al.</w:t>
      </w:r>
      <w:r w:rsidR="00B0061B">
        <w:t xml:space="preserve"> 2018)</w:t>
      </w:r>
      <w:r w:rsidRPr="00FB65D7">
        <w:t xml:space="preserve">, respectively. The observations in the present study confirms an enhancement of fat oxidation by 17% during </w:t>
      </w:r>
      <w:r w:rsidR="00587764">
        <w:t>moderate-</w:t>
      </w:r>
      <w:r w:rsidRPr="00FB65D7">
        <w:t xml:space="preserve">intensity walking in recreationally active males with 14-day daily intake of NZBC extract (i.e. 14 doses over a period of two weeks). Regular </w:t>
      </w:r>
      <w:r w:rsidR="00587764">
        <w:t>moderate-</w:t>
      </w:r>
      <w:r w:rsidRPr="00FB65D7">
        <w:t xml:space="preserve">intensity walking is recommended to obtain health benefits </w:t>
      </w:r>
      <w:r w:rsidR="00CF21F5">
        <w:t xml:space="preserve">as it can change </w:t>
      </w:r>
      <w:r w:rsidRPr="00FB65D7">
        <w:t>body composition. A recent systematic review on polyphenols and physical activity on body weight and fat did not contain studies with intake of anthocyanin-rich supplements</w:t>
      </w:r>
      <w:r w:rsidR="00B0061B">
        <w:t xml:space="preserve"> (Llaha </w:t>
      </w:r>
      <w:r w:rsidR="006501C3">
        <w:t>et al.</w:t>
      </w:r>
      <w:r w:rsidR="00B0061B">
        <w:t xml:space="preserve"> 2020)</w:t>
      </w:r>
      <w:r w:rsidRPr="00FB65D7">
        <w:t>. Future studies should examine long-term intake of anthocyanin-rich blackcurrant on body composition, in addition to whether fat oxidation at rest can be changed by intake of NZBC extract.</w:t>
      </w:r>
    </w:p>
    <w:p w14:paraId="5B671ED6" w14:textId="21BECF0B" w:rsidR="00BB1EFF" w:rsidRPr="00FB65D7" w:rsidRDefault="00BB1EFF" w:rsidP="00F94E41">
      <w:pPr>
        <w:spacing w:line="480" w:lineRule="auto"/>
        <w:ind w:firstLine="708"/>
      </w:pPr>
      <w:r w:rsidRPr="00FB65D7">
        <w:t xml:space="preserve">In the present study, the relationship between BMI and body fat % and changes in exercise-induced fat oxidation indicates a potential larger benefit of daily intake of NZBC extract for those individuals with unfavourable body composition. This may suggest that the sensitivity of adipose tissue to respond to anthocyanin and anthocyanin-derived metabolites differs between individuals. </w:t>
      </w:r>
      <w:bookmarkStart w:id="7" w:name="_Hlk50729842"/>
      <w:r w:rsidR="00965A7C">
        <w:t xml:space="preserve">It is also possible that interindividual differences exist for anthocyanin-derived metabolites due to the </w:t>
      </w:r>
      <w:r w:rsidR="00943705">
        <w:t>role of gut microbiota in metabolism of anthocyanins</w:t>
      </w:r>
      <w:r w:rsidR="004F77B6">
        <w:t xml:space="preserve"> (Eker et al. 2020)</w:t>
      </w:r>
      <w:r w:rsidR="00943705">
        <w:t xml:space="preserve">. </w:t>
      </w:r>
      <w:bookmarkEnd w:id="7"/>
      <w:r w:rsidR="00943705">
        <w:t>Nevertheless</w:t>
      </w:r>
      <w:r w:rsidRPr="00FB65D7">
        <w:t>, future work should address the potential of intake of NZBC extract in participants with a much a broader range of BMI and body fat % values, as our convenience sample only included one participant in the obese category.</w:t>
      </w:r>
    </w:p>
    <w:p w14:paraId="1E16D854" w14:textId="427C8AC8" w:rsidR="00BB1EFF" w:rsidRPr="00FB65D7" w:rsidRDefault="00BB1EFF" w:rsidP="00F94E41">
      <w:pPr>
        <w:spacing w:line="480" w:lineRule="auto"/>
        <w:ind w:firstLine="708"/>
      </w:pPr>
      <w:r w:rsidRPr="00FB65D7">
        <w:t xml:space="preserve">Epidemiological studies have quantified the anthocyanin </w:t>
      </w:r>
      <w:r w:rsidR="00CF21F5">
        <w:t xml:space="preserve">dietary </w:t>
      </w:r>
      <w:r w:rsidRPr="00FB65D7">
        <w:t>intake in the general population and the importance of anthocyanin intake to obtain health benefits is recognized</w:t>
      </w:r>
      <w:r w:rsidR="00B0061B">
        <w:t xml:space="preserve"> (Cassidy </w:t>
      </w:r>
      <w:r w:rsidR="006501C3">
        <w:t>et al.</w:t>
      </w:r>
      <w:r w:rsidR="00B0061B">
        <w:t xml:space="preserve"> 2011)</w:t>
      </w:r>
      <w:r w:rsidRPr="00FB65D7">
        <w:t xml:space="preserve">. Habitual </w:t>
      </w:r>
      <w:r w:rsidR="007B0954">
        <w:t xml:space="preserve">dietary </w:t>
      </w:r>
      <w:r w:rsidRPr="00FB65D7">
        <w:t>anthocyanin intake, however, did not affect the changes in exercise-induced fat oxidation</w:t>
      </w:r>
      <w:r w:rsidR="00CF21F5">
        <w:t xml:space="preserve"> by daily intake of blackcurrant anthocyanins</w:t>
      </w:r>
      <w:r w:rsidRPr="00FB65D7">
        <w:t xml:space="preserve">. This seems to suggest that having a low habitual </w:t>
      </w:r>
      <w:r w:rsidR="007B0954">
        <w:t xml:space="preserve">dietary </w:t>
      </w:r>
      <w:r w:rsidRPr="00FB65D7">
        <w:t xml:space="preserve">anthocyanin intake makes individuals not more responsive to anthocyanin-rich blackcurrant extract. </w:t>
      </w:r>
    </w:p>
    <w:p w14:paraId="6D75C729" w14:textId="77777777" w:rsidR="009F5F96" w:rsidRPr="00FB65D7" w:rsidRDefault="009F5F96" w:rsidP="00F94E41">
      <w:pPr>
        <w:pStyle w:val="BodyText"/>
        <w:spacing w:line="480" w:lineRule="auto"/>
        <w:ind w:left="1416" w:firstLine="708"/>
        <w:jc w:val="both"/>
        <w:rPr>
          <w:i/>
        </w:rPr>
      </w:pPr>
    </w:p>
    <w:p w14:paraId="5A665605" w14:textId="77777777" w:rsidR="009F5F96" w:rsidRPr="00FB65D7" w:rsidRDefault="009F5F96" w:rsidP="00F94E41">
      <w:pPr>
        <w:pStyle w:val="BodyText"/>
        <w:spacing w:line="480" w:lineRule="auto"/>
        <w:rPr>
          <w:b/>
          <w:bCs/>
          <w:caps/>
          <w:color w:val="auto"/>
        </w:rPr>
      </w:pPr>
      <w:r w:rsidRPr="00FB65D7">
        <w:rPr>
          <w:b/>
          <w:bCs/>
          <w:color w:val="auto"/>
        </w:rPr>
        <w:t>Conclusions</w:t>
      </w:r>
    </w:p>
    <w:p w14:paraId="22FEEDD6" w14:textId="40DCDBB2" w:rsidR="00EB515B" w:rsidRPr="00FB65D7" w:rsidRDefault="00605B6C" w:rsidP="00F94E41">
      <w:pPr>
        <w:spacing w:line="480" w:lineRule="auto"/>
        <w:ind w:firstLine="708"/>
        <w:rPr>
          <w:b/>
          <w:i/>
          <w:color w:val="0000FF"/>
          <w:lang w:val="en-GB"/>
        </w:rPr>
      </w:pPr>
      <w:r w:rsidRPr="00FB65D7">
        <w:t>It was concluded that 14-days daily intake of anthocyanin-rich N</w:t>
      </w:r>
      <w:r w:rsidR="008142AD">
        <w:t xml:space="preserve">ew Zealand blackcurrant </w:t>
      </w:r>
      <w:r w:rsidRPr="00FB65D7">
        <w:t xml:space="preserve">extract intake and not every-other-day in 14-days is required for enhancing fat oxidation during </w:t>
      </w:r>
      <w:r w:rsidR="00587764">
        <w:t>moderate-</w:t>
      </w:r>
      <w:r w:rsidRPr="00FB65D7">
        <w:t xml:space="preserve">intensity walking. Our observations also indicate that there is no acute effect of anthocyanin-rich </w:t>
      </w:r>
      <w:r w:rsidR="00CF21F5">
        <w:t xml:space="preserve">New Zealand blackcurrant </w:t>
      </w:r>
      <w:r w:rsidRPr="00FB65D7">
        <w:t xml:space="preserve">extract intake on fat oxidation during </w:t>
      </w:r>
      <w:r w:rsidR="00587764">
        <w:t>moderate-</w:t>
      </w:r>
      <w:r w:rsidRPr="00FB65D7">
        <w:t>intensity walking. Daily intake of anthocyanin-rich N</w:t>
      </w:r>
      <w:r w:rsidR="008657BD">
        <w:t>ew Zealand blackcurrant extract</w:t>
      </w:r>
      <w:r w:rsidRPr="00FB65D7">
        <w:t xml:space="preserve"> will probably increase the bioavailability of anthocyanin-derived metabolites that are required to alter the mechanisms responsible for metabolic responses during moderate-intensity exercise.</w:t>
      </w:r>
    </w:p>
    <w:p w14:paraId="28F6F36D" w14:textId="77777777" w:rsidR="00B32BBB" w:rsidRDefault="00B32BBB" w:rsidP="00B32BBB">
      <w:pPr>
        <w:pStyle w:val="BodyText3"/>
        <w:spacing w:line="480" w:lineRule="auto"/>
        <w:jc w:val="left"/>
        <w:rPr>
          <w:b w:val="0"/>
          <w:iCs/>
          <w:color w:val="0000FF"/>
          <w:u w:val="none"/>
          <w:lang w:val="en-GB"/>
        </w:rPr>
      </w:pPr>
    </w:p>
    <w:p w14:paraId="24E5576B" w14:textId="77777777" w:rsidR="00D40F8C" w:rsidRDefault="00D40F8C" w:rsidP="00D40F8C">
      <w:pPr>
        <w:spacing w:line="480" w:lineRule="auto"/>
        <w:rPr>
          <w:b/>
          <w:bCs/>
          <w:lang w:val="en-GB" w:eastAsia="en-GB"/>
        </w:rPr>
      </w:pPr>
      <w:r>
        <w:rPr>
          <w:b/>
        </w:rPr>
        <w:t>Acknowledgement</w:t>
      </w:r>
    </w:p>
    <w:p w14:paraId="0D576DE7" w14:textId="77777777" w:rsidR="00D40F8C" w:rsidRDefault="00D40F8C" w:rsidP="00D40F8C">
      <w:pPr>
        <w:spacing w:line="480" w:lineRule="auto"/>
      </w:pPr>
      <w:r>
        <w:t xml:space="preserve">MAS was supported by </w:t>
      </w:r>
      <w:r w:rsidRPr="008C59B3">
        <w:t xml:space="preserve">the Scientific and Technological Research Council </w:t>
      </w:r>
      <w:r w:rsidRPr="00B110B6">
        <w:t>of Turkey to conduct the study at the University of Chichester (UK).</w:t>
      </w:r>
      <w:r w:rsidRPr="008C59B3">
        <w:t xml:space="preserve"> Health Currancy (UK) Ltd and CurraNZ (NZ) Ltd </w:t>
      </w:r>
      <w:r>
        <w:t>provided supplementation.</w:t>
      </w:r>
    </w:p>
    <w:p w14:paraId="6E1FFC13" w14:textId="77777777" w:rsidR="00D40F8C" w:rsidRDefault="00D40F8C" w:rsidP="00D40F8C">
      <w:pPr>
        <w:spacing w:line="480" w:lineRule="auto"/>
        <w:rPr>
          <w:b/>
          <w:lang w:val="en-GB" w:eastAsia="en-GB"/>
        </w:rPr>
      </w:pPr>
    </w:p>
    <w:p w14:paraId="5C1657D7" w14:textId="77777777" w:rsidR="00D40F8C" w:rsidRDefault="00D40F8C" w:rsidP="00D40F8C">
      <w:pPr>
        <w:spacing w:line="480" w:lineRule="auto"/>
        <w:rPr>
          <w:lang w:val="en-GB" w:eastAsia="en-GB"/>
        </w:rPr>
      </w:pPr>
      <w:r>
        <w:rPr>
          <w:b/>
          <w:lang w:val="en-GB" w:eastAsia="en-GB"/>
        </w:rPr>
        <w:t>Declaration of interest</w:t>
      </w:r>
    </w:p>
    <w:p w14:paraId="6034C585" w14:textId="77777777" w:rsidR="00D40F8C" w:rsidRDefault="00D40F8C" w:rsidP="00D40F8C">
      <w:pPr>
        <w:pStyle w:val="NormalWeb"/>
        <w:spacing w:before="0" w:beforeAutospacing="0" w:after="0" w:afterAutospacing="0" w:line="480" w:lineRule="auto"/>
      </w:pPr>
      <w:r>
        <w:t>H</w:t>
      </w:r>
      <w:r w:rsidRPr="00B110B6">
        <w:t xml:space="preserve">ealth </w:t>
      </w:r>
      <w:proofErr w:type="spellStart"/>
      <w:r w:rsidRPr="00B110B6">
        <w:t>Currancy</w:t>
      </w:r>
      <w:proofErr w:type="spellEnd"/>
      <w:r w:rsidRPr="00B110B6">
        <w:t xml:space="preserve"> (UK) Ltd and </w:t>
      </w:r>
      <w:proofErr w:type="spellStart"/>
      <w:r w:rsidRPr="00B110B6">
        <w:t>CurraNZ</w:t>
      </w:r>
      <w:proofErr w:type="spellEnd"/>
      <w:r w:rsidRPr="00B110B6">
        <w:t xml:space="preserve"> (NZ) Ltd</w:t>
      </w:r>
      <w:r>
        <w:t xml:space="preserve"> provided supplementation. However, </w:t>
      </w:r>
      <w:r w:rsidRPr="00B110B6">
        <w:t xml:space="preserve">Health </w:t>
      </w:r>
      <w:proofErr w:type="spellStart"/>
      <w:r w:rsidRPr="00B110B6">
        <w:t>Currancy</w:t>
      </w:r>
      <w:proofErr w:type="spellEnd"/>
      <w:r w:rsidRPr="00B110B6">
        <w:t xml:space="preserve"> (UK) Ltd and </w:t>
      </w:r>
      <w:proofErr w:type="spellStart"/>
      <w:r w:rsidRPr="00B110B6">
        <w:t>CurraNZ</w:t>
      </w:r>
      <w:proofErr w:type="spellEnd"/>
      <w:r w:rsidRPr="00B110B6">
        <w:t xml:space="preserve"> (NZ) Ltd</w:t>
      </w:r>
      <w:r>
        <w:t xml:space="preserve"> but had no role in any aspect of the study and manuscript.</w:t>
      </w:r>
    </w:p>
    <w:p w14:paraId="638A672A" w14:textId="77777777" w:rsidR="00D40F8C" w:rsidRDefault="00D40F8C" w:rsidP="00B32BBB">
      <w:pPr>
        <w:pStyle w:val="BodyText3"/>
        <w:spacing w:line="480" w:lineRule="auto"/>
        <w:jc w:val="left"/>
        <w:rPr>
          <w:b w:val="0"/>
          <w:iCs/>
          <w:color w:val="0000FF"/>
          <w:u w:val="none"/>
          <w:lang w:val="en-GB"/>
        </w:rPr>
      </w:pPr>
    </w:p>
    <w:p w14:paraId="4FA4AD05" w14:textId="77777777" w:rsidR="00D51FDF" w:rsidRPr="00FB65D7" w:rsidRDefault="00B0061B" w:rsidP="00B0061B">
      <w:pPr>
        <w:spacing w:line="480" w:lineRule="auto"/>
        <w:outlineLvl w:val="0"/>
        <w:rPr>
          <w:b/>
          <w:lang w:val="en-GB"/>
        </w:rPr>
      </w:pPr>
      <w:r>
        <w:rPr>
          <w:b/>
          <w:lang w:val="en-GB"/>
        </w:rPr>
        <w:t>References</w:t>
      </w:r>
    </w:p>
    <w:p w14:paraId="7B8E6ED5" w14:textId="77777777" w:rsidR="009440B3" w:rsidRDefault="009440B3" w:rsidP="007A65C9">
      <w:pPr>
        <w:pStyle w:val="desc"/>
        <w:shd w:val="clear" w:color="auto" w:fill="FFFFFF"/>
        <w:spacing w:before="0" w:beforeAutospacing="0" w:after="0" w:afterAutospacing="0" w:line="480" w:lineRule="auto"/>
        <w:rPr>
          <w:bCs/>
          <w:color w:val="000000"/>
        </w:rPr>
      </w:pPr>
    </w:p>
    <w:p w14:paraId="223ECF4D" w14:textId="77777777" w:rsidR="00BC021F" w:rsidRPr="00857C17" w:rsidRDefault="00BC021F" w:rsidP="00BC021F">
      <w:pPr>
        <w:shd w:val="clear" w:color="auto" w:fill="FFFFFF"/>
        <w:spacing w:line="480" w:lineRule="auto"/>
        <w:rPr>
          <w:color w:val="575757"/>
        </w:rPr>
      </w:pPr>
      <w:r w:rsidRPr="00857C17">
        <w:rPr>
          <w:color w:val="000000"/>
        </w:rPr>
        <w:t>Alvarez-Suarez JM, Giampieri F, Tulipani S, Casoli T, Di Stefano G, González-Paramás AM, Santos-Buelga C, Busco F, Quiles JL, Cordero MD, Bompadre S, Mezzetti B, Battino M (2014) One-month strawberry rich anthocyanin supplementation ameliorates cardiovascular risk, o</w:t>
      </w:r>
      <w:r w:rsidRPr="00BC021F">
        <w:rPr>
          <w:color w:val="000000"/>
        </w:rPr>
        <w:t xml:space="preserve">xidative stress markers and platelet activation in humans. </w:t>
      </w:r>
      <w:r w:rsidRPr="00BC021F">
        <w:rPr>
          <w:iCs/>
          <w:color w:val="000000"/>
        </w:rPr>
        <w:t>J Nutr Biochem</w:t>
      </w:r>
      <w:r w:rsidRPr="00BC021F">
        <w:rPr>
          <w:color w:val="000000"/>
        </w:rPr>
        <w:t xml:space="preserve"> 25(3):289-294.</w:t>
      </w:r>
    </w:p>
    <w:p w14:paraId="5EA3826E" w14:textId="77777777" w:rsidR="009440B3" w:rsidRPr="007A65C9" w:rsidRDefault="009440B3" w:rsidP="009440B3">
      <w:pPr>
        <w:pStyle w:val="desc"/>
        <w:shd w:val="clear" w:color="auto" w:fill="FFFFFF"/>
        <w:spacing w:before="0" w:beforeAutospacing="0" w:after="0" w:afterAutospacing="0" w:line="480" w:lineRule="auto"/>
        <w:rPr>
          <w:color w:val="000000"/>
        </w:rPr>
      </w:pPr>
      <w:r w:rsidRPr="007A65C9">
        <w:rPr>
          <w:color w:val="000000"/>
        </w:rPr>
        <w:t>Bell PG, Walshe IH, Davison GW, Stevenson EJ, Howatson G (2015) Recovery facilitation with Montmorency cherries following high-</w:t>
      </w:r>
      <w:proofErr w:type="spellStart"/>
      <w:r w:rsidRPr="007A65C9">
        <w:rPr>
          <w:color w:val="000000"/>
        </w:rPr>
        <w:t>intensit</w:t>
      </w:r>
      <w:proofErr w:type="spellEnd"/>
      <w:r w:rsidRPr="007A65C9">
        <w:rPr>
          <w:color w:val="000000"/>
        </w:rPr>
        <w:t xml:space="preserve">, metabolically challenging exercise. </w:t>
      </w:r>
      <w:proofErr w:type="spellStart"/>
      <w:r w:rsidRPr="007A65C9">
        <w:rPr>
          <w:iCs/>
          <w:color w:val="000000"/>
        </w:rPr>
        <w:t>Appl</w:t>
      </w:r>
      <w:proofErr w:type="spellEnd"/>
      <w:r w:rsidRPr="007A65C9">
        <w:rPr>
          <w:iCs/>
          <w:color w:val="000000"/>
        </w:rPr>
        <w:t xml:space="preserve"> </w:t>
      </w:r>
      <w:proofErr w:type="spellStart"/>
      <w:r w:rsidRPr="007A65C9">
        <w:rPr>
          <w:iCs/>
          <w:color w:val="000000"/>
        </w:rPr>
        <w:t>Physiol</w:t>
      </w:r>
      <w:proofErr w:type="spellEnd"/>
      <w:r>
        <w:rPr>
          <w:iCs/>
          <w:color w:val="000000"/>
        </w:rPr>
        <w:t xml:space="preserve"> </w:t>
      </w:r>
      <w:proofErr w:type="spellStart"/>
      <w:r w:rsidRPr="007A65C9">
        <w:rPr>
          <w:iCs/>
          <w:color w:val="000000"/>
        </w:rPr>
        <w:t>Nutr</w:t>
      </w:r>
      <w:proofErr w:type="spellEnd"/>
      <w:r>
        <w:rPr>
          <w:iCs/>
          <w:color w:val="000000"/>
        </w:rPr>
        <w:t xml:space="preserve"> </w:t>
      </w:r>
      <w:proofErr w:type="spellStart"/>
      <w:r w:rsidRPr="007A65C9">
        <w:rPr>
          <w:iCs/>
          <w:color w:val="000000"/>
        </w:rPr>
        <w:t>Metab</w:t>
      </w:r>
      <w:proofErr w:type="spellEnd"/>
      <w:r>
        <w:rPr>
          <w:iCs/>
          <w:color w:val="000000"/>
        </w:rPr>
        <w:t xml:space="preserve"> </w:t>
      </w:r>
      <w:r w:rsidRPr="007A65C9">
        <w:rPr>
          <w:iCs/>
          <w:color w:val="000000"/>
        </w:rPr>
        <w:t>40(4)</w:t>
      </w:r>
      <w:r>
        <w:rPr>
          <w:color w:val="000000"/>
        </w:rPr>
        <w:t>:</w:t>
      </w:r>
      <w:r w:rsidRPr="007A65C9">
        <w:rPr>
          <w:color w:val="000000"/>
        </w:rPr>
        <w:t>414-423.</w:t>
      </w:r>
    </w:p>
    <w:p w14:paraId="41CF9E69" w14:textId="77777777" w:rsidR="00D40F8C" w:rsidRDefault="007A65C9" w:rsidP="00EE5AC2">
      <w:pPr>
        <w:pStyle w:val="desc"/>
        <w:shd w:val="clear" w:color="auto" w:fill="FFFFFF"/>
        <w:spacing w:before="0" w:beforeAutospacing="0" w:after="0" w:afterAutospacing="0" w:line="480" w:lineRule="auto"/>
        <w:rPr>
          <w:color w:val="000000"/>
        </w:rPr>
      </w:pPr>
      <w:r w:rsidRPr="007A65C9">
        <w:rPr>
          <w:bCs/>
          <w:color w:val="000000"/>
        </w:rPr>
        <w:t>Cassidy</w:t>
      </w:r>
      <w:r w:rsidRPr="007A65C9">
        <w:rPr>
          <w:color w:val="000000"/>
        </w:rPr>
        <w:t xml:space="preserve"> A, Bertoia M, </w:t>
      </w:r>
      <w:proofErr w:type="spellStart"/>
      <w:r w:rsidRPr="007A65C9">
        <w:rPr>
          <w:color w:val="000000"/>
        </w:rPr>
        <w:t>Chiuve</w:t>
      </w:r>
      <w:proofErr w:type="spellEnd"/>
      <w:r w:rsidRPr="007A65C9">
        <w:rPr>
          <w:color w:val="000000"/>
        </w:rPr>
        <w:t xml:space="preserve"> S, Flint A, Forman J, </w:t>
      </w:r>
      <w:proofErr w:type="spellStart"/>
      <w:r w:rsidRPr="007A65C9">
        <w:rPr>
          <w:color w:val="000000"/>
        </w:rPr>
        <w:t>Rimm</w:t>
      </w:r>
      <w:proofErr w:type="spellEnd"/>
      <w:r w:rsidRPr="007A65C9">
        <w:rPr>
          <w:color w:val="000000"/>
        </w:rPr>
        <w:t xml:space="preserve"> EB (2016) Habitual intake of anthocyanins and flavanones and risk of cardiovascular disease in men. Am </w:t>
      </w:r>
      <w:r w:rsidRPr="007A65C9">
        <w:rPr>
          <w:rStyle w:val="jrnl"/>
          <w:color w:val="000000"/>
        </w:rPr>
        <w:t xml:space="preserve">J Clin </w:t>
      </w:r>
      <w:proofErr w:type="spellStart"/>
      <w:r w:rsidRPr="007A65C9">
        <w:rPr>
          <w:rStyle w:val="jrnl"/>
          <w:color w:val="000000"/>
        </w:rPr>
        <w:t>Nutr</w:t>
      </w:r>
      <w:proofErr w:type="spellEnd"/>
      <w:r w:rsidRPr="007A65C9">
        <w:rPr>
          <w:rStyle w:val="jrnl"/>
          <w:iCs/>
          <w:color w:val="000000"/>
        </w:rPr>
        <w:t xml:space="preserve"> </w:t>
      </w:r>
      <w:r w:rsidRPr="007A65C9">
        <w:rPr>
          <w:iCs/>
          <w:color w:val="000000"/>
        </w:rPr>
        <w:t>104(3)</w:t>
      </w:r>
      <w:r>
        <w:rPr>
          <w:iCs/>
          <w:color w:val="000000"/>
        </w:rPr>
        <w:t>:</w:t>
      </w:r>
      <w:r w:rsidRPr="007A65C9">
        <w:rPr>
          <w:color w:val="000000"/>
        </w:rPr>
        <w:t>587-594.</w:t>
      </w:r>
      <w:r w:rsidR="00D40F8C">
        <w:rPr>
          <w:color w:val="000000"/>
        </w:rPr>
        <w:t xml:space="preserve"> </w:t>
      </w:r>
    </w:p>
    <w:p w14:paraId="54FD03ED" w14:textId="3019941E" w:rsidR="00D40F8C" w:rsidRDefault="00EE5AC2" w:rsidP="006A7C03">
      <w:pPr>
        <w:pStyle w:val="desc"/>
        <w:shd w:val="clear" w:color="auto" w:fill="FFFFFF"/>
        <w:spacing w:before="0" w:beforeAutospacing="0" w:after="0" w:afterAutospacing="0" w:line="480" w:lineRule="auto"/>
        <w:rPr>
          <w:rStyle w:val="labs-docsum-journal-citation"/>
        </w:rPr>
      </w:pPr>
      <w:r w:rsidRPr="007A65C9">
        <w:rPr>
          <w:rStyle w:val="labs-docsum-authors"/>
        </w:rPr>
        <w:t xml:space="preserve">Cassidy A, O'Reilly ÉJ, Kay C, Sampson L, Franz M, Forman JP, </w:t>
      </w:r>
      <w:proofErr w:type="spellStart"/>
      <w:r>
        <w:rPr>
          <w:rStyle w:val="labs-docsum-authors"/>
        </w:rPr>
        <w:t>Curhan</w:t>
      </w:r>
      <w:proofErr w:type="spellEnd"/>
      <w:r>
        <w:rPr>
          <w:rStyle w:val="labs-docsum-authors"/>
        </w:rPr>
        <w:t xml:space="preserve"> G, </w:t>
      </w:r>
      <w:proofErr w:type="spellStart"/>
      <w:r w:rsidRPr="007A65C9">
        <w:rPr>
          <w:rStyle w:val="labs-docsum-authors"/>
        </w:rPr>
        <w:t>Rimm</w:t>
      </w:r>
      <w:proofErr w:type="spellEnd"/>
      <w:r w:rsidRPr="007A65C9">
        <w:rPr>
          <w:rStyle w:val="labs-docsum-authors"/>
        </w:rPr>
        <w:t xml:space="preserve"> EB (2011) </w:t>
      </w:r>
      <w:hyperlink r:id="rId9" w:history="1">
        <w:r w:rsidRPr="007A65C9">
          <w:rPr>
            <w:rStyle w:val="Hyperlink"/>
            <w:color w:val="auto"/>
            <w:u w:val="none"/>
            <w:shd w:val="clear" w:color="auto" w:fill="FFFFFF"/>
          </w:rPr>
          <w:t>Habitual intake of flavonoid subclasses and incident hypertension in adults.</w:t>
        </w:r>
      </w:hyperlink>
      <w:r w:rsidRPr="007A65C9">
        <w:t xml:space="preserve"> </w:t>
      </w:r>
      <w:r w:rsidRPr="007A65C9">
        <w:rPr>
          <w:rStyle w:val="labs-docsum-journal-citation"/>
          <w:iCs/>
        </w:rPr>
        <w:t xml:space="preserve">Am J Clin </w:t>
      </w:r>
      <w:proofErr w:type="spellStart"/>
      <w:r w:rsidRPr="007A65C9">
        <w:rPr>
          <w:rStyle w:val="labs-docsum-journal-citation"/>
          <w:iCs/>
        </w:rPr>
        <w:t>Nutr</w:t>
      </w:r>
      <w:proofErr w:type="spellEnd"/>
      <w:r w:rsidRPr="007A65C9">
        <w:rPr>
          <w:rStyle w:val="labs-docsum-journal-citation"/>
        </w:rPr>
        <w:t xml:space="preserve"> </w:t>
      </w:r>
      <w:r w:rsidRPr="007A65C9">
        <w:rPr>
          <w:rStyle w:val="labs-docsum-journal-citation"/>
          <w:iCs/>
        </w:rPr>
        <w:t>93(2)</w:t>
      </w:r>
      <w:r>
        <w:rPr>
          <w:rStyle w:val="labs-docsum-journal-citation"/>
          <w:iCs/>
        </w:rPr>
        <w:t>:</w:t>
      </w:r>
      <w:r w:rsidRPr="007A65C9">
        <w:rPr>
          <w:rStyle w:val="labs-docsum-journal-citation"/>
        </w:rPr>
        <w:t>338-347.</w:t>
      </w:r>
    </w:p>
    <w:p w14:paraId="098C7684" w14:textId="77777777" w:rsidR="00D40F8C" w:rsidRDefault="006A7C03" w:rsidP="006A7C03">
      <w:pPr>
        <w:pStyle w:val="desc"/>
        <w:shd w:val="clear" w:color="auto" w:fill="FFFFFF"/>
        <w:spacing w:before="0" w:beforeAutospacing="0" w:after="0" w:afterAutospacing="0" w:line="480" w:lineRule="auto"/>
        <w:rPr>
          <w:color w:val="000000"/>
        </w:rPr>
      </w:pPr>
      <w:r w:rsidRPr="007A65C9">
        <w:rPr>
          <w:bCs/>
          <w:color w:val="000000"/>
        </w:rPr>
        <w:t>Cook</w:t>
      </w:r>
      <w:r w:rsidRPr="007A65C9">
        <w:rPr>
          <w:color w:val="000000"/>
        </w:rPr>
        <w:t> MD, Myers SD, Blacker SD, Willems MET (2015) New Zealand blackcurrant extract improves cycling performance and fat oxidation in cyclists. Eur</w:t>
      </w:r>
      <w:r>
        <w:rPr>
          <w:color w:val="000000"/>
        </w:rPr>
        <w:t xml:space="preserve"> </w:t>
      </w:r>
      <w:r w:rsidRPr="007A65C9">
        <w:rPr>
          <w:color w:val="000000"/>
        </w:rPr>
        <w:t>J</w:t>
      </w:r>
      <w:r>
        <w:rPr>
          <w:color w:val="000000"/>
        </w:rPr>
        <w:t xml:space="preserve"> </w:t>
      </w:r>
      <w:proofErr w:type="spellStart"/>
      <w:r w:rsidRPr="007A65C9">
        <w:rPr>
          <w:color w:val="000000"/>
        </w:rPr>
        <w:t>Appl</w:t>
      </w:r>
      <w:proofErr w:type="spellEnd"/>
      <w:r w:rsidRPr="007A65C9">
        <w:rPr>
          <w:color w:val="000000"/>
        </w:rPr>
        <w:t xml:space="preserve"> </w:t>
      </w:r>
      <w:proofErr w:type="spellStart"/>
      <w:r w:rsidRPr="007A65C9">
        <w:rPr>
          <w:color w:val="000000"/>
        </w:rPr>
        <w:t>Physiol</w:t>
      </w:r>
      <w:proofErr w:type="spellEnd"/>
      <w:r>
        <w:rPr>
          <w:color w:val="000000"/>
        </w:rPr>
        <w:t xml:space="preserve"> </w:t>
      </w:r>
      <w:r w:rsidRPr="007A65C9">
        <w:rPr>
          <w:color w:val="000000"/>
        </w:rPr>
        <w:t>115(11)</w:t>
      </w:r>
      <w:r>
        <w:rPr>
          <w:iCs/>
          <w:color w:val="000000"/>
        </w:rPr>
        <w:t>:</w:t>
      </w:r>
      <w:r w:rsidRPr="007A65C9">
        <w:rPr>
          <w:iCs/>
          <w:color w:val="000000"/>
        </w:rPr>
        <w:t>2357-2365.</w:t>
      </w:r>
    </w:p>
    <w:p w14:paraId="6CAB4A24" w14:textId="77777777" w:rsidR="00D40F8C" w:rsidRDefault="006A7C03" w:rsidP="009440B3">
      <w:pPr>
        <w:pStyle w:val="desc"/>
        <w:shd w:val="clear" w:color="auto" w:fill="FFFFFF"/>
        <w:spacing w:before="0" w:beforeAutospacing="0" w:after="0" w:afterAutospacing="0" w:line="480" w:lineRule="auto"/>
        <w:rPr>
          <w:color w:val="000000"/>
        </w:rPr>
      </w:pPr>
      <w:r w:rsidRPr="007A65C9">
        <w:t xml:space="preserve">Cook MD, </w:t>
      </w:r>
      <w:r w:rsidRPr="007A65C9">
        <w:rPr>
          <w:color w:val="000000"/>
        </w:rPr>
        <w:t>Myers SD, Gault ML, Edwards VC, Willems MET</w:t>
      </w:r>
      <w:r>
        <w:rPr>
          <w:color w:val="000000"/>
        </w:rPr>
        <w:t xml:space="preserve"> (2017)</w:t>
      </w:r>
      <w:r w:rsidRPr="007A65C9">
        <w:t xml:space="preserve"> Dose effects of New Zealand blackcurrant on substrate oxidation and physiological responses during prolonged cycling. </w:t>
      </w:r>
      <w:r w:rsidRPr="007A65C9">
        <w:rPr>
          <w:iCs/>
        </w:rPr>
        <w:t xml:space="preserve">Eur J </w:t>
      </w:r>
      <w:proofErr w:type="spellStart"/>
      <w:r w:rsidRPr="007A65C9">
        <w:rPr>
          <w:iCs/>
        </w:rPr>
        <w:t>Appl</w:t>
      </w:r>
      <w:proofErr w:type="spellEnd"/>
      <w:r>
        <w:rPr>
          <w:iCs/>
        </w:rPr>
        <w:t xml:space="preserve"> </w:t>
      </w:r>
      <w:proofErr w:type="spellStart"/>
      <w:r w:rsidRPr="007A65C9">
        <w:rPr>
          <w:iCs/>
        </w:rPr>
        <w:t>Physiol</w:t>
      </w:r>
      <w:proofErr w:type="spellEnd"/>
      <w:r>
        <w:rPr>
          <w:iCs/>
        </w:rPr>
        <w:t xml:space="preserve"> </w:t>
      </w:r>
      <w:r w:rsidRPr="007A65C9">
        <w:rPr>
          <w:iCs/>
        </w:rPr>
        <w:t>117(6)</w:t>
      </w:r>
      <w:r>
        <w:t>:</w:t>
      </w:r>
      <w:r w:rsidRPr="007A65C9">
        <w:t>1207-1216.</w:t>
      </w:r>
    </w:p>
    <w:p w14:paraId="02483D05" w14:textId="77777777" w:rsidR="00D40F8C" w:rsidRDefault="009440B3" w:rsidP="00BC021F">
      <w:pPr>
        <w:pStyle w:val="desc"/>
        <w:shd w:val="clear" w:color="auto" w:fill="FFFFFF"/>
        <w:spacing w:before="0" w:beforeAutospacing="0" w:after="0" w:afterAutospacing="0" w:line="480" w:lineRule="auto"/>
        <w:rPr>
          <w:color w:val="000000"/>
        </w:rPr>
      </w:pPr>
      <w:proofErr w:type="spellStart"/>
      <w:r w:rsidRPr="007A65C9">
        <w:rPr>
          <w:color w:val="000000"/>
        </w:rPr>
        <w:t>Czank</w:t>
      </w:r>
      <w:proofErr w:type="spellEnd"/>
      <w:r w:rsidRPr="007A65C9">
        <w:rPr>
          <w:color w:val="000000"/>
        </w:rPr>
        <w:t xml:space="preserve"> C, Cassidy A, Zhang Q, Morrison DJ, Preston T, Kroon PA, </w:t>
      </w:r>
      <w:r>
        <w:rPr>
          <w:color w:val="000000"/>
        </w:rPr>
        <w:t xml:space="preserve">Botting NP, </w:t>
      </w:r>
      <w:r w:rsidRPr="007A65C9">
        <w:rPr>
          <w:color w:val="000000"/>
        </w:rPr>
        <w:t>Kay CD. (2013). Human metabolism and elimination of the anthocyanin, cyanidin-3-glucoside: a (13)C-tracer study. Am</w:t>
      </w:r>
      <w:r>
        <w:rPr>
          <w:color w:val="000000"/>
        </w:rPr>
        <w:t xml:space="preserve"> </w:t>
      </w:r>
      <w:r w:rsidRPr="007A65C9">
        <w:rPr>
          <w:color w:val="000000"/>
        </w:rPr>
        <w:t>J</w:t>
      </w:r>
      <w:r>
        <w:rPr>
          <w:color w:val="000000"/>
        </w:rPr>
        <w:t xml:space="preserve"> </w:t>
      </w:r>
      <w:r w:rsidRPr="007A65C9">
        <w:rPr>
          <w:color w:val="000000"/>
        </w:rPr>
        <w:t xml:space="preserve">Clin </w:t>
      </w:r>
      <w:proofErr w:type="spellStart"/>
      <w:r w:rsidRPr="007A65C9">
        <w:rPr>
          <w:color w:val="000000"/>
        </w:rPr>
        <w:t>Nutr</w:t>
      </w:r>
      <w:proofErr w:type="spellEnd"/>
      <w:r>
        <w:rPr>
          <w:color w:val="000000"/>
        </w:rPr>
        <w:t xml:space="preserve"> </w:t>
      </w:r>
      <w:r w:rsidRPr="007A65C9">
        <w:rPr>
          <w:iCs/>
          <w:color w:val="000000"/>
        </w:rPr>
        <w:t>97(5)</w:t>
      </w:r>
      <w:r>
        <w:rPr>
          <w:iCs/>
          <w:color w:val="000000"/>
        </w:rPr>
        <w:t>:</w:t>
      </w:r>
      <w:r w:rsidRPr="007A65C9">
        <w:rPr>
          <w:color w:val="000000"/>
        </w:rPr>
        <w:t>995-1003.</w:t>
      </w:r>
    </w:p>
    <w:p w14:paraId="4CE0DB44" w14:textId="77777777" w:rsidR="002B024E" w:rsidRDefault="00BC021F" w:rsidP="002B024E">
      <w:pPr>
        <w:pStyle w:val="desc"/>
        <w:shd w:val="clear" w:color="auto" w:fill="FFFFFF"/>
        <w:spacing w:before="0" w:beforeAutospacing="0" w:after="0" w:afterAutospacing="0" w:line="480" w:lineRule="auto"/>
        <w:rPr>
          <w:color w:val="212121"/>
          <w:shd w:val="clear" w:color="auto" w:fill="FFFFFF"/>
        </w:rPr>
      </w:pPr>
      <w:r w:rsidRPr="007A65C9">
        <w:rPr>
          <w:color w:val="000000"/>
        </w:rPr>
        <w:t xml:space="preserve">Craig CL, </w:t>
      </w:r>
      <w:r w:rsidRPr="002B024E">
        <w:rPr>
          <w:color w:val="000000"/>
        </w:rPr>
        <w:t xml:space="preserve">Marshall AL, </w:t>
      </w:r>
      <w:proofErr w:type="spellStart"/>
      <w:r w:rsidRPr="002B024E">
        <w:rPr>
          <w:color w:val="000000"/>
        </w:rPr>
        <w:t>Sjöström</w:t>
      </w:r>
      <w:proofErr w:type="spellEnd"/>
      <w:r w:rsidRPr="002B024E">
        <w:rPr>
          <w:color w:val="000000"/>
        </w:rPr>
        <w:t xml:space="preserve"> M, Bauman AE, Booth ML, Ainsworth BE, </w:t>
      </w:r>
      <w:r w:rsidRPr="002B024E">
        <w:rPr>
          <w:color w:val="212121"/>
          <w:shd w:val="clear" w:color="auto" w:fill="FFFFFF"/>
        </w:rPr>
        <w:t>Pratt M,</w:t>
      </w:r>
      <w:r w:rsidR="002B024E" w:rsidRPr="002B024E">
        <w:rPr>
          <w:color w:val="212121"/>
          <w:shd w:val="clear" w:color="auto" w:fill="FFFFFF"/>
        </w:rPr>
        <w:t xml:space="preserve"> </w:t>
      </w:r>
      <w:proofErr w:type="spellStart"/>
      <w:r w:rsidRPr="002B024E">
        <w:rPr>
          <w:color w:val="212121"/>
          <w:shd w:val="clear" w:color="auto" w:fill="FFFFFF"/>
        </w:rPr>
        <w:t>Ekelund</w:t>
      </w:r>
      <w:proofErr w:type="spellEnd"/>
      <w:r w:rsidRPr="002B024E">
        <w:rPr>
          <w:color w:val="212121"/>
          <w:shd w:val="clear" w:color="auto" w:fill="FFFFFF"/>
        </w:rPr>
        <w:t xml:space="preserve"> U, </w:t>
      </w:r>
      <w:proofErr w:type="spellStart"/>
      <w:r w:rsidRPr="002B024E">
        <w:rPr>
          <w:color w:val="212121"/>
          <w:shd w:val="clear" w:color="auto" w:fill="FFFFFF"/>
        </w:rPr>
        <w:t>Yngve</w:t>
      </w:r>
      <w:proofErr w:type="spellEnd"/>
      <w:r w:rsidRPr="002B024E">
        <w:rPr>
          <w:color w:val="212121"/>
          <w:shd w:val="clear" w:color="auto" w:fill="FFFFFF"/>
        </w:rPr>
        <w:t xml:space="preserve"> A, </w:t>
      </w:r>
      <w:proofErr w:type="spellStart"/>
      <w:r w:rsidRPr="002B024E">
        <w:rPr>
          <w:color w:val="212121"/>
          <w:shd w:val="clear" w:color="auto" w:fill="FFFFFF"/>
        </w:rPr>
        <w:t>Sallis</w:t>
      </w:r>
      <w:proofErr w:type="spellEnd"/>
      <w:r w:rsidRPr="002B024E">
        <w:rPr>
          <w:color w:val="212121"/>
          <w:shd w:val="clear" w:color="auto" w:fill="FFFFFF"/>
        </w:rPr>
        <w:t xml:space="preserve"> JF</w:t>
      </w:r>
      <w:r w:rsidRPr="002B024E">
        <w:rPr>
          <w:color w:val="000000"/>
        </w:rPr>
        <w:t xml:space="preserve">, </w:t>
      </w:r>
      <w:proofErr w:type="spellStart"/>
      <w:r w:rsidRPr="002B024E">
        <w:rPr>
          <w:color w:val="000000"/>
        </w:rPr>
        <w:t>Oja</w:t>
      </w:r>
      <w:proofErr w:type="spellEnd"/>
      <w:r w:rsidRPr="002B024E">
        <w:rPr>
          <w:color w:val="000000"/>
        </w:rPr>
        <w:t xml:space="preserve">, P (2003) International physical activity questionnaire: 12-country reliability and validity. </w:t>
      </w:r>
      <w:r w:rsidRPr="002B024E">
        <w:rPr>
          <w:rStyle w:val="jrnl"/>
          <w:iCs/>
          <w:color w:val="000000"/>
        </w:rPr>
        <w:t xml:space="preserve">Med Sci Sports </w:t>
      </w:r>
      <w:proofErr w:type="spellStart"/>
      <w:r w:rsidRPr="002B024E">
        <w:rPr>
          <w:rStyle w:val="jrnl"/>
          <w:iCs/>
          <w:color w:val="000000"/>
        </w:rPr>
        <w:t>Exerc</w:t>
      </w:r>
      <w:proofErr w:type="spellEnd"/>
      <w:r w:rsidRPr="002B024E">
        <w:rPr>
          <w:rStyle w:val="jrnl"/>
          <w:iCs/>
          <w:color w:val="000000"/>
        </w:rPr>
        <w:t xml:space="preserve"> </w:t>
      </w:r>
      <w:r w:rsidRPr="002B024E">
        <w:rPr>
          <w:iCs/>
          <w:color w:val="000000"/>
        </w:rPr>
        <w:t>35(8)</w:t>
      </w:r>
      <w:r w:rsidRPr="002B024E">
        <w:rPr>
          <w:color w:val="000000"/>
        </w:rPr>
        <w:t>:1381-1395.</w:t>
      </w:r>
    </w:p>
    <w:p w14:paraId="6EC4038E" w14:textId="77777777" w:rsidR="002B024E" w:rsidRDefault="002B024E" w:rsidP="002B024E">
      <w:pPr>
        <w:pStyle w:val="desc"/>
        <w:shd w:val="clear" w:color="auto" w:fill="FFFFFF"/>
        <w:spacing w:before="0" w:beforeAutospacing="0" w:after="0" w:afterAutospacing="0" w:line="480" w:lineRule="auto"/>
        <w:rPr>
          <w:color w:val="212121"/>
          <w:shd w:val="clear" w:color="auto" w:fill="FFFFFF"/>
        </w:rPr>
      </w:pPr>
      <w:proofErr w:type="spellStart"/>
      <w:r w:rsidRPr="002B024E">
        <w:t>Dasilva</w:t>
      </w:r>
      <w:proofErr w:type="spellEnd"/>
      <w:r w:rsidRPr="002B024E">
        <w:t xml:space="preserve"> SG, </w:t>
      </w:r>
      <w:proofErr w:type="spellStart"/>
      <w:r w:rsidRPr="002B024E">
        <w:t>Guidetti</w:t>
      </w:r>
      <w:proofErr w:type="spellEnd"/>
      <w:r w:rsidRPr="002B024E">
        <w:t xml:space="preserve"> L, </w:t>
      </w:r>
      <w:proofErr w:type="spellStart"/>
      <w:r w:rsidRPr="002B024E">
        <w:t>Buzzachera</w:t>
      </w:r>
      <w:proofErr w:type="spellEnd"/>
      <w:r w:rsidRPr="002B024E">
        <w:t xml:space="preserve"> CF, </w:t>
      </w:r>
      <w:proofErr w:type="spellStart"/>
      <w:r w:rsidRPr="002B024E">
        <w:t>Elsangedy</w:t>
      </w:r>
      <w:proofErr w:type="spellEnd"/>
      <w:r w:rsidRPr="002B024E">
        <w:t xml:space="preserve"> HM, </w:t>
      </w:r>
      <w:proofErr w:type="spellStart"/>
      <w:r w:rsidRPr="002B024E">
        <w:t>Krinski</w:t>
      </w:r>
      <w:proofErr w:type="spellEnd"/>
      <w:r w:rsidRPr="002B024E">
        <w:t xml:space="preserve"> K, De Campos W, Goss FL,</w:t>
      </w:r>
      <w:r>
        <w:t xml:space="preserve"> </w:t>
      </w:r>
      <w:proofErr w:type="spellStart"/>
      <w:r w:rsidRPr="002B024E">
        <w:t>Baldari</w:t>
      </w:r>
      <w:proofErr w:type="spellEnd"/>
      <w:r>
        <w:t xml:space="preserve"> </w:t>
      </w:r>
      <w:r w:rsidRPr="002B024E">
        <w:t>C</w:t>
      </w:r>
      <w:r>
        <w:t xml:space="preserve"> </w:t>
      </w:r>
      <w:r w:rsidRPr="002B024E">
        <w:t>(2011) Gender-based differences in substrate use during exercise at a self-selected pace. J Strength</w:t>
      </w:r>
      <w:r>
        <w:t xml:space="preserve"> </w:t>
      </w:r>
      <w:r w:rsidRPr="002B024E">
        <w:t>Cond Res 25(9)</w:t>
      </w:r>
      <w:r>
        <w:t>:</w:t>
      </w:r>
      <w:r w:rsidRPr="002B024E">
        <w:t>2544-2551.</w:t>
      </w:r>
    </w:p>
    <w:p w14:paraId="3E895D45" w14:textId="6BB0CFA5" w:rsidR="004F77B6" w:rsidRPr="002B024E" w:rsidRDefault="009440B3" w:rsidP="004F77B6">
      <w:pPr>
        <w:pStyle w:val="desc"/>
        <w:shd w:val="clear" w:color="auto" w:fill="FFFFFF"/>
        <w:spacing w:before="0" w:beforeAutospacing="0" w:after="0" w:afterAutospacing="0" w:line="480" w:lineRule="auto"/>
        <w:rPr>
          <w:color w:val="212121"/>
          <w:shd w:val="clear" w:color="auto" w:fill="FFFFFF"/>
        </w:rPr>
      </w:pPr>
      <w:r w:rsidRPr="007A65C9">
        <w:rPr>
          <w:color w:val="000000"/>
        </w:rPr>
        <w:t xml:space="preserve">De </w:t>
      </w:r>
      <w:proofErr w:type="spellStart"/>
      <w:r w:rsidRPr="007A65C9">
        <w:rPr>
          <w:color w:val="000000"/>
        </w:rPr>
        <w:t>Ferrars</w:t>
      </w:r>
      <w:proofErr w:type="spellEnd"/>
      <w:r w:rsidRPr="007A65C9">
        <w:rPr>
          <w:color w:val="000000"/>
        </w:rPr>
        <w:t xml:space="preserve"> RM, </w:t>
      </w:r>
      <w:proofErr w:type="spellStart"/>
      <w:r w:rsidRPr="007A65C9">
        <w:rPr>
          <w:color w:val="000000"/>
        </w:rPr>
        <w:t>Czank</w:t>
      </w:r>
      <w:proofErr w:type="spellEnd"/>
      <w:r w:rsidRPr="007A65C9">
        <w:rPr>
          <w:color w:val="000000"/>
        </w:rPr>
        <w:t xml:space="preserve"> C, Zhang Q, Botting NP, Kroon PA, Cassidy A, Kay CD (2014) The pharmacokinetics of anthocyanins and their metabolites in humans. </w:t>
      </w:r>
      <w:r w:rsidRPr="007A65C9">
        <w:rPr>
          <w:iCs/>
          <w:color w:val="000000"/>
        </w:rPr>
        <w:t>Brit</w:t>
      </w:r>
      <w:r>
        <w:rPr>
          <w:iCs/>
          <w:color w:val="000000"/>
        </w:rPr>
        <w:t xml:space="preserve"> </w:t>
      </w:r>
      <w:r w:rsidRPr="007A65C9">
        <w:rPr>
          <w:iCs/>
          <w:color w:val="000000"/>
        </w:rPr>
        <w:t>J</w:t>
      </w:r>
      <w:r>
        <w:rPr>
          <w:iCs/>
          <w:color w:val="000000"/>
        </w:rPr>
        <w:t xml:space="preserve"> </w:t>
      </w:r>
      <w:proofErr w:type="spellStart"/>
      <w:r w:rsidRPr="007A65C9">
        <w:rPr>
          <w:iCs/>
          <w:color w:val="000000"/>
        </w:rPr>
        <w:t>Pharm</w:t>
      </w:r>
      <w:r>
        <w:rPr>
          <w:iCs/>
          <w:color w:val="000000"/>
        </w:rPr>
        <w:t>acol</w:t>
      </w:r>
      <w:proofErr w:type="spellEnd"/>
      <w:r>
        <w:rPr>
          <w:iCs/>
          <w:color w:val="000000"/>
        </w:rPr>
        <w:t xml:space="preserve"> </w:t>
      </w:r>
      <w:r w:rsidRPr="007A65C9">
        <w:rPr>
          <w:iCs/>
          <w:color w:val="000000"/>
        </w:rPr>
        <w:t>171(</w:t>
      </w:r>
      <w:r w:rsidRPr="004F77B6">
        <w:rPr>
          <w:iCs/>
          <w:color w:val="000000"/>
        </w:rPr>
        <w:t>13)</w:t>
      </w:r>
      <w:r w:rsidRPr="004F77B6">
        <w:rPr>
          <w:color w:val="000000"/>
        </w:rPr>
        <w:t xml:space="preserve">:3268-3282. </w:t>
      </w:r>
    </w:p>
    <w:p w14:paraId="16ED55AD" w14:textId="77777777" w:rsidR="004F77B6" w:rsidRDefault="004F77B6" w:rsidP="004F77B6">
      <w:pPr>
        <w:pStyle w:val="desc"/>
        <w:shd w:val="clear" w:color="auto" w:fill="FFFFFF"/>
        <w:spacing w:before="0" w:beforeAutospacing="0" w:after="0" w:afterAutospacing="0" w:line="480" w:lineRule="auto"/>
        <w:rPr>
          <w:rStyle w:val="labs-docsum-authors"/>
          <w:color w:val="000000"/>
        </w:rPr>
      </w:pPr>
      <w:proofErr w:type="spellStart"/>
      <w:r w:rsidRPr="004F77B6">
        <w:rPr>
          <w:rStyle w:val="docsum-authors"/>
          <w:bCs/>
          <w:color w:val="000000" w:themeColor="text1"/>
        </w:rPr>
        <w:t>Eker</w:t>
      </w:r>
      <w:proofErr w:type="spellEnd"/>
      <w:r w:rsidRPr="004F77B6">
        <w:rPr>
          <w:rStyle w:val="docsum-authors"/>
          <w:bCs/>
          <w:color w:val="000000" w:themeColor="text1"/>
        </w:rPr>
        <w:t xml:space="preserve"> ME</w:t>
      </w:r>
      <w:r w:rsidRPr="004F77B6">
        <w:rPr>
          <w:rStyle w:val="docsum-authors"/>
          <w:color w:val="000000" w:themeColor="text1"/>
        </w:rPr>
        <w:t xml:space="preserve">, </w:t>
      </w:r>
      <w:proofErr w:type="spellStart"/>
      <w:r w:rsidRPr="004F77B6">
        <w:rPr>
          <w:rStyle w:val="docsum-authors"/>
          <w:color w:val="000000" w:themeColor="text1"/>
        </w:rPr>
        <w:t>Aaby</w:t>
      </w:r>
      <w:proofErr w:type="spellEnd"/>
      <w:r w:rsidRPr="004F77B6">
        <w:rPr>
          <w:rStyle w:val="docsum-authors"/>
          <w:color w:val="000000" w:themeColor="text1"/>
        </w:rPr>
        <w:t xml:space="preserve"> K, </w:t>
      </w:r>
      <w:proofErr w:type="spellStart"/>
      <w:r w:rsidRPr="004F77B6">
        <w:rPr>
          <w:rStyle w:val="docsum-authors"/>
          <w:color w:val="000000" w:themeColor="text1"/>
        </w:rPr>
        <w:t>Budic</w:t>
      </w:r>
      <w:proofErr w:type="spellEnd"/>
      <w:r w:rsidRPr="004F77B6">
        <w:rPr>
          <w:rStyle w:val="docsum-authors"/>
          <w:color w:val="000000" w:themeColor="text1"/>
        </w:rPr>
        <w:t xml:space="preserve">-Leto I, </w:t>
      </w:r>
      <w:proofErr w:type="spellStart"/>
      <w:r w:rsidRPr="004F77B6">
        <w:rPr>
          <w:rStyle w:val="docsum-authors"/>
          <w:color w:val="000000" w:themeColor="text1"/>
        </w:rPr>
        <w:t>Brnčić</w:t>
      </w:r>
      <w:proofErr w:type="spellEnd"/>
      <w:r w:rsidRPr="004F77B6">
        <w:rPr>
          <w:rStyle w:val="docsum-authors"/>
          <w:color w:val="000000" w:themeColor="text1"/>
        </w:rPr>
        <w:t xml:space="preserve"> SR, El SN, </w:t>
      </w:r>
      <w:proofErr w:type="spellStart"/>
      <w:r w:rsidRPr="004F77B6">
        <w:rPr>
          <w:rStyle w:val="docsum-authors"/>
          <w:color w:val="000000" w:themeColor="text1"/>
        </w:rPr>
        <w:t>Karakaya</w:t>
      </w:r>
      <w:proofErr w:type="spellEnd"/>
      <w:r w:rsidRPr="004F77B6">
        <w:rPr>
          <w:rStyle w:val="docsum-authors"/>
          <w:color w:val="000000" w:themeColor="text1"/>
        </w:rPr>
        <w:t xml:space="preserve"> S, </w:t>
      </w:r>
      <w:proofErr w:type="spellStart"/>
      <w:r w:rsidRPr="004F77B6">
        <w:rPr>
          <w:rStyle w:val="docsum-authors"/>
          <w:color w:val="000000" w:themeColor="text1"/>
        </w:rPr>
        <w:t>Simsek</w:t>
      </w:r>
      <w:proofErr w:type="spellEnd"/>
      <w:r w:rsidRPr="004F77B6">
        <w:rPr>
          <w:rStyle w:val="docsum-authors"/>
          <w:color w:val="000000" w:themeColor="text1"/>
        </w:rPr>
        <w:t xml:space="preserve"> S, </w:t>
      </w:r>
      <w:proofErr w:type="spellStart"/>
      <w:r w:rsidRPr="004F77B6">
        <w:rPr>
          <w:rStyle w:val="docsum-authors"/>
          <w:color w:val="000000" w:themeColor="text1"/>
        </w:rPr>
        <w:t>Manach</w:t>
      </w:r>
      <w:proofErr w:type="spellEnd"/>
      <w:r w:rsidRPr="004F77B6">
        <w:rPr>
          <w:rStyle w:val="docsum-authors"/>
          <w:color w:val="000000" w:themeColor="text1"/>
        </w:rPr>
        <w:t xml:space="preserve"> C, </w:t>
      </w:r>
      <w:proofErr w:type="spellStart"/>
      <w:r w:rsidRPr="004F77B6">
        <w:rPr>
          <w:rStyle w:val="docsum-authors"/>
          <w:color w:val="000000" w:themeColor="text1"/>
        </w:rPr>
        <w:t>Wiczkowski</w:t>
      </w:r>
      <w:proofErr w:type="spellEnd"/>
      <w:r w:rsidRPr="004F77B6">
        <w:rPr>
          <w:rStyle w:val="docsum-authors"/>
          <w:color w:val="000000" w:themeColor="text1"/>
        </w:rPr>
        <w:t xml:space="preserve"> W, Pascual-Teresa S</w:t>
      </w:r>
      <w:r w:rsidRPr="004F77B6">
        <w:rPr>
          <w:color w:val="000000" w:themeColor="text1"/>
        </w:rPr>
        <w:t xml:space="preserve"> </w:t>
      </w:r>
      <w:r>
        <w:rPr>
          <w:color w:val="000000" w:themeColor="text1"/>
        </w:rPr>
        <w:t xml:space="preserve">(2020) </w:t>
      </w:r>
      <w:hyperlink r:id="rId10" w:history="1">
        <w:r w:rsidRPr="004F77B6">
          <w:rPr>
            <w:rStyle w:val="Hyperlink"/>
            <w:color w:val="000000" w:themeColor="text1"/>
            <w:u w:val="none"/>
            <w:shd w:val="clear" w:color="auto" w:fill="FFFFFF"/>
          </w:rPr>
          <w:t xml:space="preserve">A Review of Factors </w:t>
        </w:r>
        <w:r>
          <w:rPr>
            <w:rStyle w:val="Hyperlink"/>
            <w:color w:val="000000" w:themeColor="text1"/>
            <w:u w:val="none"/>
            <w:shd w:val="clear" w:color="auto" w:fill="FFFFFF"/>
          </w:rPr>
          <w:t xml:space="preserve">Affecting Anthocyanin Bioavailability: </w:t>
        </w:r>
        <w:r w:rsidRPr="004F77B6">
          <w:rPr>
            <w:rStyle w:val="Hyperlink"/>
            <w:color w:val="000000" w:themeColor="text1"/>
            <w:u w:val="none"/>
            <w:shd w:val="clear" w:color="auto" w:fill="FFFFFF"/>
          </w:rPr>
          <w:t>Possible Implications for the Inter-Individual Variability.</w:t>
        </w:r>
      </w:hyperlink>
      <w:r>
        <w:rPr>
          <w:color w:val="000000" w:themeColor="text1"/>
        </w:rPr>
        <w:t xml:space="preserve"> Foods </w:t>
      </w:r>
      <w:r w:rsidRPr="004F77B6">
        <w:rPr>
          <w:rStyle w:val="docsum-journal-citation"/>
          <w:color w:val="000000" w:themeColor="text1"/>
        </w:rPr>
        <w:t xml:space="preserve">9(1):2. </w:t>
      </w:r>
    </w:p>
    <w:p w14:paraId="1254DF04" w14:textId="4DB4D271" w:rsidR="00D40F8C" w:rsidRDefault="009440B3" w:rsidP="00EE5AC2">
      <w:pPr>
        <w:pStyle w:val="desc"/>
        <w:shd w:val="clear" w:color="auto" w:fill="FFFFFF"/>
        <w:spacing w:before="0" w:beforeAutospacing="0" w:after="0" w:afterAutospacing="0" w:line="480" w:lineRule="auto"/>
        <w:rPr>
          <w:color w:val="000000"/>
        </w:rPr>
      </w:pPr>
      <w:r w:rsidRPr="007A65C9">
        <w:rPr>
          <w:rStyle w:val="labs-docsum-authors"/>
          <w:color w:val="000000"/>
        </w:rPr>
        <w:t>Inoue N, Matsunaga Y, Satoh H, Takahashi M</w:t>
      </w:r>
      <w:r>
        <w:rPr>
          <w:rStyle w:val="labs-docsum-authors"/>
          <w:color w:val="000000"/>
        </w:rPr>
        <w:t xml:space="preserve"> </w:t>
      </w:r>
      <w:r w:rsidRPr="007A65C9">
        <w:rPr>
          <w:rStyle w:val="labs-docsum-authors"/>
          <w:color w:val="000000"/>
        </w:rPr>
        <w:t xml:space="preserve">(2007) </w:t>
      </w:r>
      <w:r w:rsidRPr="007A65C9">
        <w:rPr>
          <w:color w:val="000000"/>
        </w:rPr>
        <w:t>E</w:t>
      </w:r>
      <w:hyperlink r:id="rId11" w:history="1">
        <w:r w:rsidRPr="007A65C9">
          <w:rPr>
            <w:rStyle w:val="Hyperlink"/>
            <w:color w:val="000000"/>
            <w:u w:val="none"/>
            <w:shd w:val="clear" w:color="auto" w:fill="FFFFFF"/>
          </w:rPr>
          <w:t>nhanced energy expenditure and fat oxidation in humans with high BMI scores by the ingestion of novel and non-pungent capsaicin analogues (</w:t>
        </w:r>
        <w:proofErr w:type="spellStart"/>
        <w:r w:rsidRPr="007A65C9">
          <w:rPr>
            <w:rStyle w:val="Hyperlink"/>
            <w:color w:val="000000"/>
            <w:u w:val="none"/>
            <w:shd w:val="clear" w:color="auto" w:fill="FFFFFF"/>
          </w:rPr>
          <w:t>capsinoids</w:t>
        </w:r>
        <w:proofErr w:type="spellEnd"/>
        <w:r w:rsidRPr="007A65C9">
          <w:rPr>
            <w:rStyle w:val="Hyperlink"/>
            <w:color w:val="000000"/>
            <w:u w:val="none"/>
            <w:shd w:val="clear" w:color="auto" w:fill="FFFFFF"/>
          </w:rPr>
          <w:t>).</w:t>
        </w:r>
      </w:hyperlink>
      <w:r w:rsidRPr="007A65C9">
        <w:rPr>
          <w:color w:val="000000"/>
        </w:rPr>
        <w:t xml:space="preserve"> </w:t>
      </w:r>
      <w:proofErr w:type="spellStart"/>
      <w:r w:rsidRPr="007A65C9">
        <w:rPr>
          <w:rStyle w:val="labs-docsum-journal-citation"/>
          <w:iCs/>
          <w:color w:val="000000"/>
        </w:rPr>
        <w:t>Biosci</w:t>
      </w:r>
      <w:proofErr w:type="spellEnd"/>
      <w:r w:rsidRPr="007A65C9">
        <w:rPr>
          <w:rStyle w:val="labs-docsum-journal-citation"/>
          <w:iCs/>
          <w:color w:val="000000"/>
        </w:rPr>
        <w:t xml:space="preserve"> Biotech </w:t>
      </w:r>
      <w:proofErr w:type="spellStart"/>
      <w:r w:rsidRPr="007A65C9">
        <w:rPr>
          <w:rStyle w:val="labs-docsum-journal-citation"/>
          <w:iCs/>
          <w:color w:val="000000"/>
        </w:rPr>
        <w:t>Bioch</w:t>
      </w:r>
      <w:proofErr w:type="spellEnd"/>
      <w:r w:rsidRPr="007A65C9">
        <w:rPr>
          <w:rStyle w:val="labs-docsum-journal-citation"/>
          <w:color w:val="000000"/>
        </w:rPr>
        <w:t xml:space="preserve"> </w:t>
      </w:r>
      <w:r w:rsidRPr="007A65C9">
        <w:rPr>
          <w:rStyle w:val="labs-docsum-journal-citation"/>
          <w:iCs/>
          <w:color w:val="000000"/>
        </w:rPr>
        <w:t>71(2)</w:t>
      </w:r>
      <w:r>
        <w:rPr>
          <w:rStyle w:val="labs-docsum-journal-citation"/>
          <w:iCs/>
          <w:color w:val="000000"/>
        </w:rPr>
        <w:t>:</w:t>
      </w:r>
      <w:r w:rsidRPr="007A65C9">
        <w:rPr>
          <w:rStyle w:val="labs-docsum-journal-citation"/>
          <w:color w:val="000000"/>
        </w:rPr>
        <w:t>380-389.</w:t>
      </w:r>
    </w:p>
    <w:p w14:paraId="5CFC4FA1" w14:textId="77777777" w:rsidR="00D40F8C" w:rsidRDefault="00EE5AC2" w:rsidP="008254D3">
      <w:pPr>
        <w:pStyle w:val="desc"/>
        <w:shd w:val="clear" w:color="auto" w:fill="FFFFFF"/>
        <w:spacing w:before="0" w:beforeAutospacing="0" w:after="0" w:afterAutospacing="0" w:line="480" w:lineRule="auto"/>
        <w:rPr>
          <w:color w:val="000000"/>
        </w:rPr>
      </w:pPr>
      <w:r w:rsidRPr="007A65C9">
        <w:rPr>
          <w:bCs/>
          <w:color w:val="000000"/>
        </w:rPr>
        <w:t>Jacques</w:t>
      </w:r>
      <w:r w:rsidRPr="007A65C9">
        <w:rPr>
          <w:color w:val="000000"/>
        </w:rPr>
        <w:t> PF, Cassidy A, Rogers G, Peterson, JJ, Meigs, JB,</w:t>
      </w:r>
      <w:r>
        <w:rPr>
          <w:color w:val="000000"/>
        </w:rPr>
        <w:t xml:space="preserve"> </w:t>
      </w:r>
      <w:r w:rsidRPr="007A65C9">
        <w:rPr>
          <w:color w:val="000000"/>
        </w:rPr>
        <w:t>Dwyer</w:t>
      </w:r>
      <w:r>
        <w:rPr>
          <w:color w:val="000000"/>
        </w:rPr>
        <w:t xml:space="preserve"> </w:t>
      </w:r>
      <w:r w:rsidRPr="007A65C9">
        <w:rPr>
          <w:color w:val="000000"/>
        </w:rPr>
        <w:t>JT</w:t>
      </w:r>
      <w:r>
        <w:rPr>
          <w:color w:val="000000"/>
        </w:rPr>
        <w:t xml:space="preserve"> </w:t>
      </w:r>
      <w:r w:rsidRPr="007A65C9">
        <w:rPr>
          <w:color w:val="000000"/>
        </w:rPr>
        <w:t>(2013)</w:t>
      </w:r>
      <w:r>
        <w:rPr>
          <w:color w:val="000000"/>
        </w:rPr>
        <w:t xml:space="preserve"> </w:t>
      </w:r>
      <w:r w:rsidRPr="007A65C9">
        <w:rPr>
          <w:color w:val="000000"/>
        </w:rPr>
        <w:t xml:space="preserve">Higher dietary </w:t>
      </w:r>
      <w:proofErr w:type="spellStart"/>
      <w:r w:rsidRPr="007A65C9">
        <w:rPr>
          <w:color w:val="000000"/>
        </w:rPr>
        <w:t>flavonol</w:t>
      </w:r>
      <w:proofErr w:type="spellEnd"/>
      <w:r w:rsidRPr="007A65C9">
        <w:rPr>
          <w:color w:val="000000"/>
        </w:rPr>
        <w:t xml:space="preserve"> intake is associated with lower incidence of type 2 diabetes. </w:t>
      </w:r>
      <w:r w:rsidRPr="007A65C9">
        <w:rPr>
          <w:rStyle w:val="jrnl"/>
          <w:color w:val="000000"/>
        </w:rPr>
        <w:t xml:space="preserve">J </w:t>
      </w:r>
      <w:proofErr w:type="spellStart"/>
      <w:r w:rsidRPr="007A65C9">
        <w:rPr>
          <w:rStyle w:val="jrnl"/>
          <w:color w:val="000000"/>
        </w:rPr>
        <w:t>Nutr</w:t>
      </w:r>
      <w:proofErr w:type="spellEnd"/>
      <w:r w:rsidRPr="007A65C9">
        <w:rPr>
          <w:rStyle w:val="jrnl"/>
          <w:iCs/>
          <w:color w:val="000000"/>
        </w:rPr>
        <w:t xml:space="preserve"> </w:t>
      </w:r>
      <w:r w:rsidRPr="007A65C9">
        <w:rPr>
          <w:iCs/>
          <w:color w:val="000000"/>
        </w:rPr>
        <w:t>143(9)</w:t>
      </w:r>
      <w:r>
        <w:rPr>
          <w:iCs/>
          <w:color w:val="000000"/>
        </w:rPr>
        <w:t>:</w:t>
      </w:r>
      <w:r w:rsidRPr="007A65C9">
        <w:rPr>
          <w:color w:val="000000"/>
        </w:rPr>
        <w:t>1474-1480.</w:t>
      </w:r>
    </w:p>
    <w:p w14:paraId="5687AFA6" w14:textId="60540270" w:rsidR="00D40F8C" w:rsidRDefault="008254D3" w:rsidP="00BC021F">
      <w:pPr>
        <w:pStyle w:val="desc"/>
        <w:shd w:val="clear" w:color="auto" w:fill="FFFFFF"/>
        <w:spacing w:before="0" w:beforeAutospacing="0" w:after="0" w:afterAutospacing="0" w:line="480" w:lineRule="auto"/>
        <w:rPr>
          <w:color w:val="000000"/>
        </w:rPr>
      </w:pPr>
      <w:r w:rsidRPr="007A65C9">
        <w:rPr>
          <w:color w:val="000000"/>
        </w:rPr>
        <w:t>Jennings A, Welch AA, Spector T, Macgregor A, Cassidy A (2014</w:t>
      </w:r>
      <w:r>
        <w:rPr>
          <w:color w:val="000000"/>
        </w:rPr>
        <w:t>)</w:t>
      </w:r>
      <w:r w:rsidRPr="007A65C9">
        <w:rPr>
          <w:color w:val="000000"/>
        </w:rPr>
        <w:t xml:space="preserve"> Intakes of anthocyanins and flavones are associated with biomarkers of insulin resistance and inflammation in women. J</w:t>
      </w:r>
      <w:r>
        <w:rPr>
          <w:color w:val="000000"/>
        </w:rPr>
        <w:t xml:space="preserve"> </w:t>
      </w:r>
      <w:proofErr w:type="spellStart"/>
      <w:r w:rsidRPr="007A65C9">
        <w:rPr>
          <w:color w:val="000000"/>
        </w:rPr>
        <w:t>Nut</w:t>
      </w:r>
      <w:r>
        <w:rPr>
          <w:color w:val="000000"/>
        </w:rPr>
        <w:t>r</w:t>
      </w:r>
      <w:proofErr w:type="spellEnd"/>
      <w:r w:rsidRPr="007A65C9">
        <w:rPr>
          <w:color w:val="000000"/>
        </w:rPr>
        <w:t xml:space="preserve"> 144(2)</w:t>
      </w:r>
      <w:r>
        <w:rPr>
          <w:color w:val="000000"/>
        </w:rPr>
        <w:t>:</w:t>
      </w:r>
      <w:r w:rsidRPr="007A65C9">
        <w:rPr>
          <w:color w:val="000000"/>
        </w:rPr>
        <w:t>202-208.</w:t>
      </w:r>
    </w:p>
    <w:p w14:paraId="2E6A5D2E" w14:textId="0C331500" w:rsidR="00D40F8C" w:rsidRDefault="00BC021F" w:rsidP="00BC021F">
      <w:pPr>
        <w:pStyle w:val="desc"/>
        <w:shd w:val="clear" w:color="auto" w:fill="FFFFFF"/>
        <w:spacing w:before="0" w:beforeAutospacing="0" w:after="0" w:afterAutospacing="0" w:line="480" w:lineRule="auto"/>
        <w:rPr>
          <w:color w:val="000000"/>
        </w:rPr>
      </w:pPr>
      <w:proofErr w:type="spellStart"/>
      <w:r w:rsidRPr="007A65C9">
        <w:t>Jeukendrup</w:t>
      </w:r>
      <w:proofErr w:type="spellEnd"/>
      <w:r w:rsidRPr="007A65C9">
        <w:t xml:space="preserve"> AE, Wallis GA (2005) Measurement of substrate oxidation during exercise by means of gas exchange measurements. </w:t>
      </w:r>
      <w:r w:rsidRPr="007A65C9">
        <w:rPr>
          <w:iCs/>
        </w:rPr>
        <w:t>Int J Sports Med</w:t>
      </w:r>
      <w:r w:rsidRPr="007A65C9">
        <w:t xml:space="preserve"> </w:t>
      </w:r>
      <w:r w:rsidR="00321DB0">
        <w:t xml:space="preserve">26 </w:t>
      </w:r>
      <w:proofErr w:type="spellStart"/>
      <w:r w:rsidRPr="007A65C9">
        <w:rPr>
          <w:iCs/>
        </w:rPr>
        <w:t>Suppl</w:t>
      </w:r>
      <w:proofErr w:type="spellEnd"/>
      <w:r w:rsidRPr="007A65C9">
        <w:rPr>
          <w:iCs/>
        </w:rPr>
        <w:t xml:space="preserve"> </w:t>
      </w:r>
      <w:proofErr w:type="gramStart"/>
      <w:r w:rsidRPr="007A65C9">
        <w:rPr>
          <w:iCs/>
        </w:rPr>
        <w:t>1</w:t>
      </w:r>
      <w:r>
        <w:rPr>
          <w:iCs/>
        </w:rPr>
        <w:t>:</w:t>
      </w:r>
      <w:r w:rsidRPr="007A65C9">
        <w:t>S</w:t>
      </w:r>
      <w:proofErr w:type="gramEnd"/>
      <w:r w:rsidRPr="007A65C9">
        <w:t>28-S37.</w:t>
      </w:r>
    </w:p>
    <w:p w14:paraId="41857A70" w14:textId="77777777" w:rsidR="00D40F8C" w:rsidRDefault="00BC021F" w:rsidP="006A7C03">
      <w:pPr>
        <w:pStyle w:val="desc"/>
        <w:shd w:val="clear" w:color="auto" w:fill="FFFFFF"/>
        <w:spacing w:before="0" w:beforeAutospacing="0" w:after="0" w:afterAutospacing="0" w:line="480" w:lineRule="auto"/>
        <w:rPr>
          <w:rStyle w:val="labs-docsum-journal-citation"/>
          <w:color w:val="000000"/>
        </w:rPr>
      </w:pPr>
      <w:r w:rsidRPr="007A65C9">
        <w:rPr>
          <w:rStyle w:val="labs-docsum-authors"/>
        </w:rPr>
        <w:t xml:space="preserve">Koh EJ, Kim KJ, </w:t>
      </w:r>
      <w:proofErr w:type="spellStart"/>
      <w:r w:rsidRPr="007A65C9">
        <w:rPr>
          <w:rStyle w:val="labs-docsum-authors"/>
        </w:rPr>
        <w:t>Seo</w:t>
      </w:r>
      <w:proofErr w:type="spellEnd"/>
      <w:r w:rsidRPr="007A65C9">
        <w:rPr>
          <w:rStyle w:val="labs-docsum-authors"/>
        </w:rPr>
        <w:t xml:space="preserve"> YJ</w:t>
      </w:r>
      <w:r>
        <w:rPr>
          <w:rStyle w:val="labs-docsum-authors"/>
        </w:rPr>
        <w:t>,</w:t>
      </w:r>
      <w:r w:rsidRPr="007A65C9">
        <w:rPr>
          <w:rStyle w:val="labs-docsum-authors"/>
        </w:rPr>
        <w:t xml:space="preserve"> Choi J,</w:t>
      </w:r>
      <w:r>
        <w:rPr>
          <w:rStyle w:val="labs-docsum-authors"/>
        </w:rPr>
        <w:t xml:space="preserve"> </w:t>
      </w:r>
      <w:r w:rsidRPr="007A65C9">
        <w:rPr>
          <w:rStyle w:val="labs-docsum-authors"/>
        </w:rPr>
        <w:t>Lee</w:t>
      </w:r>
      <w:r>
        <w:rPr>
          <w:rStyle w:val="labs-docsum-authors"/>
        </w:rPr>
        <w:t xml:space="preserve"> </w:t>
      </w:r>
      <w:r w:rsidRPr="007A65C9">
        <w:rPr>
          <w:rStyle w:val="labs-docsum-authors"/>
        </w:rPr>
        <w:t>BY</w:t>
      </w:r>
      <w:r>
        <w:t xml:space="preserve"> </w:t>
      </w:r>
      <w:r w:rsidRPr="007A65C9">
        <w:t xml:space="preserve">(2017) </w:t>
      </w:r>
      <w:hyperlink r:id="rId12" w:history="1">
        <w:r w:rsidRPr="007A65C9">
          <w:rPr>
            <w:rStyle w:val="Hyperlink"/>
            <w:color w:val="auto"/>
            <w:u w:val="none"/>
            <w:shd w:val="clear" w:color="auto" w:fill="FFFFFF"/>
          </w:rPr>
          <w:t>Modulation of HO-1 by Ferulic Acid Attenuates Adipocyte Differentiation in 3T3-L1 Cells.</w:t>
        </w:r>
      </w:hyperlink>
      <w:r w:rsidRPr="007A65C9">
        <w:t xml:space="preserve"> </w:t>
      </w:r>
      <w:r w:rsidRPr="007A65C9">
        <w:rPr>
          <w:rStyle w:val="labs-docsum-journal-citation"/>
          <w:iCs/>
        </w:rPr>
        <w:t>Molecules</w:t>
      </w:r>
      <w:r>
        <w:rPr>
          <w:rStyle w:val="labs-docsum-journal-citation"/>
        </w:rPr>
        <w:t xml:space="preserve"> </w:t>
      </w:r>
      <w:r w:rsidRPr="007A65C9">
        <w:rPr>
          <w:rStyle w:val="labs-docsum-journal-citation"/>
          <w:iCs/>
        </w:rPr>
        <w:t>22(5)</w:t>
      </w:r>
      <w:r>
        <w:rPr>
          <w:rStyle w:val="labs-docsum-journal-citation"/>
        </w:rPr>
        <w:t>:</w:t>
      </w:r>
      <w:r w:rsidRPr="007A65C9">
        <w:rPr>
          <w:rStyle w:val="labs-docsum-journal-citation"/>
        </w:rPr>
        <w:t>745.</w:t>
      </w:r>
    </w:p>
    <w:p w14:paraId="38B6F487" w14:textId="77777777" w:rsidR="00D40F8C" w:rsidRPr="007A65C9" w:rsidRDefault="00D40F8C" w:rsidP="00D40F8C">
      <w:pPr>
        <w:pStyle w:val="desc"/>
        <w:shd w:val="clear" w:color="auto" w:fill="FFFFFF"/>
        <w:spacing w:before="0" w:beforeAutospacing="0" w:after="0" w:afterAutospacing="0" w:line="480" w:lineRule="auto"/>
        <w:rPr>
          <w:color w:val="000000"/>
        </w:rPr>
      </w:pPr>
      <w:r w:rsidRPr="007A65C9">
        <w:rPr>
          <w:color w:val="000000"/>
        </w:rPr>
        <w:t>Lee M, Sorn SR, Park Y, Park HK (2016) Anthocyanin-Rich Black Soybean Testa Improved Visceral Fat and Plasma Lipid Profiles in Overweight/Obese Korean Adults: A Randomized Controlled Trial. J Med Food</w:t>
      </w:r>
      <w:r w:rsidRPr="007A65C9">
        <w:rPr>
          <w:iCs/>
          <w:color w:val="000000"/>
        </w:rPr>
        <w:t xml:space="preserve"> 19(11)</w:t>
      </w:r>
      <w:r>
        <w:rPr>
          <w:iCs/>
          <w:color w:val="000000"/>
        </w:rPr>
        <w:t>:</w:t>
      </w:r>
      <w:r w:rsidRPr="007A65C9">
        <w:rPr>
          <w:color w:val="000000"/>
        </w:rPr>
        <w:t>995-1003.</w:t>
      </w:r>
    </w:p>
    <w:p w14:paraId="5DCFB0B7" w14:textId="77777777" w:rsidR="00D40F8C" w:rsidRPr="007A65C9" w:rsidRDefault="00D40F8C" w:rsidP="00D40F8C">
      <w:pPr>
        <w:pStyle w:val="desc"/>
        <w:shd w:val="clear" w:color="auto" w:fill="FFFFFF"/>
        <w:spacing w:before="0" w:beforeAutospacing="0" w:after="0" w:afterAutospacing="0" w:line="480" w:lineRule="auto"/>
        <w:rPr>
          <w:color w:val="000000"/>
        </w:rPr>
      </w:pPr>
      <w:r w:rsidRPr="00FB65D7">
        <w:rPr>
          <w:color w:val="000000"/>
        </w:rPr>
        <w:t xml:space="preserve">Li D, Wang P, Luo Y, Zhao M, Chen F </w:t>
      </w:r>
      <w:r>
        <w:rPr>
          <w:color w:val="000000"/>
        </w:rPr>
        <w:t xml:space="preserve">(2017) </w:t>
      </w:r>
      <w:r w:rsidRPr="00FB65D7">
        <w:rPr>
          <w:color w:val="000000"/>
        </w:rPr>
        <w:t xml:space="preserve">Health Benefits of Anthocyanins and Molecular Mechanisms: Update </w:t>
      </w:r>
      <w:proofErr w:type="gramStart"/>
      <w:r w:rsidRPr="00FB65D7">
        <w:rPr>
          <w:color w:val="000000"/>
        </w:rPr>
        <w:t>From</w:t>
      </w:r>
      <w:proofErr w:type="gramEnd"/>
      <w:r w:rsidRPr="00FB65D7">
        <w:rPr>
          <w:color w:val="000000"/>
        </w:rPr>
        <w:t xml:space="preserve"> Recent Decade.</w:t>
      </w:r>
      <w:r w:rsidRPr="007A65C9">
        <w:rPr>
          <w:color w:val="000000"/>
        </w:rPr>
        <w:t xml:space="preserve"> </w:t>
      </w:r>
      <w:proofErr w:type="spellStart"/>
      <w:r w:rsidRPr="007A65C9">
        <w:rPr>
          <w:color w:val="000000"/>
        </w:rPr>
        <w:t>Crit</w:t>
      </w:r>
      <w:proofErr w:type="spellEnd"/>
      <w:r w:rsidRPr="007A65C9">
        <w:rPr>
          <w:color w:val="000000"/>
        </w:rPr>
        <w:t xml:space="preserve"> Rev Food Sci </w:t>
      </w:r>
      <w:proofErr w:type="spellStart"/>
      <w:r w:rsidRPr="007A65C9">
        <w:rPr>
          <w:color w:val="000000"/>
        </w:rPr>
        <w:t>Nutr</w:t>
      </w:r>
      <w:proofErr w:type="spellEnd"/>
      <w:r w:rsidRPr="007A65C9">
        <w:rPr>
          <w:iCs/>
          <w:color w:val="000000"/>
        </w:rPr>
        <w:t xml:space="preserve"> 57(8)</w:t>
      </w:r>
      <w:r>
        <w:rPr>
          <w:iCs/>
          <w:color w:val="000000"/>
        </w:rPr>
        <w:t>:</w:t>
      </w:r>
      <w:r w:rsidRPr="007A65C9">
        <w:rPr>
          <w:color w:val="000000"/>
        </w:rPr>
        <w:t>1729-1741.</w:t>
      </w:r>
    </w:p>
    <w:p w14:paraId="03BB35E0" w14:textId="77777777" w:rsidR="00D40F8C" w:rsidRDefault="00A02C9A" w:rsidP="007A65C9">
      <w:pPr>
        <w:pStyle w:val="desc"/>
        <w:shd w:val="clear" w:color="auto" w:fill="FFFFFF"/>
        <w:spacing w:before="0" w:beforeAutospacing="0" w:after="0" w:afterAutospacing="0" w:line="480" w:lineRule="auto"/>
        <w:rPr>
          <w:rStyle w:val="labs-docsum-journal-citation"/>
          <w:color w:val="000000"/>
        </w:rPr>
      </w:pPr>
      <w:hyperlink r:id="rId13" w:history="1">
        <w:proofErr w:type="spellStart"/>
        <w:r w:rsidR="006A7C03" w:rsidRPr="007A65C9">
          <w:rPr>
            <w:rStyle w:val="Hyperlink"/>
            <w:color w:val="auto"/>
            <w:u w:val="none"/>
            <w:shd w:val="clear" w:color="auto" w:fill="FFFFFF"/>
          </w:rPr>
          <w:t>Llaha</w:t>
        </w:r>
        <w:proofErr w:type="spellEnd"/>
        <w:r w:rsidR="006A7C03" w:rsidRPr="007A65C9">
          <w:rPr>
            <w:rStyle w:val="Hyperlink"/>
            <w:color w:val="auto"/>
            <w:u w:val="none"/>
            <w:shd w:val="clear" w:color="auto" w:fill="FFFFFF"/>
          </w:rPr>
          <w:t xml:space="preserve"> F, Zamora-Ros R (2020) The Effects of Polyphenol Supplementation in Addition to Calorie Restricted Diets and/or Physical Activity on Body Composition Parameters: A Systematic Review of Randomized Trials.</w:t>
        </w:r>
      </w:hyperlink>
      <w:r w:rsidR="006A7C03" w:rsidRPr="007A65C9">
        <w:t xml:space="preserve"> </w:t>
      </w:r>
      <w:r w:rsidR="006A7C03" w:rsidRPr="007A65C9">
        <w:rPr>
          <w:rStyle w:val="labs-docsum-journal-citation"/>
          <w:iCs/>
        </w:rPr>
        <w:t>Front</w:t>
      </w:r>
      <w:r w:rsidR="006A7C03">
        <w:rPr>
          <w:rStyle w:val="labs-docsum-journal-citation"/>
          <w:iCs/>
        </w:rPr>
        <w:t xml:space="preserve"> </w:t>
      </w:r>
      <w:proofErr w:type="spellStart"/>
      <w:r w:rsidR="006A7C03" w:rsidRPr="007A65C9">
        <w:rPr>
          <w:rStyle w:val="labs-docsum-journal-citation"/>
          <w:iCs/>
        </w:rPr>
        <w:t>Nutr</w:t>
      </w:r>
      <w:proofErr w:type="spellEnd"/>
      <w:r w:rsidR="006A7C03" w:rsidRPr="007A65C9">
        <w:rPr>
          <w:rStyle w:val="labs-docsum-journal-citation"/>
        </w:rPr>
        <w:t xml:space="preserve"> </w:t>
      </w:r>
      <w:r w:rsidR="006A7C03" w:rsidRPr="007A65C9">
        <w:rPr>
          <w:rStyle w:val="labs-docsum-journal-citation"/>
          <w:iCs/>
        </w:rPr>
        <w:t>7</w:t>
      </w:r>
      <w:r w:rsidR="006A7C03">
        <w:rPr>
          <w:rStyle w:val="labs-docsum-journal-citation"/>
          <w:iCs/>
        </w:rPr>
        <w:t>:</w:t>
      </w:r>
      <w:r w:rsidR="006A7C03" w:rsidRPr="007A65C9">
        <w:rPr>
          <w:rStyle w:val="labs-docsum-journal-citation"/>
        </w:rPr>
        <w:t>84.</w:t>
      </w:r>
    </w:p>
    <w:p w14:paraId="400E7A3D" w14:textId="77777777" w:rsidR="00D40F8C" w:rsidRDefault="007A65C9" w:rsidP="00644445">
      <w:pPr>
        <w:pStyle w:val="desc"/>
        <w:shd w:val="clear" w:color="auto" w:fill="FFFFFF"/>
        <w:spacing w:before="0" w:beforeAutospacing="0" w:after="0" w:afterAutospacing="0" w:line="480" w:lineRule="auto"/>
        <w:rPr>
          <w:color w:val="000000"/>
        </w:rPr>
      </w:pPr>
      <w:proofErr w:type="spellStart"/>
      <w:r w:rsidRPr="00FB65D7">
        <w:rPr>
          <w:color w:val="000000"/>
        </w:rPr>
        <w:t>Manach</w:t>
      </w:r>
      <w:proofErr w:type="spellEnd"/>
      <w:r w:rsidRPr="00FB65D7">
        <w:rPr>
          <w:color w:val="000000"/>
        </w:rPr>
        <w:t xml:space="preserve"> C, </w:t>
      </w:r>
      <w:proofErr w:type="spellStart"/>
      <w:r w:rsidRPr="00FB65D7">
        <w:rPr>
          <w:color w:val="000000"/>
        </w:rPr>
        <w:t>Scalbert</w:t>
      </w:r>
      <w:proofErr w:type="spellEnd"/>
      <w:r w:rsidRPr="00FB65D7">
        <w:rPr>
          <w:color w:val="000000"/>
        </w:rPr>
        <w:t xml:space="preserve"> A, </w:t>
      </w:r>
      <w:proofErr w:type="spellStart"/>
      <w:r w:rsidRPr="00FB65D7">
        <w:rPr>
          <w:color w:val="000000"/>
        </w:rPr>
        <w:t>Morand</w:t>
      </w:r>
      <w:proofErr w:type="spellEnd"/>
      <w:r w:rsidRPr="00FB65D7">
        <w:rPr>
          <w:color w:val="000000"/>
        </w:rPr>
        <w:t xml:space="preserve"> C, </w:t>
      </w:r>
      <w:proofErr w:type="spellStart"/>
      <w:r w:rsidRPr="00FB65D7">
        <w:rPr>
          <w:color w:val="000000"/>
        </w:rPr>
        <w:t>Rémésy</w:t>
      </w:r>
      <w:proofErr w:type="spellEnd"/>
      <w:r w:rsidRPr="00FB65D7">
        <w:rPr>
          <w:color w:val="000000"/>
        </w:rPr>
        <w:t xml:space="preserve"> C, Jiménez L </w:t>
      </w:r>
      <w:r>
        <w:rPr>
          <w:color w:val="000000"/>
        </w:rPr>
        <w:t>(</w:t>
      </w:r>
      <w:r w:rsidRPr="007A65C9">
        <w:rPr>
          <w:color w:val="000000"/>
        </w:rPr>
        <w:t xml:space="preserve">2004) Polyphenols: Food Sources and Bioavailability. </w:t>
      </w:r>
      <w:r w:rsidRPr="007A65C9">
        <w:rPr>
          <w:rStyle w:val="jrnl"/>
          <w:color w:val="000000"/>
        </w:rPr>
        <w:t xml:space="preserve">Am </w:t>
      </w:r>
      <w:r>
        <w:rPr>
          <w:rStyle w:val="jrnl"/>
          <w:color w:val="000000"/>
        </w:rPr>
        <w:t>J</w:t>
      </w:r>
      <w:r w:rsidRPr="007A65C9">
        <w:rPr>
          <w:rStyle w:val="jrnl"/>
          <w:color w:val="000000"/>
        </w:rPr>
        <w:t xml:space="preserve"> Clin </w:t>
      </w:r>
      <w:proofErr w:type="spellStart"/>
      <w:r w:rsidRPr="007A65C9">
        <w:rPr>
          <w:rStyle w:val="jrnl"/>
          <w:color w:val="000000"/>
        </w:rPr>
        <w:t>Nutr</w:t>
      </w:r>
      <w:proofErr w:type="spellEnd"/>
      <w:r>
        <w:rPr>
          <w:rStyle w:val="jrnl"/>
          <w:color w:val="000000"/>
        </w:rPr>
        <w:t xml:space="preserve"> </w:t>
      </w:r>
      <w:r w:rsidRPr="007A65C9">
        <w:rPr>
          <w:iCs/>
          <w:color w:val="000000"/>
        </w:rPr>
        <w:t>79(5)</w:t>
      </w:r>
      <w:r w:rsidRPr="007A65C9">
        <w:rPr>
          <w:color w:val="000000"/>
        </w:rPr>
        <w:t>, 7</w:t>
      </w:r>
      <w:r w:rsidRPr="00FB65D7">
        <w:rPr>
          <w:color w:val="000000"/>
        </w:rPr>
        <w:t>27-747.</w:t>
      </w:r>
    </w:p>
    <w:p w14:paraId="067441EB" w14:textId="77777777" w:rsidR="00D40F8C" w:rsidRDefault="00644445" w:rsidP="00D40F8C">
      <w:pPr>
        <w:pStyle w:val="desc"/>
        <w:shd w:val="clear" w:color="auto" w:fill="FFFFFF"/>
        <w:spacing w:before="0" w:beforeAutospacing="0" w:after="0" w:afterAutospacing="0" w:line="480" w:lineRule="auto"/>
        <w:rPr>
          <w:color w:val="000000"/>
        </w:rPr>
      </w:pPr>
      <w:r w:rsidRPr="007A65C9">
        <w:rPr>
          <w:color w:val="000000"/>
        </w:rPr>
        <w:t xml:space="preserve">Mink PJ, </w:t>
      </w:r>
      <w:proofErr w:type="spellStart"/>
      <w:r w:rsidRPr="007A65C9">
        <w:rPr>
          <w:color w:val="000000"/>
        </w:rPr>
        <w:t>Scrafford</w:t>
      </w:r>
      <w:proofErr w:type="spellEnd"/>
      <w:r w:rsidRPr="007A65C9">
        <w:rPr>
          <w:color w:val="000000"/>
        </w:rPr>
        <w:t xml:space="preserve"> CG, </w:t>
      </w:r>
      <w:proofErr w:type="spellStart"/>
      <w:r w:rsidRPr="007A65C9">
        <w:rPr>
          <w:color w:val="000000"/>
        </w:rPr>
        <w:t>Barraj</w:t>
      </w:r>
      <w:proofErr w:type="spellEnd"/>
      <w:r w:rsidRPr="007A65C9">
        <w:rPr>
          <w:color w:val="000000"/>
        </w:rPr>
        <w:t xml:space="preserve"> LM, </w:t>
      </w:r>
      <w:proofErr w:type="spellStart"/>
      <w:r w:rsidRPr="007A65C9">
        <w:rPr>
          <w:color w:val="000000"/>
        </w:rPr>
        <w:t>Harnack</w:t>
      </w:r>
      <w:proofErr w:type="spellEnd"/>
      <w:r w:rsidRPr="007A65C9">
        <w:rPr>
          <w:color w:val="000000"/>
        </w:rPr>
        <w:t xml:space="preserve"> L, Hong CP, Nettleton JA, Jacobs DR Jr (2007) Flavonoid intake and cardiovascular disease mortality: a prospective study in postmenopausal women. </w:t>
      </w:r>
      <w:r w:rsidRPr="007A65C9">
        <w:rPr>
          <w:iCs/>
          <w:color w:val="000000"/>
        </w:rPr>
        <w:t xml:space="preserve">Am J Clin </w:t>
      </w:r>
      <w:proofErr w:type="spellStart"/>
      <w:r w:rsidRPr="007A65C9">
        <w:rPr>
          <w:iCs/>
          <w:color w:val="000000"/>
        </w:rPr>
        <w:t>Nutr</w:t>
      </w:r>
      <w:proofErr w:type="spellEnd"/>
      <w:r w:rsidRPr="007A65C9">
        <w:rPr>
          <w:color w:val="000000"/>
        </w:rPr>
        <w:t xml:space="preserve"> </w:t>
      </w:r>
      <w:r w:rsidRPr="007A65C9">
        <w:rPr>
          <w:iCs/>
          <w:color w:val="000000"/>
        </w:rPr>
        <w:t>85(3)</w:t>
      </w:r>
      <w:r>
        <w:rPr>
          <w:iCs/>
          <w:color w:val="000000"/>
        </w:rPr>
        <w:t>:</w:t>
      </w:r>
      <w:r w:rsidRPr="007A65C9">
        <w:rPr>
          <w:color w:val="000000"/>
        </w:rPr>
        <w:t>895-909.</w:t>
      </w:r>
    </w:p>
    <w:p w14:paraId="351179FC" w14:textId="77777777" w:rsidR="00D40F8C" w:rsidRDefault="00923598" w:rsidP="00923598">
      <w:pPr>
        <w:pStyle w:val="desc"/>
        <w:shd w:val="clear" w:color="auto" w:fill="FFFFFF"/>
        <w:spacing w:before="0" w:beforeAutospacing="0" w:after="0" w:afterAutospacing="0" w:line="480" w:lineRule="auto"/>
        <w:rPr>
          <w:color w:val="000000"/>
        </w:rPr>
      </w:pPr>
      <w:proofErr w:type="spellStart"/>
      <w:r w:rsidRPr="00D62EB0">
        <w:t>Neveu</w:t>
      </w:r>
      <w:proofErr w:type="spellEnd"/>
      <w:r w:rsidRPr="00D62EB0">
        <w:t xml:space="preserve"> V, Perez-Jiménez J, Vos F, </w:t>
      </w:r>
      <w:proofErr w:type="spellStart"/>
      <w:r w:rsidRPr="00D62EB0">
        <w:rPr>
          <w:shd w:val="clear" w:color="auto" w:fill="FFFFFF"/>
        </w:rPr>
        <w:t>Crespy</w:t>
      </w:r>
      <w:proofErr w:type="spellEnd"/>
      <w:r w:rsidRPr="00D62EB0">
        <w:rPr>
          <w:shd w:val="clear" w:color="auto" w:fill="FFFFFF"/>
        </w:rPr>
        <w:t xml:space="preserve"> V, du </w:t>
      </w:r>
      <w:proofErr w:type="spellStart"/>
      <w:r w:rsidRPr="00D62EB0">
        <w:rPr>
          <w:shd w:val="clear" w:color="auto" w:fill="FFFFFF"/>
        </w:rPr>
        <w:t>Chaffaut</w:t>
      </w:r>
      <w:proofErr w:type="spellEnd"/>
      <w:r w:rsidRPr="00D62EB0">
        <w:rPr>
          <w:shd w:val="clear" w:color="auto" w:fill="FFFFFF"/>
        </w:rPr>
        <w:t xml:space="preserve"> L, Mennen L, Knox C, Eisner R, Cruz J, Wishart D, </w:t>
      </w:r>
      <w:proofErr w:type="spellStart"/>
      <w:r w:rsidRPr="00D62EB0">
        <w:rPr>
          <w:shd w:val="clear" w:color="auto" w:fill="FFFFFF"/>
        </w:rPr>
        <w:t>Scalbert</w:t>
      </w:r>
      <w:proofErr w:type="spellEnd"/>
      <w:r w:rsidRPr="00D62EB0">
        <w:rPr>
          <w:shd w:val="clear" w:color="auto" w:fill="FFFFFF"/>
        </w:rPr>
        <w:t xml:space="preserve"> A</w:t>
      </w:r>
      <w:r w:rsidRPr="00D62EB0">
        <w:t xml:space="preserve"> (2010) Phenol-Explorer: an online comprehensive database on polyphenol contents in foods. </w:t>
      </w:r>
      <w:r w:rsidRPr="00D62EB0">
        <w:rPr>
          <w:iCs/>
        </w:rPr>
        <w:t xml:space="preserve">Database (Oxford) </w:t>
      </w:r>
      <w:proofErr w:type="gramStart"/>
      <w:r w:rsidRPr="00D62EB0">
        <w:rPr>
          <w:iCs/>
        </w:rPr>
        <w:t>2010:b</w:t>
      </w:r>
      <w:r w:rsidRPr="00D62EB0">
        <w:t>ap</w:t>
      </w:r>
      <w:proofErr w:type="gramEnd"/>
      <w:r w:rsidRPr="00D62EB0">
        <w:t>024.</w:t>
      </w:r>
    </w:p>
    <w:p w14:paraId="7A81996D" w14:textId="77777777" w:rsidR="00D40F8C" w:rsidRDefault="00373DFA" w:rsidP="006A7C03">
      <w:pPr>
        <w:pStyle w:val="desc"/>
        <w:shd w:val="clear" w:color="auto" w:fill="FFFFFF"/>
        <w:spacing w:before="0" w:beforeAutospacing="0" w:after="0" w:afterAutospacing="0" w:line="480" w:lineRule="auto"/>
        <w:rPr>
          <w:color w:val="000000"/>
        </w:rPr>
      </w:pPr>
      <w:r w:rsidRPr="00FB65D7">
        <w:rPr>
          <w:rStyle w:val="labs-docsum-authors"/>
          <w:color w:val="000000"/>
        </w:rPr>
        <w:t xml:space="preserve">Overall J, Bonney SA, Wilson M, </w:t>
      </w:r>
      <w:proofErr w:type="spellStart"/>
      <w:r w:rsidRPr="00FB65D7">
        <w:rPr>
          <w:rStyle w:val="labs-docsum-authors"/>
          <w:color w:val="000000"/>
        </w:rPr>
        <w:t>Beermann</w:t>
      </w:r>
      <w:proofErr w:type="spellEnd"/>
      <w:r w:rsidRPr="00FB65D7">
        <w:rPr>
          <w:rStyle w:val="labs-docsum-authors"/>
          <w:color w:val="000000"/>
        </w:rPr>
        <w:t xml:space="preserve"> A, Grace MH, Esposito D,</w:t>
      </w:r>
      <w:r w:rsidR="007A65C9">
        <w:rPr>
          <w:rStyle w:val="labs-docsum-authors"/>
          <w:color w:val="000000"/>
        </w:rPr>
        <w:t xml:space="preserve"> Lila MA,</w:t>
      </w:r>
      <w:r w:rsidR="006A7C03">
        <w:rPr>
          <w:rStyle w:val="labs-docsum-authors"/>
          <w:color w:val="000000"/>
        </w:rPr>
        <w:t xml:space="preserve"> </w:t>
      </w:r>
      <w:proofErr w:type="spellStart"/>
      <w:r w:rsidR="0066573A">
        <w:rPr>
          <w:rStyle w:val="labs-docsum-authors"/>
          <w:color w:val="000000"/>
        </w:rPr>
        <w:t>Komarnytsky</w:t>
      </w:r>
      <w:proofErr w:type="spellEnd"/>
      <w:r w:rsidR="0066573A">
        <w:rPr>
          <w:rStyle w:val="labs-docsum-authors"/>
          <w:color w:val="000000"/>
        </w:rPr>
        <w:t xml:space="preserve"> S</w:t>
      </w:r>
      <w:r w:rsidRPr="00FB65D7">
        <w:rPr>
          <w:rStyle w:val="labs-docsum-authors"/>
          <w:color w:val="000000"/>
        </w:rPr>
        <w:t xml:space="preserve"> </w:t>
      </w:r>
      <w:r w:rsidR="0066573A">
        <w:rPr>
          <w:rStyle w:val="labs-docsum-authors"/>
          <w:color w:val="000000"/>
        </w:rPr>
        <w:t xml:space="preserve">(2017) </w:t>
      </w:r>
      <w:r w:rsidRPr="00FB65D7">
        <w:rPr>
          <w:rStyle w:val="labs-docsum-authors"/>
          <w:color w:val="000000"/>
        </w:rPr>
        <w:t xml:space="preserve">Metabolic Effects of Berries with Structurally Diverse Anthocyanins. </w:t>
      </w:r>
      <w:r w:rsidRPr="007A65C9">
        <w:rPr>
          <w:rStyle w:val="labs-docsum-journal-citation"/>
          <w:iCs/>
          <w:color w:val="000000"/>
        </w:rPr>
        <w:t>Int J Mol Sci</w:t>
      </w:r>
      <w:r w:rsidR="0066573A" w:rsidRPr="007A65C9">
        <w:rPr>
          <w:rStyle w:val="labs-docsum-journal-citation"/>
          <w:color w:val="000000"/>
        </w:rPr>
        <w:t xml:space="preserve"> </w:t>
      </w:r>
      <w:r w:rsidRPr="007A65C9">
        <w:rPr>
          <w:rStyle w:val="labs-docsum-journal-citation"/>
          <w:iCs/>
          <w:color w:val="000000"/>
        </w:rPr>
        <w:t>18(2)</w:t>
      </w:r>
      <w:r w:rsidR="007A65C9">
        <w:rPr>
          <w:rStyle w:val="labs-docsum-journal-citation"/>
          <w:iCs/>
          <w:color w:val="000000"/>
        </w:rPr>
        <w:t>:</w:t>
      </w:r>
      <w:r w:rsidRPr="007A65C9">
        <w:rPr>
          <w:rStyle w:val="labs-docsum-journal-citation"/>
          <w:color w:val="000000"/>
        </w:rPr>
        <w:t>422</w:t>
      </w:r>
      <w:r w:rsidRPr="00FB65D7">
        <w:rPr>
          <w:rStyle w:val="labs-docsum-journal-citation"/>
          <w:color w:val="000000"/>
        </w:rPr>
        <w:t>.</w:t>
      </w:r>
    </w:p>
    <w:p w14:paraId="58E7E57B" w14:textId="77777777" w:rsidR="00D40F8C" w:rsidRDefault="006A7C03" w:rsidP="006A7C03">
      <w:pPr>
        <w:pStyle w:val="desc"/>
        <w:shd w:val="clear" w:color="auto" w:fill="FFFFFF"/>
        <w:spacing w:before="0" w:beforeAutospacing="0" w:after="0" w:afterAutospacing="0" w:line="480" w:lineRule="auto"/>
        <w:rPr>
          <w:color w:val="000000"/>
        </w:rPr>
      </w:pPr>
      <w:proofErr w:type="spellStart"/>
      <w:r w:rsidRPr="007A65C9">
        <w:rPr>
          <w:bCs/>
          <w:color w:val="000000"/>
        </w:rPr>
        <w:t>Solverson</w:t>
      </w:r>
      <w:proofErr w:type="spellEnd"/>
      <w:r w:rsidRPr="007A65C9">
        <w:rPr>
          <w:color w:val="000000"/>
        </w:rPr>
        <w:t xml:space="preserve"> PM, </w:t>
      </w:r>
      <w:proofErr w:type="spellStart"/>
      <w:r w:rsidRPr="007A65C9">
        <w:rPr>
          <w:color w:val="000000"/>
        </w:rPr>
        <w:t>Rumpler</w:t>
      </w:r>
      <w:proofErr w:type="spellEnd"/>
      <w:r w:rsidRPr="007A65C9">
        <w:rPr>
          <w:color w:val="000000"/>
        </w:rPr>
        <w:t xml:space="preserve"> WV, Leger JL, </w:t>
      </w:r>
      <w:proofErr w:type="spellStart"/>
      <w:r w:rsidRPr="007A65C9">
        <w:rPr>
          <w:color w:val="000000"/>
        </w:rPr>
        <w:t>Redan</w:t>
      </w:r>
      <w:proofErr w:type="spellEnd"/>
      <w:r w:rsidRPr="007A65C9">
        <w:rPr>
          <w:color w:val="000000"/>
        </w:rPr>
        <w:t xml:space="preserve"> BW, </w:t>
      </w:r>
      <w:proofErr w:type="spellStart"/>
      <w:r w:rsidRPr="007A65C9">
        <w:rPr>
          <w:color w:val="000000"/>
        </w:rPr>
        <w:t>Ferruzzi</w:t>
      </w:r>
      <w:proofErr w:type="spellEnd"/>
      <w:r w:rsidRPr="007A65C9">
        <w:rPr>
          <w:color w:val="000000"/>
        </w:rPr>
        <w:t xml:space="preserve"> MG, Baer DJ, </w:t>
      </w:r>
      <w:r>
        <w:rPr>
          <w:color w:val="000000"/>
        </w:rPr>
        <w:t xml:space="preserve">Castonguay TW, </w:t>
      </w:r>
      <w:r w:rsidRPr="007A65C9">
        <w:rPr>
          <w:color w:val="000000"/>
        </w:rPr>
        <w:t>Novotny JA</w:t>
      </w:r>
      <w:r>
        <w:rPr>
          <w:color w:val="000000"/>
        </w:rPr>
        <w:t xml:space="preserve"> </w:t>
      </w:r>
      <w:r w:rsidRPr="007A65C9">
        <w:rPr>
          <w:color w:val="000000"/>
        </w:rPr>
        <w:t xml:space="preserve">(2018) Blackberry Feeding Increases Fat Oxidation and Improves Insulin Sensitivity in Overweight and Obese Males. </w:t>
      </w:r>
      <w:r w:rsidRPr="007A65C9">
        <w:rPr>
          <w:rStyle w:val="jrnl"/>
          <w:color w:val="000000"/>
        </w:rPr>
        <w:t>Nutrients</w:t>
      </w:r>
      <w:r>
        <w:rPr>
          <w:rStyle w:val="jrnl"/>
          <w:iCs/>
          <w:color w:val="000000"/>
        </w:rPr>
        <w:t xml:space="preserve"> </w:t>
      </w:r>
      <w:r w:rsidRPr="007A65C9">
        <w:rPr>
          <w:rStyle w:val="jrnl"/>
          <w:color w:val="000000"/>
        </w:rPr>
        <w:t>1</w:t>
      </w:r>
      <w:r w:rsidRPr="007A65C9">
        <w:rPr>
          <w:color w:val="000000"/>
        </w:rPr>
        <w:t>0(8</w:t>
      </w:r>
      <w:proofErr w:type="gramStart"/>
      <w:r w:rsidRPr="007A65C9">
        <w:rPr>
          <w:color w:val="000000"/>
        </w:rPr>
        <w:t>)</w:t>
      </w:r>
      <w:r>
        <w:rPr>
          <w:color w:val="000000"/>
        </w:rPr>
        <w:t>:</w:t>
      </w:r>
      <w:proofErr w:type="spellStart"/>
      <w:r w:rsidRPr="007A65C9">
        <w:rPr>
          <w:color w:val="000000"/>
        </w:rPr>
        <w:t>pii</w:t>
      </w:r>
      <w:proofErr w:type="spellEnd"/>
      <w:proofErr w:type="gramEnd"/>
      <w:r w:rsidRPr="007A65C9">
        <w:rPr>
          <w:color w:val="000000"/>
        </w:rPr>
        <w:t xml:space="preserve"> E1048. </w:t>
      </w:r>
    </w:p>
    <w:p w14:paraId="535B7553" w14:textId="77777777" w:rsidR="00D40F8C" w:rsidRDefault="006A7C03" w:rsidP="006A7C03">
      <w:pPr>
        <w:pStyle w:val="desc"/>
        <w:shd w:val="clear" w:color="auto" w:fill="FFFFFF"/>
        <w:spacing w:before="0" w:beforeAutospacing="0" w:after="0" w:afterAutospacing="0" w:line="480" w:lineRule="auto"/>
        <w:rPr>
          <w:color w:val="000000"/>
        </w:rPr>
      </w:pPr>
      <w:r w:rsidRPr="007A65C9">
        <w:t>Strauss JA, Willems MET, Shepherd SO</w:t>
      </w:r>
      <w:r>
        <w:t xml:space="preserve"> (2018)</w:t>
      </w:r>
      <w:r w:rsidRPr="007A65C9">
        <w:t xml:space="preserve"> New Zealand blackcurrant extract enhances fat oxidation during prolonged cycling in endurance-trained females. </w:t>
      </w:r>
      <w:r w:rsidRPr="007A65C9">
        <w:rPr>
          <w:iCs/>
        </w:rPr>
        <w:t>Eur J</w:t>
      </w:r>
      <w:r>
        <w:rPr>
          <w:iCs/>
        </w:rPr>
        <w:t xml:space="preserve"> </w:t>
      </w:r>
      <w:proofErr w:type="spellStart"/>
      <w:r w:rsidRPr="007A65C9">
        <w:rPr>
          <w:iCs/>
        </w:rPr>
        <w:t>Appl</w:t>
      </w:r>
      <w:proofErr w:type="spellEnd"/>
      <w:r>
        <w:rPr>
          <w:iCs/>
        </w:rPr>
        <w:t xml:space="preserve"> </w:t>
      </w:r>
      <w:proofErr w:type="spellStart"/>
      <w:r w:rsidRPr="007A65C9">
        <w:rPr>
          <w:iCs/>
        </w:rPr>
        <w:t>Physiol</w:t>
      </w:r>
      <w:proofErr w:type="spellEnd"/>
      <w:r>
        <w:rPr>
          <w:iCs/>
        </w:rPr>
        <w:t xml:space="preserve"> </w:t>
      </w:r>
      <w:r w:rsidRPr="007A65C9">
        <w:rPr>
          <w:iCs/>
        </w:rPr>
        <w:t>118(6)</w:t>
      </w:r>
      <w:r>
        <w:t>:</w:t>
      </w:r>
      <w:r w:rsidRPr="007A65C9">
        <w:t>1265-1272.</w:t>
      </w:r>
    </w:p>
    <w:p w14:paraId="76B0E297" w14:textId="77777777" w:rsidR="00D40F8C" w:rsidRDefault="006A7C03" w:rsidP="00BC021F">
      <w:pPr>
        <w:pStyle w:val="desc"/>
        <w:shd w:val="clear" w:color="auto" w:fill="FFFFFF"/>
        <w:spacing w:before="0" w:beforeAutospacing="0" w:after="0" w:afterAutospacing="0" w:line="480" w:lineRule="auto"/>
        <w:rPr>
          <w:color w:val="000000"/>
        </w:rPr>
      </w:pPr>
      <w:r w:rsidRPr="007A65C9">
        <w:rPr>
          <w:color w:val="000000"/>
        </w:rPr>
        <w:t xml:space="preserve">Tsuda T, Ueno Y, Aoki H, </w:t>
      </w:r>
      <w:proofErr w:type="spellStart"/>
      <w:r w:rsidRPr="007A65C9">
        <w:rPr>
          <w:color w:val="000000"/>
        </w:rPr>
        <w:t>Koda</w:t>
      </w:r>
      <w:proofErr w:type="spellEnd"/>
      <w:r w:rsidRPr="007A65C9">
        <w:rPr>
          <w:color w:val="000000"/>
        </w:rPr>
        <w:t xml:space="preserve"> T, </w:t>
      </w:r>
      <w:proofErr w:type="spellStart"/>
      <w:r w:rsidRPr="007A65C9">
        <w:rPr>
          <w:color w:val="000000"/>
        </w:rPr>
        <w:t>Horio</w:t>
      </w:r>
      <w:proofErr w:type="spellEnd"/>
      <w:r w:rsidRPr="007A65C9">
        <w:rPr>
          <w:color w:val="000000"/>
        </w:rPr>
        <w:t xml:space="preserve"> F, Takahashi N, </w:t>
      </w:r>
      <w:r>
        <w:rPr>
          <w:color w:val="000000"/>
        </w:rPr>
        <w:t xml:space="preserve">Kawada T, </w:t>
      </w:r>
      <w:proofErr w:type="spellStart"/>
      <w:r>
        <w:rPr>
          <w:color w:val="000000"/>
        </w:rPr>
        <w:t>O</w:t>
      </w:r>
      <w:r w:rsidRPr="007A65C9">
        <w:rPr>
          <w:color w:val="000000"/>
        </w:rPr>
        <w:t>sawa</w:t>
      </w:r>
      <w:proofErr w:type="spellEnd"/>
      <w:r w:rsidRPr="007A65C9">
        <w:rPr>
          <w:color w:val="000000"/>
        </w:rPr>
        <w:t>, T (2004)</w:t>
      </w:r>
      <w:r>
        <w:rPr>
          <w:color w:val="000000"/>
        </w:rPr>
        <w:t xml:space="preserve"> </w:t>
      </w:r>
      <w:r w:rsidRPr="007A65C9">
        <w:rPr>
          <w:color w:val="000000"/>
        </w:rPr>
        <w:t xml:space="preserve">Anthocyanin enhances adipocytokine secretion and adipocyte-specific gene expression in isolated rat adipocytes. </w:t>
      </w:r>
      <w:proofErr w:type="spellStart"/>
      <w:r w:rsidRPr="007A65C9">
        <w:rPr>
          <w:rStyle w:val="jrnl"/>
          <w:iCs/>
          <w:color w:val="000000"/>
        </w:rPr>
        <w:t>Biochem</w:t>
      </w:r>
      <w:proofErr w:type="spellEnd"/>
      <w:r w:rsidRPr="007A65C9">
        <w:rPr>
          <w:rStyle w:val="jrnl"/>
          <w:iCs/>
          <w:color w:val="000000"/>
        </w:rPr>
        <w:t xml:space="preserve"> </w:t>
      </w:r>
      <w:proofErr w:type="spellStart"/>
      <w:r w:rsidRPr="007A65C9">
        <w:rPr>
          <w:rStyle w:val="jrnl"/>
          <w:iCs/>
          <w:color w:val="000000"/>
        </w:rPr>
        <w:t>Biophys</w:t>
      </w:r>
      <w:proofErr w:type="spellEnd"/>
      <w:r w:rsidRPr="007A65C9">
        <w:rPr>
          <w:rStyle w:val="jrnl"/>
          <w:iCs/>
          <w:color w:val="000000"/>
        </w:rPr>
        <w:t xml:space="preserve"> Res </w:t>
      </w:r>
      <w:proofErr w:type="spellStart"/>
      <w:r w:rsidRPr="007A65C9">
        <w:rPr>
          <w:rStyle w:val="jrnl"/>
          <w:iCs/>
          <w:color w:val="000000"/>
        </w:rPr>
        <w:t>Commun</w:t>
      </w:r>
      <w:proofErr w:type="spellEnd"/>
      <w:r w:rsidRPr="007A65C9">
        <w:rPr>
          <w:rStyle w:val="jrnl"/>
          <w:color w:val="000000"/>
        </w:rPr>
        <w:t xml:space="preserve"> </w:t>
      </w:r>
      <w:r w:rsidRPr="007A65C9">
        <w:rPr>
          <w:iCs/>
          <w:color w:val="000000"/>
        </w:rPr>
        <w:t>316(1)</w:t>
      </w:r>
      <w:r>
        <w:rPr>
          <w:iCs/>
          <w:color w:val="000000"/>
        </w:rPr>
        <w:t>:</w:t>
      </w:r>
      <w:r w:rsidRPr="007A65C9">
        <w:rPr>
          <w:color w:val="000000"/>
        </w:rPr>
        <w:t>149-157.</w:t>
      </w:r>
    </w:p>
    <w:p w14:paraId="7AF1BB34" w14:textId="11EE5DBA" w:rsidR="00D40F8C" w:rsidRDefault="00BC021F" w:rsidP="006A7C03">
      <w:pPr>
        <w:pStyle w:val="desc"/>
        <w:shd w:val="clear" w:color="auto" w:fill="FFFFFF"/>
        <w:spacing w:before="0" w:beforeAutospacing="0" w:after="0" w:afterAutospacing="0" w:line="480" w:lineRule="auto"/>
        <w:rPr>
          <w:rStyle w:val="labs-docsum-journal-citation"/>
          <w:color w:val="000000"/>
        </w:rPr>
      </w:pPr>
      <w:r w:rsidRPr="007A65C9">
        <w:rPr>
          <w:rStyle w:val="labs-docsum-authors"/>
        </w:rPr>
        <w:t xml:space="preserve">Wang W, Pan Y, Wang L, Zhou H, Song G, Wang Y, </w:t>
      </w:r>
      <w:r>
        <w:rPr>
          <w:rStyle w:val="labs-docsum-authors"/>
        </w:rPr>
        <w:t>Liu J, L</w:t>
      </w:r>
      <w:r w:rsidRPr="007A65C9">
        <w:rPr>
          <w:rStyle w:val="labs-docsum-authors"/>
        </w:rPr>
        <w:t>i, A. (2019)</w:t>
      </w:r>
      <w:r w:rsidRPr="007A65C9">
        <w:t xml:space="preserve"> </w:t>
      </w:r>
      <w:hyperlink r:id="rId14" w:history="1">
        <w:r w:rsidRPr="007A65C9">
          <w:rPr>
            <w:rStyle w:val="Hyperlink"/>
            <w:color w:val="auto"/>
            <w:u w:val="none"/>
            <w:shd w:val="clear" w:color="auto" w:fill="FFFFFF"/>
          </w:rPr>
          <w:t>Optimal Dietary Ferulic Acid for Suppressing the Obesity-Related Disorders in Leptin-Deficient Obese C57BL/6J -</w:t>
        </w:r>
        <w:proofErr w:type="spellStart"/>
        <w:r w:rsidRPr="007A65C9">
          <w:rPr>
            <w:rStyle w:val="Hyperlink"/>
            <w:color w:val="auto"/>
            <w:u w:val="none"/>
            <w:shd w:val="clear" w:color="auto" w:fill="FFFFFF"/>
          </w:rPr>
          <w:t>ob</w:t>
        </w:r>
        <w:proofErr w:type="spellEnd"/>
        <w:r w:rsidRPr="007A65C9">
          <w:rPr>
            <w:rStyle w:val="Hyperlink"/>
            <w:color w:val="auto"/>
            <w:u w:val="none"/>
            <w:shd w:val="clear" w:color="auto" w:fill="FFFFFF"/>
          </w:rPr>
          <w:t>/</w:t>
        </w:r>
        <w:proofErr w:type="spellStart"/>
        <w:r w:rsidRPr="007A65C9">
          <w:rPr>
            <w:rStyle w:val="Hyperlink"/>
            <w:color w:val="auto"/>
            <w:u w:val="none"/>
            <w:shd w:val="clear" w:color="auto" w:fill="FFFFFF"/>
          </w:rPr>
          <w:t>ob</w:t>
        </w:r>
        <w:proofErr w:type="spellEnd"/>
        <w:r w:rsidRPr="007A65C9">
          <w:rPr>
            <w:rStyle w:val="Hyperlink"/>
            <w:color w:val="auto"/>
            <w:u w:val="none"/>
            <w:shd w:val="clear" w:color="auto" w:fill="FFFFFF"/>
          </w:rPr>
          <w:t xml:space="preserve"> Mice.</w:t>
        </w:r>
      </w:hyperlink>
      <w:r w:rsidRPr="007A65C9">
        <w:t xml:space="preserve"> </w:t>
      </w:r>
      <w:r w:rsidRPr="007A65C9">
        <w:rPr>
          <w:rStyle w:val="labs-docsum-journal-citation"/>
          <w:iCs/>
        </w:rPr>
        <w:t>J Agr</w:t>
      </w:r>
      <w:r>
        <w:rPr>
          <w:rStyle w:val="labs-docsum-journal-citation"/>
          <w:iCs/>
        </w:rPr>
        <w:t>ic</w:t>
      </w:r>
      <w:r w:rsidRPr="007A65C9">
        <w:rPr>
          <w:rStyle w:val="labs-docsum-journal-citation"/>
          <w:iCs/>
        </w:rPr>
        <w:t xml:space="preserve"> Food Chem</w:t>
      </w:r>
      <w:r w:rsidRPr="007A65C9">
        <w:rPr>
          <w:rStyle w:val="labs-docsum-journal-citation"/>
        </w:rPr>
        <w:t xml:space="preserve"> </w:t>
      </w:r>
      <w:r w:rsidRPr="007A65C9">
        <w:rPr>
          <w:rStyle w:val="labs-docsum-journal-citation"/>
          <w:iCs/>
        </w:rPr>
        <w:t>67(15)</w:t>
      </w:r>
      <w:r>
        <w:rPr>
          <w:rStyle w:val="labs-docsum-journal-citation"/>
          <w:iCs/>
        </w:rPr>
        <w:t>:</w:t>
      </w:r>
      <w:r w:rsidRPr="007A65C9">
        <w:rPr>
          <w:rStyle w:val="labs-docsum-journal-citation"/>
        </w:rPr>
        <w:t>4250-4258.</w:t>
      </w:r>
    </w:p>
    <w:p w14:paraId="26A7BFF0" w14:textId="77777777" w:rsidR="00D40F8C" w:rsidRDefault="006A7C03" w:rsidP="007A65C9">
      <w:pPr>
        <w:pStyle w:val="desc"/>
        <w:shd w:val="clear" w:color="auto" w:fill="FFFFFF"/>
        <w:spacing w:before="0" w:beforeAutospacing="0" w:after="0" w:afterAutospacing="0" w:line="480" w:lineRule="auto"/>
        <w:rPr>
          <w:color w:val="000000"/>
        </w:rPr>
      </w:pPr>
      <w:r w:rsidRPr="007A65C9">
        <w:rPr>
          <w:bCs/>
          <w:color w:val="000000"/>
        </w:rPr>
        <w:t>Wu</w:t>
      </w:r>
      <w:r w:rsidRPr="007A65C9">
        <w:rPr>
          <w:color w:val="000000"/>
        </w:rPr>
        <w:t xml:space="preserve"> T, Tang Q, Gao Z, Yu Z, Song H, Zheng X, Chen W (2013) Blueberry and mulberry juice prevent obesity development in C57BL/6 mice. </w:t>
      </w:r>
      <w:proofErr w:type="spellStart"/>
      <w:r w:rsidRPr="007A65C9">
        <w:rPr>
          <w:rStyle w:val="jrnl"/>
          <w:color w:val="000000"/>
        </w:rPr>
        <w:t>PLoS</w:t>
      </w:r>
      <w:proofErr w:type="spellEnd"/>
      <w:r w:rsidRPr="007A65C9">
        <w:rPr>
          <w:rStyle w:val="jrnl"/>
          <w:color w:val="000000"/>
        </w:rPr>
        <w:t xml:space="preserve"> One</w:t>
      </w:r>
      <w:r>
        <w:rPr>
          <w:rStyle w:val="jrnl"/>
          <w:color w:val="000000"/>
        </w:rPr>
        <w:t xml:space="preserve"> </w:t>
      </w:r>
      <w:r w:rsidRPr="007A65C9">
        <w:rPr>
          <w:iCs/>
          <w:color w:val="000000"/>
        </w:rPr>
        <w:t>8(10</w:t>
      </w:r>
      <w:proofErr w:type="gramStart"/>
      <w:r w:rsidRPr="007A65C9">
        <w:rPr>
          <w:iCs/>
          <w:color w:val="000000"/>
        </w:rPr>
        <w:t>)</w:t>
      </w:r>
      <w:r>
        <w:rPr>
          <w:iCs/>
          <w:color w:val="000000"/>
        </w:rPr>
        <w:t>:</w:t>
      </w:r>
      <w:r w:rsidRPr="007A65C9">
        <w:rPr>
          <w:color w:val="000000"/>
        </w:rPr>
        <w:t>e</w:t>
      </w:r>
      <w:proofErr w:type="gramEnd"/>
      <w:r w:rsidRPr="007A65C9">
        <w:rPr>
          <w:color w:val="000000"/>
        </w:rPr>
        <w:t>77585.</w:t>
      </w:r>
    </w:p>
    <w:p w14:paraId="0C7B3262" w14:textId="77777777" w:rsidR="00373DFA" w:rsidRPr="007A65C9" w:rsidRDefault="00373DFA" w:rsidP="007A65C9">
      <w:pPr>
        <w:pStyle w:val="desc"/>
        <w:shd w:val="clear" w:color="auto" w:fill="FFFFFF"/>
        <w:spacing w:before="0" w:beforeAutospacing="0" w:after="0" w:afterAutospacing="0" w:line="480" w:lineRule="auto"/>
        <w:rPr>
          <w:color w:val="000000"/>
        </w:rPr>
      </w:pPr>
      <w:proofErr w:type="spellStart"/>
      <w:r w:rsidRPr="007A65C9">
        <w:rPr>
          <w:color w:val="000000"/>
        </w:rPr>
        <w:t>Zafra</w:t>
      </w:r>
      <w:proofErr w:type="spellEnd"/>
      <w:r w:rsidRPr="007A65C9">
        <w:rPr>
          <w:color w:val="000000"/>
        </w:rPr>
        <w:t xml:space="preserve">-Stone S, Yasmin T, </w:t>
      </w:r>
      <w:proofErr w:type="spellStart"/>
      <w:r w:rsidRPr="007A65C9">
        <w:rPr>
          <w:color w:val="000000"/>
        </w:rPr>
        <w:t>Bagchi</w:t>
      </w:r>
      <w:proofErr w:type="spellEnd"/>
      <w:r w:rsidRPr="007A65C9">
        <w:rPr>
          <w:color w:val="000000"/>
        </w:rPr>
        <w:t xml:space="preserve"> M, Chatterjee A, Vinson JA, </w:t>
      </w:r>
      <w:proofErr w:type="spellStart"/>
      <w:r w:rsidRPr="007A65C9">
        <w:rPr>
          <w:color w:val="000000"/>
        </w:rPr>
        <w:t>Bagchi</w:t>
      </w:r>
      <w:proofErr w:type="spellEnd"/>
      <w:r w:rsidRPr="007A65C9">
        <w:rPr>
          <w:color w:val="000000"/>
        </w:rPr>
        <w:t xml:space="preserve"> D </w:t>
      </w:r>
      <w:r w:rsidR="002A4252" w:rsidRPr="007A65C9">
        <w:rPr>
          <w:color w:val="000000"/>
        </w:rPr>
        <w:t xml:space="preserve">(2007) </w:t>
      </w:r>
      <w:r w:rsidRPr="007A65C9">
        <w:rPr>
          <w:color w:val="000000"/>
        </w:rPr>
        <w:t xml:space="preserve">Berry anthocyanins as novel antioxidants in human health and disease prevention. </w:t>
      </w:r>
      <w:r w:rsidRPr="007A65C9">
        <w:rPr>
          <w:rStyle w:val="jrnl"/>
          <w:iCs/>
          <w:color w:val="000000"/>
        </w:rPr>
        <w:t xml:space="preserve">Mol </w:t>
      </w:r>
      <w:proofErr w:type="spellStart"/>
      <w:r w:rsidRPr="007A65C9">
        <w:rPr>
          <w:rStyle w:val="jrnl"/>
          <w:iCs/>
          <w:color w:val="000000"/>
        </w:rPr>
        <w:t>Nutr</w:t>
      </w:r>
      <w:proofErr w:type="spellEnd"/>
      <w:r w:rsidRPr="007A65C9">
        <w:rPr>
          <w:rStyle w:val="jrnl"/>
          <w:iCs/>
          <w:color w:val="000000"/>
        </w:rPr>
        <w:t xml:space="preserve"> Food Res</w:t>
      </w:r>
      <w:r w:rsidR="002A4252" w:rsidRPr="007A65C9">
        <w:rPr>
          <w:rStyle w:val="jrnl"/>
          <w:color w:val="000000"/>
        </w:rPr>
        <w:t xml:space="preserve"> </w:t>
      </w:r>
      <w:r w:rsidRPr="007A65C9">
        <w:rPr>
          <w:iCs/>
          <w:color w:val="000000"/>
        </w:rPr>
        <w:t>51(6)</w:t>
      </w:r>
      <w:r w:rsidR="007A65C9">
        <w:rPr>
          <w:iCs/>
          <w:color w:val="000000"/>
        </w:rPr>
        <w:t>:</w:t>
      </w:r>
      <w:r w:rsidRPr="007A65C9">
        <w:rPr>
          <w:color w:val="000000"/>
        </w:rPr>
        <w:t>675-683.</w:t>
      </w:r>
    </w:p>
    <w:p w14:paraId="6D48850F" w14:textId="77777777" w:rsidR="00FF1CF9" w:rsidRDefault="00FF1CF9" w:rsidP="00FF1CF9">
      <w:pPr>
        <w:pStyle w:val="desc"/>
        <w:shd w:val="clear" w:color="auto" w:fill="FFFFFF"/>
        <w:spacing w:before="0" w:beforeAutospacing="0" w:after="0" w:afterAutospacing="0" w:line="480" w:lineRule="auto"/>
        <w:rPr>
          <w:rStyle w:val="labs-docsum-authors"/>
        </w:rPr>
      </w:pPr>
    </w:p>
    <w:p w14:paraId="122577C7" w14:textId="77777777" w:rsidR="008A42D2" w:rsidRPr="00FB65D7" w:rsidRDefault="008A42D2" w:rsidP="008A42D2">
      <w:pPr>
        <w:pStyle w:val="desc"/>
        <w:shd w:val="clear" w:color="auto" w:fill="FFFFFF"/>
        <w:spacing w:before="0" w:beforeAutospacing="0" w:after="0" w:afterAutospacing="0" w:line="480" w:lineRule="auto"/>
        <w:rPr>
          <w:color w:val="000000"/>
        </w:rPr>
      </w:pPr>
    </w:p>
    <w:p w14:paraId="4270D35A" w14:textId="77777777" w:rsidR="008A42D2" w:rsidRPr="00FB65D7" w:rsidRDefault="008A42D2" w:rsidP="008A42D2">
      <w:pPr>
        <w:pStyle w:val="BodyText"/>
        <w:spacing w:before="100" w:beforeAutospacing="1" w:line="360" w:lineRule="auto"/>
        <w:rPr>
          <w:b/>
          <w:color w:val="auto"/>
        </w:rPr>
      </w:pPr>
      <w:r>
        <w:rPr>
          <w:b/>
          <w:color w:val="auto"/>
        </w:rPr>
        <w:t xml:space="preserve">Figure legends </w:t>
      </w:r>
    </w:p>
    <w:p w14:paraId="7D68F729" w14:textId="77777777" w:rsidR="008A42D2" w:rsidRDefault="008A42D2" w:rsidP="008A42D2">
      <w:pPr>
        <w:spacing w:line="360" w:lineRule="auto"/>
      </w:pPr>
    </w:p>
    <w:p w14:paraId="1FE9019D" w14:textId="595C99E5" w:rsidR="008B2449" w:rsidRDefault="008B2449" w:rsidP="008B2449">
      <w:pPr>
        <w:spacing w:line="480" w:lineRule="auto"/>
      </w:pPr>
      <w:bookmarkStart w:id="8" w:name="_Hlk50831727"/>
      <w:r>
        <w:t>Figure 1. Schematic diagram of the randomized, cross-over study design with a control condition. NZBC indicates dosing with 600 mg of New Zealand blackcurrant extract (i.e. 210 mg of anthocyanins). 14-EOD indicates dosing every other day for two weeks. 14-D indicates dosing every day for two weeks. On testing day, the dose was taken two hours before the moderate-intensity 30-min walk.</w:t>
      </w:r>
    </w:p>
    <w:bookmarkEnd w:id="8"/>
    <w:p w14:paraId="52471AFE" w14:textId="77777777" w:rsidR="007B0954" w:rsidRDefault="007B0954" w:rsidP="007B0954">
      <w:pPr>
        <w:spacing w:line="480" w:lineRule="auto"/>
      </w:pPr>
    </w:p>
    <w:p w14:paraId="75BA242C" w14:textId="77777777" w:rsidR="007B0954" w:rsidRDefault="007B0954" w:rsidP="007B0954">
      <w:pPr>
        <w:spacing w:line="480" w:lineRule="auto"/>
      </w:pPr>
    </w:p>
    <w:p w14:paraId="3EDEED6F" w14:textId="3428857C" w:rsidR="00BB3089" w:rsidRDefault="008A42D2" w:rsidP="007B0954">
      <w:pPr>
        <w:spacing w:line="480" w:lineRule="auto"/>
        <w:rPr>
          <w:color w:val="000000"/>
        </w:rPr>
      </w:pPr>
      <w:r>
        <w:t>F</w:t>
      </w:r>
      <w:r w:rsidRPr="00FB65D7">
        <w:t xml:space="preserve">igure </w:t>
      </w:r>
      <w:r w:rsidR="007B0954">
        <w:t>2</w:t>
      </w:r>
      <w:r w:rsidRPr="00FB65D7">
        <w:t>.</w:t>
      </w:r>
      <w:bookmarkStart w:id="9" w:name="OLE_LINK2"/>
      <w:r w:rsidRPr="00FB65D7">
        <w:t xml:space="preserve"> </w:t>
      </w:r>
      <w:r w:rsidRPr="00FB65D7">
        <w:rPr>
          <w:color w:val="000000"/>
        </w:rPr>
        <w:t xml:space="preserve">Fat oxidation (A), carbohydrate oxidation (B), respiratory exchange ratio (C), and energy expenditure (D) during 30-min of </w:t>
      </w:r>
      <w:r w:rsidR="00587764">
        <w:rPr>
          <w:color w:val="000000"/>
        </w:rPr>
        <w:t>moderate-</w:t>
      </w:r>
      <w:r w:rsidRPr="00FB65D7">
        <w:rPr>
          <w:color w:val="000000"/>
        </w:rPr>
        <w:t>intensity walking. Data reported as mean ± SEM from 16 participants. Every-other-day and daily refers to the intake of New Zealand blackcurrant extract over a two-week period. * indicates different from control (</w:t>
      </w:r>
      <w:r w:rsidRPr="00FB65D7">
        <w:rPr>
          <w:i/>
          <w:iCs/>
          <w:color w:val="000000"/>
        </w:rPr>
        <w:t>p</w:t>
      </w:r>
      <w:r w:rsidRPr="00FB65D7">
        <w:rPr>
          <w:color w:val="000000"/>
        </w:rPr>
        <w:t>&lt;0.05).</w:t>
      </w:r>
      <w:bookmarkEnd w:id="9"/>
    </w:p>
    <w:p w14:paraId="094799D0" w14:textId="77777777" w:rsidR="00101076" w:rsidRDefault="00101076" w:rsidP="008A42D2">
      <w:pPr>
        <w:spacing w:line="360" w:lineRule="auto"/>
        <w:rPr>
          <w:color w:val="000000"/>
        </w:rPr>
      </w:pPr>
    </w:p>
    <w:p w14:paraId="1AE475EA" w14:textId="5FC3D9B7" w:rsidR="009C6D0E" w:rsidRDefault="008A42D2" w:rsidP="008142AD">
      <w:pPr>
        <w:spacing w:line="360" w:lineRule="auto"/>
      </w:pPr>
      <w:r w:rsidRPr="00FB65D7">
        <w:rPr>
          <w:color w:val="000000"/>
        </w:rPr>
        <w:t xml:space="preserve">Figure </w:t>
      </w:r>
      <w:r w:rsidR="007B0954">
        <w:rPr>
          <w:color w:val="000000"/>
        </w:rPr>
        <w:t>3</w:t>
      </w:r>
      <w:r w:rsidRPr="00FB65D7">
        <w:rPr>
          <w:color w:val="000000"/>
        </w:rPr>
        <w:t xml:space="preserve">. Relationship between body mass index (A), body fat % (B), and habitual anthocyanin intake (C) and changes in fat oxidation in the 14-day daily intake of New Zealand blackcurrant extract during 30-min of </w:t>
      </w:r>
      <w:r w:rsidR="00587764">
        <w:rPr>
          <w:color w:val="000000"/>
        </w:rPr>
        <w:t>moderate-</w:t>
      </w:r>
      <w:r w:rsidRPr="00FB65D7">
        <w:rPr>
          <w:color w:val="000000"/>
        </w:rPr>
        <w:t xml:space="preserve">intensity walking. </w:t>
      </w:r>
      <w:r w:rsidR="00321DB0">
        <w:rPr>
          <w:color w:val="000000"/>
        </w:rPr>
        <w:t>The correlation was significant for body mass index and body fat %.</w:t>
      </w:r>
      <w:r w:rsidR="008142AD" w:rsidRPr="00FB65D7">
        <w:t xml:space="preserve"> </w:t>
      </w:r>
    </w:p>
    <w:p w14:paraId="77843BFC" w14:textId="77777777" w:rsidR="009C6D0E" w:rsidRDefault="009C6D0E">
      <w:r>
        <w:br w:type="page"/>
      </w:r>
    </w:p>
    <w:p w14:paraId="126262CB" w14:textId="77777777" w:rsidR="009C6D0E" w:rsidRDefault="009C6D0E" w:rsidP="009C6D0E"/>
    <w:tbl>
      <w:tblPr>
        <w:tblStyle w:val="TableGrid"/>
        <w:tblpPr w:leftFromText="180" w:rightFromText="180" w:vertAnchor="page" w:horzAnchor="margin" w:tblpY="2368"/>
        <w:tblW w:w="13178" w:type="dxa"/>
        <w:tblLook w:val="04A0" w:firstRow="1" w:lastRow="0" w:firstColumn="1" w:lastColumn="0" w:noHBand="0" w:noVBand="1"/>
      </w:tblPr>
      <w:tblGrid>
        <w:gridCol w:w="1428"/>
        <w:gridCol w:w="1166"/>
        <w:gridCol w:w="742"/>
        <w:gridCol w:w="742"/>
        <w:gridCol w:w="742"/>
        <w:gridCol w:w="742"/>
        <w:gridCol w:w="742"/>
        <w:gridCol w:w="742"/>
        <w:gridCol w:w="742"/>
        <w:gridCol w:w="742"/>
        <w:gridCol w:w="742"/>
        <w:gridCol w:w="831"/>
        <w:gridCol w:w="831"/>
        <w:gridCol w:w="831"/>
        <w:gridCol w:w="831"/>
        <w:gridCol w:w="921"/>
      </w:tblGrid>
      <w:tr w:rsidR="009C6D0E" w14:paraId="4002A6DB" w14:textId="77777777" w:rsidTr="00BE6295">
        <w:tc>
          <w:tcPr>
            <w:tcW w:w="11825" w:type="dxa"/>
            <w:gridSpan w:val="15"/>
          </w:tcPr>
          <w:p w14:paraId="6374C775" w14:textId="77777777" w:rsidR="009C6D0E" w:rsidRDefault="009C6D0E" w:rsidP="00BE6295">
            <w:pPr>
              <w:jc w:val="center"/>
            </w:pPr>
            <w:r>
              <w:t>Dosing period in days</w:t>
            </w:r>
          </w:p>
        </w:tc>
        <w:tc>
          <w:tcPr>
            <w:tcW w:w="1353" w:type="dxa"/>
          </w:tcPr>
          <w:p w14:paraId="1214B8CF" w14:textId="77777777" w:rsidR="009C6D0E" w:rsidRDefault="009C6D0E" w:rsidP="00BE6295">
            <w:r>
              <w:t xml:space="preserve">Testing day </w:t>
            </w:r>
          </w:p>
        </w:tc>
      </w:tr>
      <w:tr w:rsidR="009C6D0E" w14:paraId="16289FBD" w14:textId="77777777" w:rsidTr="00BE6295">
        <w:tc>
          <w:tcPr>
            <w:tcW w:w="1327" w:type="dxa"/>
            <w:vMerge w:val="restart"/>
            <w:vAlign w:val="center"/>
          </w:tcPr>
          <w:p w14:paraId="40C7E83D" w14:textId="77777777" w:rsidR="009C6D0E" w:rsidRDefault="009C6D0E" w:rsidP="00BE6295">
            <w:pPr>
              <w:jc w:val="center"/>
            </w:pPr>
            <w:r>
              <w:t>Randomized cross-over</w:t>
            </w:r>
          </w:p>
        </w:tc>
        <w:tc>
          <w:tcPr>
            <w:tcW w:w="1087" w:type="dxa"/>
          </w:tcPr>
          <w:p w14:paraId="50254D57" w14:textId="77777777" w:rsidR="009C6D0E" w:rsidRDefault="009C6D0E" w:rsidP="00BE6295">
            <w:r>
              <w:t>Condition</w:t>
            </w:r>
          </w:p>
        </w:tc>
        <w:tc>
          <w:tcPr>
            <w:tcW w:w="699" w:type="dxa"/>
          </w:tcPr>
          <w:p w14:paraId="4214F300" w14:textId="77777777" w:rsidR="009C6D0E" w:rsidRDefault="009C6D0E" w:rsidP="00BE6295">
            <w:r>
              <w:t>Day1</w:t>
            </w:r>
          </w:p>
        </w:tc>
        <w:tc>
          <w:tcPr>
            <w:tcW w:w="699" w:type="dxa"/>
          </w:tcPr>
          <w:p w14:paraId="38BB0C29" w14:textId="77777777" w:rsidR="009C6D0E" w:rsidRDefault="009C6D0E" w:rsidP="00BE6295">
            <w:r>
              <w:t>Day2</w:t>
            </w:r>
          </w:p>
        </w:tc>
        <w:tc>
          <w:tcPr>
            <w:tcW w:w="699" w:type="dxa"/>
          </w:tcPr>
          <w:p w14:paraId="7ACE4D78" w14:textId="77777777" w:rsidR="009C6D0E" w:rsidRDefault="009C6D0E" w:rsidP="00BE6295">
            <w:r>
              <w:t>Day3</w:t>
            </w:r>
          </w:p>
        </w:tc>
        <w:tc>
          <w:tcPr>
            <w:tcW w:w="699" w:type="dxa"/>
          </w:tcPr>
          <w:p w14:paraId="577EE6DC" w14:textId="77777777" w:rsidR="009C6D0E" w:rsidRDefault="009C6D0E" w:rsidP="00BE6295">
            <w:r>
              <w:t>Day4</w:t>
            </w:r>
          </w:p>
        </w:tc>
        <w:tc>
          <w:tcPr>
            <w:tcW w:w="699" w:type="dxa"/>
          </w:tcPr>
          <w:p w14:paraId="3A6B5FE9" w14:textId="77777777" w:rsidR="009C6D0E" w:rsidRDefault="009C6D0E" w:rsidP="00BE6295">
            <w:r>
              <w:t>Day5</w:t>
            </w:r>
          </w:p>
        </w:tc>
        <w:tc>
          <w:tcPr>
            <w:tcW w:w="699" w:type="dxa"/>
          </w:tcPr>
          <w:p w14:paraId="444B4D41" w14:textId="77777777" w:rsidR="009C6D0E" w:rsidRDefault="009C6D0E" w:rsidP="00BE6295">
            <w:r>
              <w:t>Day6</w:t>
            </w:r>
          </w:p>
        </w:tc>
        <w:tc>
          <w:tcPr>
            <w:tcW w:w="699" w:type="dxa"/>
          </w:tcPr>
          <w:p w14:paraId="17DF87C3" w14:textId="77777777" w:rsidR="009C6D0E" w:rsidRDefault="009C6D0E" w:rsidP="00BE6295">
            <w:r>
              <w:t>Day7</w:t>
            </w:r>
          </w:p>
        </w:tc>
        <w:tc>
          <w:tcPr>
            <w:tcW w:w="699" w:type="dxa"/>
          </w:tcPr>
          <w:p w14:paraId="756812D0" w14:textId="77777777" w:rsidR="009C6D0E" w:rsidRDefault="009C6D0E" w:rsidP="00BE6295">
            <w:r>
              <w:t>Day8</w:t>
            </w:r>
          </w:p>
        </w:tc>
        <w:tc>
          <w:tcPr>
            <w:tcW w:w="699" w:type="dxa"/>
          </w:tcPr>
          <w:p w14:paraId="34A6A0A3" w14:textId="77777777" w:rsidR="009C6D0E" w:rsidRDefault="009C6D0E" w:rsidP="00BE6295">
            <w:r>
              <w:t>Day9</w:t>
            </w:r>
          </w:p>
        </w:tc>
        <w:tc>
          <w:tcPr>
            <w:tcW w:w="780" w:type="dxa"/>
          </w:tcPr>
          <w:p w14:paraId="776D566B" w14:textId="77777777" w:rsidR="009C6D0E" w:rsidRDefault="009C6D0E" w:rsidP="00BE6295">
            <w:r>
              <w:t>Day10</w:t>
            </w:r>
          </w:p>
        </w:tc>
        <w:tc>
          <w:tcPr>
            <w:tcW w:w="780" w:type="dxa"/>
          </w:tcPr>
          <w:p w14:paraId="38993278" w14:textId="77777777" w:rsidR="009C6D0E" w:rsidRDefault="009C6D0E" w:rsidP="00BE6295">
            <w:r>
              <w:t>Day11</w:t>
            </w:r>
          </w:p>
        </w:tc>
        <w:tc>
          <w:tcPr>
            <w:tcW w:w="780" w:type="dxa"/>
          </w:tcPr>
          <w:p w14:paraId="6831F923" w14:textId="77777777" w:rsidR="009C6D0E" w:rsidRDefault="009C6D0E" w:rsidP="00BE6295">
            <w:r>
              <w:t>Day12</w:t>
            </w:r>
          </w:p>
        </w:tc>
        <w:tc>
          <w:tcPr>
            <w:tcW w:w="780" w:type="dxa"/>
          </w:tcPr>
          <w:p w14:paraId="602FA1DC" w14:textId="77777777" w:rsidR="009C6D0E" w:rsidRDefault="009C6D0E" w:rsidP="00BE6295">
            <w:r>
              <w:t>Day13</w:t>
            </w:r>
          </w:p>
        </w:tc>
        <w:tc>
          <w:tcPr>
            <w:tcW w:w="1353" w:type="dxa"/>
          </w:tcPr>
          <w:p w14:paraId="1E614F36" w14:textId="77777777" w:rsidR="009C6D0E" w:rsidRDefault="009C6D0E" w:rsidP="00BE6295">
            <w:r>
              <w:t>Day14</w:t>
            </w:r>
          </w:p>
        </w:tc>
      </w:tr>
      <w:tr w:rsidR="009C6D0E" w14:paraId="0A480AB2" w14:textId="77777777" w:rsidTr="00BE6295">
        <w:tc>
          <w:tcPr>
            <w:tcW w:w="1327" w:type="dxa"/>
            <w:vMerge/>
            <w:vAlign w:val="center"/>
          </w:tcPr>
          <w:p w14:paraId="2F84D653" w14:textId="77777777" w:rsidR="009C6D0E" w:rsidRDefault="009C6D0E" w:rsidP="00BE6295">
            <w:pPr>
              <w:jc w:val="center"/>
            </w:pPr>
          </w:p>
        </w:tc>
        <w:tc>
          <w:tcPr>
            <w:tcW w:w="1087" w:type="dxa"/>
            <w:vAlign w:val="center"/>
          </w:tcPr>
          <w:p w14:paraId="161EFEA1" w14:textId="77777777" w:rsidR="009C6D0E" w:rsidRPr="00915391" w:rsidRDefault="009C6D0E" w:rsidP="00BE6295">
            <w:pPr>
              <w:jc w:val="center"/>
              <w:rPr>
                <w:b/>
              </w:rPr>
            </w:pPr>
            <w:r w:rsidRPr="00915391">
              <w:rPr>
                <w:b/>
              </w:rPr>
              <w:t>Control</w:t>
            </w:r>
          </w:p>
        </w:tc>
        <w:tc>
          <w:tcPr>
            <w:tcW w:w="699" w:type="dxa"/>
            <w:vAlign w:val="center"/>
          </w:tcPr>
          <w:p w14:paraId="3E1B1D1D" w14:textId="77777777" w:rsidR="009C6D0E" w:rsidRDefault="009C6D0E" w:rsidP="00BE6295"/>
          <w:p w14:paraId="3138A4F9" w14:textId="77777777" w:rsidR="009C6D0E" w:rsidRDefault="009C6D0E" w:rsidP="00BE6295"/>
        </w:tc>
        <w:tc>
          <w:tcPr>
            <w:tcW w:w="699" w:type="dxa"/>
            <w:vAlign w:val="center"/>
          </w:tcPr>
          <w:p w14:paraId="651DAA37" w14:textId="77777777" w:rsidR="009C6D0E" w:rsidRDefault="009C6D0E" w:rsidP="00BE6295">
            <w:pPr>
              <w:jc w:val="center"/>
            </w:pPr>
          </w:p>
        </w:tc>
        <w:tc>
          <w:tcPr>
            <w:tcW w:w="699" w:type="dxa"/>
            <w:vAlign w:val="center"/>
          </w:tcPr>
          <w:p w14:paraId="3E17DDF1" w14:textId="77777777" w:rsidR="009C6D0E" w:rsidRDefault="009C6D0E" w:rsidP="00BE6295">
            <w:pPr>
              <w:jc w:val="center"/>
            </w:pPr>
          </w:p>
        </w:tc>
        <w:tc>
          <w:tcPr>
            <w:tcW w:w="699" w:type="dxa"/>
            <w:vAlign w:val="center"/>
          </w:tcPr>
          <w:p w14:paraId="34AA37D9" w14:textId="77777777" w:rsidR="009C6D0E" w:rsidRDefault="009C6D0E" w:rsidP="00BE6295">
            <w:pPr>
              <w:jc w:val="center"/>
            </w:pPr>
          </w:p>
        </w:tc>
        <w:tc>
          <w:tcPr>
            <w:tcW w:w="699" w:type="dxa"/>
            <w:vAlign w:val="center"/>
          </w:tcPr>
          <w:p w14:paraId="012D5CBF" w14:textId="77777777" w:rsidR="009C6D0E" w:rsidRDefault="009C6D0E" w:rsidP="00BE6295">
            <w:pPr>
              <w:jc w:val="center"/>
            </w:pPr>
          </w:p>
        </w:tc>
        <w:tc>
          <w:tcPr>
            <w:tcW w:w="699" w:type="dxa"/>
            <w:vAlign w:val="center"/>
          </w:tcPr>
          <w:p w14:paraId="444BC7DB" w14:textId="77777777" w:rsidR="009C6D0E" w:rsidRDefault="009C6D0E" w:rsidP="00BE6295">
            <w:pPr>
              <w:jc w:val="center"/>
            </w:pPr>
          </w:p>
        </w:tc>
        <w:tc>
          <w:tcPr>
            <w:tcW w:w="699" w:type="dxa"/>
            <w:vAlign w:val="center"/>
          </w:tcPr>
          <w:p w14:paraId="2A3EE671" w14:textId="77777777" w:rsidR="009C6D0E" w:rsidRDefault="009C6D0E" w:rsidP="00BE6295">
            <w:pPr>
              <w:jc w:val="center"/>
            </w:pPr>
          </w:p>
        </w:tc>
        <w:tc>
          <w:tcPr>
            <w:tcW w:w="699" w:type="dxa"/>
            <w:vAlign w:val="center"/>
          </w:tcPr>
          <w:p w14:paraId="4A1B3FBD" w14:textId="77777777" w:rsidR="009C6D0E" w:rsidRDefault="009C6D0E" w:rsidP="00BE6295">
            <w:pPr>
              <w:jc w:val="center"/>
            </w:pPr>
          </w:p>
        </w:tc>
        <w:tc>
          <w:tcPr>
            <w:tcW w:w="699" w:type="dxa"/>
            <w:vAlign w:val="center"/>
          </w:tcPr>
          <w:p w14:paraId="12690277" w14:textId="77777777" w:rsidR="009C6D0E" w:rsidRDefault="009C6D0E" w:rsidP="00BE6295">
            <w:pPr>
              <w:jc w:val="center"/>
            </w:pPr>
          </w:p>
        </w:tc>
        <w:tc>
          <w:tcPr>
            <w:tcW w:w="780" w:type="dxa"/>
            <w:vAlign w:val="center"/>
          </w:tcPr>
          <w:p w14:paraId="619049AC" w14:textId="77777777" w:rsidR="009C6D0E" w:rsidRDefault="009C6D0E" w:rsidP="00BE6295">
            <w:pPr>
              <w:jc w:val="center"/>
            </w:pPr>
          </w:p>
        </w:tc>
        <w:tc>
          <w:tcPr>
            <w:tcW w:w="780" w:type="dxa"/>
            <w:vAlign w:val="center"/>
          </w:tcPr>
          <w:p w14:paraId="77673F65" w14:textId="77777777" w:rsidR="009C6D0E" w:rsidRDefault="009C6D0E" w:rsidP="00BE6295">
            <w:pPr>
              <w:jc w:val="center"/>
            </w:pPr>
          </w:p>
        </w:tc>
        <w:tc>
          <w:tcPr>
            <w:tcW w:w="780" w:type="dxa"/>
            <w:vAlign w:val="center"/>
          </w:tcPr>
          <w:p w14:paraId="4EF805D1" w14:textId="77777777" w:rsidR="009C6D0E" w:rsidRDefault="009C6D0E" w:rsidP="00BE6295">
            <w:pPr>
              <w:jc w:val="center"/>
            </w:pPr>
          </w:p>
        </w:tc>
        <w:tc>
          <w:tcPr>
            <w:tcW w:w="780" w:type="dxa"/>
            <w:vAlign w:val="center"/>
          </w:tcPr>
          <w:p w14:paraId="1C041425" w14:textId="77777777" w:rsidR="009C6D0E" w:rsidRDefault="009C6D0E" w:rsidP="00BE6295">
            <w:pPr>
              <w:jc w:val="center"/>
            </w:pPr>
          </w:p>
        </w:tc>
        <w:tc>
          <w:tcPr>
            <w:tcW w:w="1353" w:type="dxa"/>
          </w:tcPr>
          <w:p w14:paraId="63859486" w14:textId="77777777" w:rsidR="009C6D0E" w:rsidRDefault="009C6D0E" w:rsidP="00BE6295"/>
          <w:p w14:paraId="169FC4A7" w14:textId="77777777" w:rsidR="009C6D0E" w:rsidRDefault="009C6D0E" w:rsidP="00BE6295">
            <w:r>
              <w:t>30-min walk</w:t>
            </w:r>
          </w:p>
        </w:tc>
      </w:tr>
      <w:tr w:rsidR="009C6D0E" w14:paraId="28B42794" w14:textId="77777777" w:rsidTr="00BE6295">
        <w:tc>
          <w:tcPr>
            <w:tcW w:w="1327" w:type="dxa"/>
            <w:vMerge/>
          </w:tcPr>
          <w:p w14:paraId="08CF01D8" w14:textId="77777777" w:rsidR="009C6D0E" w:rsidRDefault="009C6D0E" w:rsidP="00BE6295">
            <w:pPr>
              <w:jc w:val="center"/>
            </w:pPr>
          </w:p>
        </w:tc>
        <w:tc>
          <w:tcPr>
            <w:tcW w:w="11851" w:type="dxa"/>
            <w:gridSpan w:val="15"/>
            <w:vAlign w:val="center"/>
          </w:tcPr>
          <w:p w14:paraId="08867145" w14:textId="77777777" w:rsidR="009C6D0E" w:rsidRDefault="009C6D0E" w:rsidP="00BE6295">
            <w:pPr>
              <w:jc w:val="center"/>
            </w:pPr>
            <w:r>
              <w:t>14-Days Wash-out</w:t>
            </w:r>
          </w:p>
        </w:tc>
      </w:tr>
      <w:tr w:rsidR="009C6D0E" w14:paraId="5268A925" w14:textId="77777777" w:rsidTr="00BE6295">
        <w:tc>
          <w:tcPr>
            <w:tcW w:w="1327" w:type="dxa"/>
            <w:vMerge/>
          </w:tcPr>
          <w:p w14:paraId="225F257F" w14:textId="77777777" w:rsidR="009C6D0E" w:rsidRDefault="009C6D0E" w:rsidP="00BE6295"/>
        </w:tc>
        <w:tc>
          <w:tcPr>
            <w:tcW w:w="1087" w:type="dxa"/>
            <w:vAlign w:val="center"/>
          </w:tcPr>
          <w:p w14:paraId="372E2C9D" w14:textId="77777777" w:rsidR="009C6D0E" w:rsidRPr="00915391" w:rsidRDefault="009C6D0E" w:rsidP="00BE6295">
            <w:pPr>
              <w:jc w:val="center"/>
              <w:rPr>
                <w:b/>
              </w:rPr>
            </w:pPr>
            <w:r w:rsidRPr="00915391">
              <w:rPr>
                <w:b/>
              </w:rPr>
              <w:t>14-EOD</w:t>
            </w:r>
          </w:p>
        </w:tc>
        <w:tc>
          <w:tcPr>
            <w:tcW w:w="699" w:type="dxa"/>
            <w:vAlign w:val="center"/>
          </w:tcPr>
          <w:p w14:paraId="017254B6" w14:textId="77777777" w:rsidR="009C6D0E" w:rsidRDefault="009C6D0E" w:rsidP="00BE6295">
            <w:pPr>
              <w:jc w:val="center"/>
            </w:pPr>
          </w:p>
        </w:tc>
        <w:tc>
          <w:tcPr>
            <w:tcW w:w="699" w:type="dxa"/>
            <w:vAlign w:val="center"/>
          </w:tcPr>
          <w:p w14:paraId="1A287D25" w14:textId="77777777" w:rsidR="009C6D0E" w:rsidRDefault="009C6D0E" w:rsidP="00BE6295">
            <w:pPr>
              <w:jc w:val="center"/>
            </w:pPr>
            <w:r w:rsidRPr="005E74CB">
              <w:t>NZBC</w:t>
            </w:r>
          </w:p>
        </w:tc>
        <w:tc>
          <w:tcPr>
            <w:tcW w:w="699" w:type="dxa"/>
            <w:vAlign w:val="center"/>
          </w:tcPr>
          <w:p w14:paraId="1E55C2AC" w14:textId="77777777" w:rsidR="009C6D0E" w:rsidRDefault="009C6D0E" w:rsidP="00BE6295">
            <w:pPr>
              <w:jc w:val="center"/>
            </w:pPr>
          </w:p>
        </w:tc>
        <w:tc>
          <w:tcPr>
            <w:tcW w:w="699" w:type="dxa"/>
            <w:vAlign w:val="center"/>
          </w:tcPr>
          <w:p w14:paraId="5B19F160" w14:textId="77777777" w:rsidR="009C6D0E" w:rsidRDefault="009C6D0E" w:rsidP="00BE6295">
            <w:pPr>
              <w:jc w:val="center"/>
            </w:pPr>
            <w:r w:rsidRPr="005E74CB">
              <w:t>NZBC</w:t>
            </w:r>
          </w:p>
        </w:tc>
        <w:tc>
          <w:tcPr>
            <w:tcW w:w="699" w:type="dxa"/>
            <w:vAlign w:val="center"/>
          </w:tcPr>
          <w:p w14:paraId="0D4DCA81" w14:textId="77777777" w:rsidR="009C6D0E" w:rsidRDefault="009C6D0E" w:rsidP="00BE6295">
            <w:pPr>
              <w:jc w:val="center"/>
            </w:pPr>
          </w:p>
        </w:tc>
        <w:tc>
          <w:tcPr>
            <w:tcW w:w="699" w:type="dxa"/>
            <w:vAlign w:val="center"/>
          </w:tcPr>
          <w:p w14:paraId="7C5E71C1" w14:textId="77777777" w:rsidR="009C6D0E" w:rsidRDefault="009C6D0E" w:rsidP="00BE6295">
            <w:pPr>
              <w:jc w:val="center"/>
            </w:pPr>
            <w:r w:rsidRPr="005E74CB">
              <w:t>NZBC</w:t>
            </w:r>
          </w:p>
        </w:tc>
        <w:tc>
          <w:tcPr>
            <w:tcW w:w="699" w:type="dxa"/>
            <w:vAlign w:val="center"/>
          </w:tcPr>
          <w:p w14:paraId="4E3EF079" w14:textId="77777777" w:rsidR="009C6D0E" w:rsidRDefault="009C6D0E" w:rsidP="00BE6295">
            <w:pPr>
              <w:jc w:val="center"/>
            </w:pPr>
          </w:p>
        </w:tc>
        <w:tc>
          <w:tcPr>
            <w:tcW w:w="699" w:type="dxa"/>
            <w:vAlign w:val="center"/>
          </w:tcPr>
          <w:p w14:paraId="5F9C396E" w14:textId="77777777" w:rsidR="009C6D0E" w:rsidRDefault="009C6D0E" w:rsidP="00BE6295">
            <w:pPr>
              <w:jc w:val="center"/>
            </w:pPr>
            <w:r w:rsidRPr="005E74CB">
              <w:t>NZBC</w:t>
            </w:r>
          </w:p>
        </w:tc>
        <w:tc>
          <w:tcPr>
            <w:tcW w:w="699" w:type="dxa"/>
            <w:vAlign w:val="center"/>
          </w:tcPr>
          <w:p w14:paraId="07542B3F" w14:textId="77777777" w:rsidR="009C6D0E" w:rsidRDefault="009C6D0E" w:rsidP="00BE6295">
            <w:pPr>
              <w:jc w:val="center"/>
            </w:pPr>
          </w:p>
        </w:tc>
        <w:tc>
          <w:tcPr>
            <w:tcW w:w="780" w:type="dxa"/>
            <w:vAlign w:val="center"/>
          </w:tcPr>
          <w:p w14:paraId="430BD426" w14:textId="77777777" w:rsidR="009C6D0E" w:rsidRDefault="009C6D0E" w:rsidP="00BE6295">
            <w:pPr>
              <w:jc w:val="center"/>
            </w:pPr>
            <w:r w:rsidRPr="005E74CB">
              <w:t>NZBC</w:t>
            </w:r>
          </w:p>
        </w:tc>
        <w:tc>
          <w:tcPr>
            <w:tcW w:w="780" w:type="dxa"/>
            <w:vAlign w:val="center"/>
          </w:tcPr>
          <w:p w14:paraId="37D67B7D" w14:textId="77777777" w:rsidR="009C6D0E" w:rsidRDefault="009C6D0E" w:rsidP="00BE6295">
            <w:pPr>
              <w:jc w:val="center"/>
            </w:pPr>
          </w:p>
        </w:tc>
        <w:tc>
          <w:tcPr>
            <w:tcW w:w="780" w:type="dxa"/>
            <w:vAlign w:val="center"/>
          </w:tcPr>
          <w:p w14:paraId="3A4C4167" w14:textId="77777777" w:rsidR="009C6D0E" w:rsidRDefault="009C6D0E" w:rsidP="00BE6295">
            <w:pPr>
              <w:jc w:val="center"/>
            </w:pPr>
            <w:r w:rsidRPr="005E74CB">
              <w:t>NZBC</w:t>
            </w:r>
          </w:p>
        </w:tc>
        <w:tc>
          <w:tcPr>
            <w:tcW w:w="780" w:type="dxa"/>
            <w:vAlign w:val="center"/>
          </w:tcPr>
          <w:p w14:paraId="1A75E1D7" w14:textId="77777777" w:rsidR="009C6D0E" w:rsidRDefault="009C6D0E" w:rsidP="00BE6295">
            <w:pPr>
              <w:jc w:val="center"/>
            </w:pPr>
          </w:p>
        </w:tc>
        <w:tc>
          <w:tcPr>
            <w:tcW w:w="1353" w:type="dxa"/>
          </w:tcPr>
          <w:p w14:paraId="3765AB48" w14:textId="77777777" w:rsidR="009C6D0E" w:rsidRDefault="009C6D0E" w:rsidP="00BE6295">
            <w:r>
              <w:t>NZBC and 30-min walk</w:t>
            </w:r>
          </w:p>
        </w:tc>
      </w:tr>
      <w:tr w:rsidR="009C6D0E" w14:paraId="04E52CA1" w14:textId="77777777" w:rsidTr="00BE6295">
        <w:tc>
          <w:tcPr>
            <w:tcW w:w="1327" w:type="dxa"/>
            <w:vMerge/>
          </w:tcPr>
          <w:p w14:paraId="142DCEEE" w14:textId="77777777" w:rsidR="009C6D0E" w:rsidRDefault="009C6D0E" w:rsidP="00BE6295"/>
        </w:tc>
        <w:tc>
          <w:tcPr>
            <w:tcW w:w="11851" w:type="dxa"/>
            <w:gridSpan w:val="15"/>
            <w:vAlign w:val="center"/>
          </w:tcPr>
          <w:p w14:paraId="3C6835CF" w14:textId="77777777" w:rsidR="009C6D0E" w:rsidRDefault="009C6D0E" w:rsidP="00BE6295">
            <w:pPr>
              <w:jc w:val="center"/>
            </w:pPr>
            <w:r>
              <w:t>14-Days Wash-out</w:t>
            </w:r>
          </w:p>
        </w:tc>
      </w:tr>
      <w:tr w:rsidR="009C6D0E" w14:paraId="2BBBF5A8" w14:textId="77777777" w:rsidTr="00BE6295">
        <w:tc>
          <w:tcPr>
            <w:tcW w:w="1327" w:type="dxa"/>
            <w:vMerge/>
          </w:tcPr>
          <w:p w14:paraId="66EDDB93" w14:textId="77777777" w:rsidR="009C6D0E" w:rsidRDefault="009C6D0E" w:rsidP="00BE6295"/>
        </w:tc>
        <w:tc>
          <w:tcPr>
            <w:tcW w:w="1087" w:type="dxa"/>
            <w:vAlign w:val="center"/>
          </w:tcPr>
          <w:p w14:paraId="4E0D945B" w14:textId="77777777" w:rsidR="009C6D0E" w:rsidRPr="00915391" w:rsidRDefault="009C6D0E" w:rsidP="00BE6295">
            <w:pPr>
              <w:jc w:val="center"/>
              <w:rPr>
                <w:b/>
              </w:rPr>
            </w:pPr>
            <w:r w:rsidRPr="00915391">
              <w:rPr>
                <w:b/>
              </w:rPr>
              <w:t>14-D</w:t>
            </w:r>
          </w:p>
        </w:tc>
        <w:tc>
          <w:tcPr>
            <w:tcW w:w="699" w:type="dxa"/>
            <w:vAlign w:val="center"/>
          </w:tcPr>
          <w:p w14:paraId="7A014DDB" w14:textId="77777777" w:rsidR="009C6D0E" w:rsidRDefault="009C6D0E" w:rsidP="00BE6295">
            <w:pPr>
              <w:jc w:val="center"/>
            </w:pPr>
            <w:r>
              <w:t>NZBC</w:t>
            </w:r>
          </w:p>
        </w:tc>
        <w:tc>
          <w:tcPr>
            <w:tcW w:w="699" w:type="dxa"/>
            <w:vAlign w:val="center"/>
          </w:tcPr>
          <w:p w14:paraId="1F14D2DB" w14:textId="77777777" w:rsidR="009C6D0E" w:rsidRDefault="009C6D0E" w:rsidP="00BE6295">
            <w:pPr>
              <w:jc w:val="center"/>
            </w:pPr>
            <w:r w:rsidRPr="005E74CB">
              <w:t>NZBC</w:t>
            </w:r>
          </w:p>
        </w:tc>
        <w:tc>
          <w:tcPr>
            <w:tcW w:w="699" w:type="dxa"/>
            <w:vAlign w:val="center"/>
          </w:tcPr>
          <w:p w14:paraId="7CE9DE9E" w14:textId="77777777" w:rsidR="009C6D0E" w:rsidRDefault="009C6D0E" w:rsidP="00BE6295">
            <w:pPr>
              <w:jc w:val="center"/>
            </w:pPr>
            <w:r w:rsidRPr="005E74CB">
              <w:t>NZBC</w:t>
            </w:r>
          </w:p>
        </w:tc>
        <w:tc>
          <w:tcPr>
            <w:tcW w:w="699" w:type="dxa"/>
            <w:vAlign w:val="center"/>
          </w:tcPr>
          <w:p w14:paraId="330E430B" w14:textId="77777777" w:rsidR="009C6D0E" w:rsidRDefault="009C6D0E" w:rsidP="00BE6295">
            <w:pPr>
              <w:jc w:val="center"/>
            </w:pPr>
            <w:r w:rsidRPr="005E74CB">
              <w:t>NZBC</w:t>
            </w:r>
          </w:p>
        </w:tc>
        <w:tc>
          <w:tcPr>
            <w:tcW w:w="699" w:type="dxa"/>
            <w:vAlign w:val="center"/>
          </w:tcPr>
          <w:p w14:paraId="452EC959" w14:textId="77777777" w:rsidR="009C6D0E" w:rsidRDefault="009C6D0E" w:rsidP="00BE6295">
            <w:pPr>
              <w:jc w:val="center"/>
            </w:pPr>
            <w:r w:rsidRPr="005E74CB">
              <w:t>NZBC</w:t>
            </w:r>
          </w:p>
        </w:tc>
        <w:tc>
          <w:tcPr>
            <w:tcW w:w="699" w:type="dxa"/>
            <w:vAlign w:val="center"/>
          </w:tcPr>
          <w:p w14:paraId="2EEF38B2" w14:textId="77777777" w:rsidR="009C6D0E" w:rsidRDefault="009C6D0E" w:rsidP="00BE6295">
            <w:pPr>
              <w:jc w:val="center"/>
            </w:pPr>
            <w:r w:rsidRPr="005E74CB">
              <w:t>NZBC</w:t>
            </w:r>
          </w:p>
        </w:tc>
        <w:tc>
          <w:tcPr>
            <w:tcW w:w="699" w:type="dxa"/>
            <w:vAlign w:val="center"/>
          </w:tcPr>
          <w:p w14:paraId="2A5EC494" w14:textId="77777777" w:rsidR="009C6D0E" w:rsidRDefault="009C6D0E" w:rsidP="00BE6295">
            <w:pPr>
              <w:jc w:val="center"/>
            </w:pPr>
            <w:r w:rsidRPr="005E74CB">
              <w:t>NZBC</w:t>
            </w:r>
          </w:p>
        </w:tc>
        <w:tc>
          <w:tcPr>
            <w:tcW w:w="699" w:type="dxa"/>
            <w:vAlign w:val="center"/>
          </w:tcPr>
          <w:p w14:paraId="10A83949" w14:textId="77777777" w:rsidR="009C6D0E" w:rsidRDefault="009C6D0E" w:rsidP="00BE6295">
            <w:pPr>
              <w:jc w:val="center"/>
            </w:pPr>
            <w:r w:rsidRPr="005E74CB">
              <w:t>NZBC</w:t>
            </w:r>
          </w:p>
        </w:tc>
        <w:tc>
          <w:tcPr>
            <w:tcW w:w="699" w:type="dxa"/>
            <w:vAlign w:val="center"/>
          </w:tcPr>
          <w:p w14:paraId="20AA5EFE" w14:textId="77777777" w:rsidR="009C6D0E" w:rsidRDefault="009C6D0E" w:rsidP="00BE6295">
            <w:pPr>
              <w:jc w:val="center"/>
            </w:pPr>
            <w:r w:rsidRPr="005E74CB">
              <w:t>NZBC</w:t>
            </w:r>
          </w:p>
        </w:tc>
        <w:tc>
          <w:tcPr>
            <w:tcW w:w="780" w:type="dxa"/>
            <w:vAlign w:val="center"/>
          </w:tcPr>
          <w:p w14:paraId="430AF5F6" w14:textId="77777777" w:rsidR="009C6D0E" w:rsidRDefault="009C6D0E" w:rsidP="00BE6295">
            <w:pPr>
              <w:jc w:val="center"/>
            </w:pPr>
            <w:r w:rsidRPr="005E74CB">
              <w:t>NZBC</w:t>
            </w:r>
          </w:p>
        </w:tc>
        <w:tc>
          <w:tcPr>
            <w:tcW w:w="780" w:type="dxa"/>
            <w:vAlign w:val="center"/>
          </w:tcPr>
          <w:p w14:paraId="168AC758" w14:textId="77777777" w:rsidR="009C6D0E" w:rsidRDefault="009C6D0E" w:rsidP="00BE6295">
            <w:pPr>
              <w:jc w:val="center"/>
            </w:pPr>
            <w:r w:rsidRPr="005E74CB">
              <w:t>NZBC</w:t>
            </w:r>
          </w:p>
        </w:tc>
        <w:tc>
          <w:tcPr>
            <w:tcW w:w="780" w:type="dxa"/>
            <w:vAlign w:val="center"/>
          </w:tcPr>
          <w:p w14:paraId="650E40CD" w14:textId="77777777" w:rsidR="009C6D0E" w:rsidRDefault="009C6D0E" w:rsidP="00BE6295">
            <w:pPr>
              <w:jc w:val="center"/>
            </w:pPr>
            <w:r w:rsidRPr="005E74CB">
              <w:t>NZBC</w:t>
            </w:r>
          </w:p>
        </w:tc>
        <w:tc>
          <w:tcPr>
            <w:tcW w:w="780" w:type="dxa"/>
            <w:vAlign w:val="center"/>
          </w:tcPr>
          <w:p w14:paraId="6ED8DD66" w14:textId="77777777" w:rsidR="009C6D0E" w:rsidRDefault="009C6D0E" w:rsidP="00BE6295">
            <w:pPr>
              <w:jc w:val="center"/>
            </w:pPr>
            <w:r w:rsidRPr="005E74CB">
              <w:t>NZBC</w:t>
            </w:r>
          </w:p>
        </w:tc>
        <w:tc>
          <w:tcPr>
            <w:tcW w:w="1353" w:type="dxa"/>
          </w:tcPr>
          <w:p w14:paraId="10B28599" w14:textId="77777777" w:rsidR="009C6D0E" w:rsidRDefault="009C6D0E" w:rsidP="00BE6295">
            <w:r>
              <w:t>NZBC and 30-min walk</w:t>
            </w:r>
          </w:p>
        </w:tc>
      </w:tr>
    </w:tbl>
    <w:p w14:paraId="64CBF4E9" w14:textId="77777777" w:rsidR="009C6D0E" w:rsidRDefault="009C6D0E" w:rsidP="009C6D0E"/>
    <w:p w14:paraId="7F7F8866" w14:textId="77777777" w:rsidR="009C6D0E" w:rsidRDefault="009C6D0E" w:rsidP="009C6D0E"/>
    <w:p w14:paraId="5AA0B7A0" w14:textId="77777777" w:rsidR="009C6D0E" w:rsidRDefault="009C6D0E" w:rsidP="009C6D0E"/>
    <w:p w14:paraId="62B157A7" w14:textId="77777777" w:rsidR="009C6D0E" w:rsidRDefault="009C6D0E" w:rsidP="009C6D0E"/>
    <w:p w14:paraId="487C9C66" w14:textId="77777777" w:rsidR="009C6D0E" w:rsidRDefault="009C6D0E" w:rsidP="009C6D0E"/>
    <w:p w14:paraId="25BAA5A4" w14:textId="77777777" w:rsidR="009C6D0E" w:rsidRDefault="009C6D0E" w:rsidP="009C6D0E"/>
    <w:p w14:paraId="04714698" w14:textId="77777777" w:rsidR="009C6D0E" w:rsidRDefault="009C6D0E" w:rsidP="009C6D0E"/>
    <w:p w14:paraId="08ADE9AC" w14:textId="77777777" w:rsidR="009C6D0E" w:rsidRDefault="009C6D0E" w:rsidP="009C6D0E">
      <w:pPr>
        <w:spacing w:line="480" w:lineRule="auto"/>
      </w:pPr>
      <w:r>
        <w:t>Figure 1. Schematic diagram of the randomized, cross-over study design with a control condition. NZBC indicates dosing with 600 mg of New Zealand blackcurrant extract (i.e. 210 mg of anthocyanins). 14-EOD indicates dosing every other day for two weeks. 14-D indicates dosing every day for two weeks. On testing day, the dose was taken two hours before the moderate-intensity 30-min walk.</w:t>
      </w:r>
    </w:p>
    <w:p w14:paraId="12EA24A8" w14:textId="77777777" w:rsidR="009C6D0E" w:rsidRDefault="009C6D0E" w:rsidP="009C6D0E"/>
    <w:p w14:paraId="59DF6016" w14:textId="7585A228" w:rsidR="009C6D0E" w:rsidRDefault="009C6D0E">
      <w:pPr>
        <w:rPr>
          <w:b/>
          <w:lang w:val="en-GB"/>
        </w:rPr>
      </w:pPr>
      <w:r>
        <w:rPr>
          <w:b/>
          <w:noProof/>
          <w:lang w:val="en-GB"/>
        </w:rPr>
        <w:drawing>
          <wp:inline distT="0" distB="0" distL="0" distR="0" wp14:anchorId="22AACF85" wp14:editId="113B69CD">
            <wp:extent cx="2409825" cy="57315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9825" cy="5731510"/>
                    </a:xfrm>
                    <a:prstGeom prst="rect">
                      <a:avLst/>
                    </a:prstGeom>
                  </pic:spPr>
                </pic:pic>
              </a:graphicData>
            </a:graphic>
          </wp:inline>
        </w:drawing>
      </w:r>
    </w:p>
    <w:p w14:paraId="186A88FF" w14:textId="6B906E12" w:rsidR="00A978C1" w:rsidRDefault="00A02C9A" w:rsidP="008142AD">
      <w:pPr>
        <w:spacing w:line="360" w:lineRule="auto"/>
        <w:rPr>
          <w:b/>
          <w:lang w:val="en-GB"/>
        </w:rPr>
      </w:pPr>
      <w:r>
        <w:rPr>
          <w:b/>
          <w:lang w:val="en-GB"/>
        </w:rPr>
        <w:t>Figure 2</w:t>
      </w:r>
    </w:p>
    <w:p w14:paraId="1EDB97F6" w14:textId="146633C9" w:rsidR="00A02C9A" w:rsidRDefault="00A02C9A" w:rsidP="008142AD">
      <w:pPr>
        <w:spacing w:line="360" w:lineRule="auto"/>
        <w:rPr>
          <w:b/>
          <w:lang w:val="en-GB"/>
        </w:rPr>
      </w:pPr>
    </w:p>
    <w:p w14:paraId="2FDD615D" w14:textId="75769EA4" w:rsidR="00A02C9A" w:rsidRDefault="00A02C9A" w:rsidP="008142AD">
      <w:pPr>
        <w:spacing w:line="360" w:lineRule="auto"/>
        <w:rPr>
          <w:b/>
          <w:lang w:val="en-GB"/>
        </w:rPr>
      </w:pPr>
      <w:r>
        <w:rPr>
          <w:b/>
          <w:noProof/>
          <w:lang w:val="en-GB"/>
        </w:rPr>
        <w:drawing>
          <wp:inline distT="0" distB="0" distL="0" distR="0" wp14:anchorId="5FA5C5DD" wp14:editId="4FA77994">
            <wp:extent cx="2929890" cy="573151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9890" cy="5731510"/>
                    </a:xfrm>
                    <a:prstGeom prst="rect">
                      <a:avLst/>
                    </a:prstGeom>
                  </pic:spPr>
                </pic:pic>
              </a:graphicData>
            </a:graphic>
          </wp:inline>
        </w:drawing>
      </w:r>
    </w:p>
    <w:p w14:paraId="62B0F9DB" w14:textId="3A0AACEF" w:rsidR="00A02C9A" w:rsidRDefault="00A02C9A" w:rsidP="008142AD">
      <w:pPr>
        <w:spacing w:line="360" w:lineRule="auto"/>
        <w:rPr>
          <w:b/>
          <w:lang w:val="en-GB"/>
        </w:rPr>
      </w:pPr>
    </w:p>
    <w:p w14:paraId="46990FBC" w14:textId="7D984AF4" w:rsidR="00A02C9A" w:rsidRPr="008142AD" w:rsidRDefault="00A02C9A" w:rsidP="008142AD">
      <w:pPr>
        <w:spacing w:line="360" w:lineRule="auto"/>
        <w:rPr>
          <w:b/>
          <w:lang w:val="en-GB"/>
        </w:rPr>
      </w:pPr>
      <w:r>
        <w:rPr>
          <w:b/>
          <w:lang w:val="en-GB"/>
        </w:rPr>
        <w:t>Figure 3</w:t>
      </w:r>
      <w:bookmarkStart w:id="10" w:name="_GoBack"/>
      <w:bookmarkEnd w:id="10"/>
    </w:p>
    <w:sectPr w:rsidR="00A02C9A" w:rsidRPr="008142AD" w:rsidSect="009C6D0E">
      <w:headerReference w:type="default" r:id="rId17"/>
      <w:footerReference w:type="even" r:id="rId18"/>
      <w:footerReference w:type="default" r:id="rId19"/>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42ED" w14:textId="77777777" w:rsidR="00195965" w:rsidRDefault="00195965">
      <w:r>
        <w:separator/>
      </w:r>
    </w:p>
  </w:endnote>
  <w:endnote w:type="continuationSeparator" w:id="0">
    <w:p w14:paraId="0204AB4F" w14:textId="77777777" w:rsidR="00195965" w:rsidRDefault="0019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111B" w14:textId="77777777" w:rsidR="00195965" w:rsidRDefault="00195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EE758" w14:textId="77777777" w:rsidR="00195965" w:rsidRDefault="00195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AA68" w14:textId="77777777" w:rsidR="00195965" w:rsidRDefault="00195965">
    <w:pPr>
      <w:pStyle w:val="Footer"/>
      <w:jc w:val="center"/>
    </w:pPr>
    <w:r>
      <w:fldChar w:fldCharType="begin"/>
    </w:r>
    <w:r>
      <w:instrText xml:space="preserve"> PAGE   \* MERGEFORMAT </w:instrText>
    </w:r>
    <w:r>
      <w:fldChar w:fldCharType="separate"/>
    </w:r>
    <w:r>
      <w:rPr>
        <w:noProof/>
      </w:rPr>
      <w:t>2</w:t>
    </w:r>
    <w:r>
      <w:rPr>
        <w:noProof/>
      </w:rPr>
      <w:fldChar w:fldCharType="end"/>
    </w:r>
  </w:p>
  <w:p w14:paraId="752F33A4" w14:textId="77777777" w:rsidR="00195965" w:rsidRDefault="00195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C5212" w14:textId="77777777" w:rsidR="00195965" w:rsidRDefault="00195965">
      <w:r>
        <w:separator/>
      </w:r>
    </w:p>
  </w:footnote>
  <w:footnote w:type="continuationSeparator" w:id="0">
    <w:p w14:paraId="45FD24DD" w14:textId="77777777" w:rsidR="00195965" w:rsidRDefault="0019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5DBE" w14:textId="25938FEC" w:rsidR="00195965" w:rsidRDefault="009C6D0E">
    <w:pPr>
      <w:pStyle w:val="Header"/>
      <w:jc w:val="right"/>
    </w:pPr>
    <w:r>
      <w:t xml:space="preserve">Accepted version (19/10/2020) Journal of Dietary Supplements, </w:t>
    </w:r>
    <w:r w:rsidR="00195965">
      <w:fldChar w:fldCharType="begin"/>
    </w:r>
    <w:r w:rsidR="00195965">
      <w:instrText xml:space="preserve"> PAGE   \* MERGEFORMAT </w:instrText>
    </w:r>
    <w:r w:rsidR="00195965">
      <w:fldChar w:fldCharType="separate"/>
    </w:r>
    <w:r w:rsidR="00195965">
      <w:rPr>
        <w:noProof/>
      </w:rPr>
      <w:t>2</w:t>
    </w:r>
    <w:r w:rsidR="00195965">
      <w:rPr>
        <w:noProof/>
      </w:rPr>
      <w:fldChar w:fldCharType="end"/>
    </w:r>
  </w:p>
  <w:p w14:paraId="5CE12584" w14:textId="77777777" w:rsidR="00195965" w:rsidRDefault="0019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C49"/>
    <w:multiLevelType w:val="hybridMultilevel"/>
    <w:tmpl w:val="9C88B30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B092A"/>
    <w:multiLevelType w:val="hybridMultilevel"/>
    <w:tmpl w:val="6002B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63269"/>
    <w:multiLevelType w:val="hybridMultilevel"/>
    <w:tmpl w:val="2C646BF6"/>
    <w:lvl w:ilvl="0" w:tplc="6CFA548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F1FBC"/>
    <w:multiLevelType w:val="hybridMultilevel"/>
    <w:tmpl w:val="223CDBA8"/>
    <w:lvl w:ilvl="0" w:tplc="0FA6AD58">
      <w:start w:val="199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534BB2"/>
    <w:multiLevelType w:val="hybridMultilevel"/>
    <w:tmpl w:val="74A4521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16A0C76"/>
    <w:multiLevelType w:val="hybridMultilevel"/>
    <w:tmpl w:val="D43A3C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4B30E10"/>
    <w:multiLevelType w:val="hybridMultilevel"/>
    <w:tmpl w:val="FE6E77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86A12A0"/>
    <w:multiLevelType w:val="hybridMultilevel"/>
    <w:tmpl w:val="63A2C604"/>
    <w:lvl w:ilvl="0" w:tplc="D410EAF0">
      <w:start w:val="1993"/>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AB48FC"/>
    <w:multiLevelType w:val="hybridMultilevel"/>
    <w:tmpl w:val="A2B46CB0"/>
    <w:lvl w:ilvl="0" w:tplc="0FA6AD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57B85"/>
    <w:multiLevelType w:val="hybridMultilevel"/>
    <w:tmpl w:val="B630FFE8"/>
    <w:lvl w:ilvl="0" w:tplc="D410EAF0">
      <w:start w:val="1993"/>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0" w15:restartNumberingAfterBreak="0">
    <w:nsid w:val="3B740D0A"/>
    <w:multiLevelType w:val="hybridMultilevel"/>
    <w:tmpl w:val="5274A252"/>
    <w:lvl w:ilvl="0" w:tplc="984ACE7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C0268DE"/>
    <w:multiLevelType w:val="hybridMultilevel"/>
    <w:tmpl w:val="73863F68"/>
    <w:lvl w:ilvl="0" w:tplc="CFE28CA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9E06D2F"/>
    <w:multiLevelType w:val="hybridMultilevel"/>
    <w:tmpl w:val="BDCE15E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C2E6A"/>
    <w:multiLevelType w:val="hybridMultilevel"/>
    <w:tmpl w:val="A9BC2460"/>
    <w:lvl w:ilvl="0" w:tplc="04100005">
      <w:start w:val="1"/>
      <w:numFmt w:val="bullet"/>
      <w:lvlText w:val=""/>
      <w:lvlJc w:val="left"/>
      <w:pPr>
        <w:ind w:left="3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3A3349"/>
    <w:multiLevelType w:val="hybridMultilevel"/>
    <w:tmpl w:val="853E0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DB7659"/>
    <w:multiLevelType w:val="hybridMultilevel"/>
    <w:tmpl w:val="2302765C"/>
    <w:lvl w:ilvl="0" w:tplc="2E749A9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08F1217"/>
    <w:multiLevelType w:val="hybridMultilevel"/>
    <w:tmpl w:val="6D6E8B1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0F40E49"/>
    <w:multiLevelType w:val="hybridMultilevel"/>
    <w:tmpl w:val="7FE0564C"/>
    <w:lvl w:ilvl="0" w:tplc="0FA6AD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7C3868"/>
    <w:multiLevelType w:val="hybridMultilevel"/>
    <w:tmpl w:val="1B76D734"/>
    <w:lvl w:ilvl="0" w:tplc="1FF67DB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A5042C"/>
    <w:multiLevelType w:val="hybridMultilevel"/>
    <w:tmpl w:val="5422EF6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6"/>
  </w:num>
  <w:num w:numId="4">
    <w:abstractNumId w:val="8"/>
  </w:num>
  <w:num w:numId="5">
    <w:abstractNumId w:val="0"/>
  </w:num>
  <w:num w:numId="6">
    <w:abstractNumId w:val="16"/>
  </w:num>
  <w:num w:numId="7">
    <w:abstractNumId w:val="19"/>
  </w:num>
  <w:num w:numId="8">
    <w:abstractNumId w:val="4"/>
  </w:num>
  <w:num w:numId="9">
    <w:abstractNumId w:val="15"/>
  </w:num>
  <w:num w:numId="10">
    <w:abstractNumId w:val="5"/>
  </w:num>
  <w:num w:numId="11">
    <w:abstractNumId w:val="14"/>
  </w:num>
  <w:num w:numId="12">
    <w:abstractNumId w:val="17"/>
  </w:num>
  <w:num w:numId="13">
    <w:abstractNumId w:val="3"/>
  </w:num>
  <w:num w:numId="14">
    <w:abstractNumId w:val="9"/>
  </w:num>
  <w:num w:numId="15">
    <w:abstractNumId w:val="1"/>
  </w:num>
  <w:num w:numId="16">
    <w:abstractNumId w:val="7"/>
  </w:num>
  <w:num w:numId="17">
    <w:abstractNumId w:val="13"/>
  </w:num>
  <w:num w:numId="18">
    <w:abstractNumId w:val="18"/>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C5"/>
    <w:rsid w:val="00000053"/>
    <w:rsid w:val="00002791"/>
    <w:rsid w:val="00005C29"/>
    <w:rsid w:val="000112FB"/>
    <w:rsid w:val="00016EED"/>
    <w:rsid w:val="00020CEB"/>
    <w:rsid w:val="000235F3"/>
    <w:rsid w:val="00023FF2"/>
    <w:rsid w:val="000268CC"/>
    <w:rsid w:val="000331CD"/>
    <w:rsid w:val="00037C3F"/>
    <w:rsid w:val="00041778"/>
    <w:rsid w:val="0004208C"/>
    <w:rsid w:val="000446CC"/>
    <w:rsid w:val="00045A94"/>
    <w:rsid w:val="00054331"/>
    <w:rsid w:val="00061AE4"/>
    <w:rsid w:val="00063E86"/>
    <w:rsid w:val="00077D88"/>
    <w:rsid w:val="000826E7"/>
    <w:rsid w:val="0008771A"/>
    <w:rsid w:val="00090977"/>
    <w:rsid w:val="0009576C"/>
    <w:rsid w:val="00096760"/>
    <w:rsid w:val="000A17CB"/>
    <w:rsid w:val="000B013A"/>
    <w:rsid w:val="000B5765"/>
    <w:rsid w:val="000C07E7"/>
    <w:rsid w:val="000C3BF2"/>
    <w:rsid w:val="000D2AE5"/>
    <w:rsid w:val="000E1A63"/>
    <w:rsid w:val="000E708C"/>
    <w:rsid w:val="000F5530"/>
    <w:rsid w:val="00101076"/>
    <w:rsid w:val="001011E3"/>
    <w:rsid w:val="001115D0"/>
    <w:rsid w:val="0011497F"/>
    <w:rsid w:val="0011509B"/>
    <w:rsid w:val="0011590D"/>
    <w:rsid w:val="00130929"/>
    <w:rsid w:val="001342D6"/>
    <w:rsid w:val="0015298F"/>
    <w:rsid w:val="00155183"/>
    <w:rsid w:val="00193340"/>
    <w:rsid w:val="00193FC3"/>
    <w:rsid w:val="00195965"/>
    <w:rsid w:val="001A58D0"/>
    <w:rsid w:val="001B6330"/>
    <w:rsid w:val="001C09A8"/>
    <w:rsid w:val="001C0F90"/>
    <w:rsid w:val="001C618A"/>
    <w:rsid w:val="001D3A21"/>
    <w:rsid w:val="001D50C3"/>
    <w:rsid w:val="001D78C2"/>
    <w:rsid w:val="001E756E"/>
    <w:rsid w:val="001F28E3"/>
    <w:rsid w:val="001F600E"/>
    <w:rsid w:val="00201BDD"/>
    <w:rsid w:val="0020499A"/>
    <w:rsid w:val="00205AFD"/>
    <w:rsid w:val="00210C17"/>
    <w:rsid w:val="002220A6"/>
    <w:rsid w:val="00225BA8"/>
    <w:rsid w:val="00230933"/>
    <w:rsid w:val="002611B5"/>
    <w:rsid w:val="002613FE"/>
    <w:rsid w:val="002834B2"/>
    <w:rsid w:val="00283D60"/>
    <w:rsid w:val="00287BCD"/>
    <w:rsid w:val="002A18A3"/>
    <w:rsid w:val="002A4252"/>
    <w:rsid w:val="002A5AD4"/>
    <w:rsid w:val="002B024E"/>
    <w:rsid w:val="002B35B0"/>
    <w:rsid w:val="002C4624"/>
    <w:rsid w:val="002E5572"/>
    <w:rsid w:val="002E7859"/>
    <w:rsid w:val="002F31F1"/>
    <w:rsid w:val="003128A1"/>
    <w:rsid w:val="00321DB0"/>
    <w:rsid w:val="00325612"/>
    <w:rsid w:val="003262ED"/>
    <w:rsid w:val="003422EA"/>
    <w:rsid w:val="00342A0D"/>
    <w:rsid w:val="00342D65"/>
    <w:rsid w:val="00342ED8"/>
    <w:rsid w:val="0034486C"/>
    <w:rsid w:val="00346A4A"/>
    <w:rsid w:val="00346C92"/>
    <w:rsid w:val="00362EC7"/>
    <w:rsid w:val="00373203"/>
    <w:rsid w:val="00373DFA"/>
    <w:rsid w:val="00380EBE"/>
    <w:rsid w:val="00382553"/>
    <w:rsid w:val="00383A8D"/>
    <w:rsid w:val="00386E0A"/>
    <w:rsid w:val="0039176B"/>
    <w:rsid w:val="0039329A"/>
    <w:rsid w:val="003A49FD"/>
    <w:rsid w:val="003A4CBC"/>
    <w:rsid w:val="003B3964"/>
    <w:rsid w:val="003E71C2"/>
    <w:rsid w:val="003F23DF"/>
    <w:rsid w:val="003F2CC7"/>
    <w:rsid w:val="003F490A"/>
    <w:rsid w:val="003F4F12"/>
    <w:rsid w:val="00417C1C"/>
    <w:rsid w:val="00440120"/>
    <w:rsid w:val="00446403"/>
    <w:rsid w:val="00453AF4"/>
    <w:rsid w:val="00460383"/>
    <w:rsid w:val="00461F4F"/>
    <w:rsid w:val="00463D1C"/>
    <w:rsid w:val="0046469E"/>
    <w:rsid w:val="00476883"/>
    <w:rsid w:val="00477F7B"/>
    <w:rsid w:val="00493CC5"/>
    <w:rsid w:val="0049717A"/>
    <w:rsid w:val="004A28F6"/>
    <w:rsid w:val="004C4436"/>
    <w:rsid w:val="004D2229"/>
    <w:rsid w:val="004D26C1"/>
    <w:rsid w:val="004E2577"/>
    <w:rsid w:val="004F1DFE"/>
    <w:rsid w:val="004F69CB"/>
    <w:rsid w:val="004F77B6"/>
    <w:rsid w:val="0051175F"/>
    <w:rsid w:val="00517B83"/>
    <w:rsid w:val="00536DF4"/>
    <w:rsid w:val="005402C3"/>
    <w:rsid w:val="0055577A"/>
    <w:rsid w:val="00574A75"/>
    <w:rsid w:val="005779C8"/>
    <w:rsid w:val="00581647"/>
    <w:rsid w:val="00582159"/>
    <w:rsid w:val="00587764"/>
    <w:rsid w:val="005910C6"/>
    <w:rsid w:val="00593BC3"/>
    <w:rsid w:val="00601B03"/>
    <w:rsid w:val="00601F97"/>
    <w:rsid w:val="006050D0"/>
    <w:rsid w:val="00605B6C"/>
    <w:rsid w:val="00615D7D"/>
    <w:rsid w:val="00623131"/>
    <w:rsid w:val="00623496"/>
    <w:rsid w:val="00632AA7"/>
    <w:rsid w:val="00634657"/>
    <w:rsid w:val="00641272"/>
    <w:rsid w:val="00644445"/>
    <w:rsid w:val="00646DC0"/>
    <w:rsid w:val="006501C3"/>
    <w:rsid w:val="0066573A"/>
    <w:rsid w:val="006674B2"/>
    <w:rsid w:val="00671B05"/>
    <w:rsid w:val="006720B9"/>
    <w:rsid w:val="00674734"/>
    <w:rsid w:val="00676CCF"/>
    <w:rsid w:val="00683FFF"/>
    <w:rsid w:val="00684A4C"/>
    <w:rsid w:val="006A188D"/>
    <w:rsid w:val="006A5B8D"/>
    <w:rsid w:val="006A7C03"/>
    <w:rsid w:val="006B45E0"/>
    <w:rsid w:val="006C5597"/>
    <w:rsid w:val="006D00F3"/>
    <w:rsid w:val="006E337A"/>
    <w:rsid w:val="006E7CDC"/>
    <w:rsid w:val="006F4963"/>
    <w:rsid w:val="006F4D3B"/>
    <w:rsid w:val="00704679"/>
    <w:rsid w:val="00707DF9"/>
    <w:rsid w:val="00715605"/>
    <w:rsid w:val="007249B3"/>
    <w:rsid w:val="0073104C"/>
    <w:rsid w:val="00733DD8"/>
    <w:rsid w:val="00734FF3"/>
    <w:rsid w:val="00737448"/>
    <w:rsid w:val="007416DD"/>
    <w:rsid w:val="00744A6F"/>
    <w:rsid w:val="00744F8F"/>
    <w:rsid w:val="00762D1C"/>
    <w:rsid w:val="00765AEE"/>
    <w:rsid w:val="007678EF"/>
    <w:rsid w:val="00774DE8"/>
    <w:rsid w:val="00780DD7"/>
    <w:rsid w:val="00786ED1"/>
    <w:rsid w:val="00797FC7"/>
    <w:rsid w:val="007A4614"/>
    <w:rsid w:val="007A65C9"/>
    <w:rsid w:val="007B0954"/>
    <w:rsid w:val="007C24FA"/>
    <w:rsid w:val="007C4C66"/>
    <w:rsid w:val="007D4099"/>
    <w:rsid w:val="007D47AD"/>
    <w:rsid w:val="007E42F4"/>
    <w:rsid w:val="007F07AC"/>
    <w:rsid w:val="007F31AF"/>
    <w:rsid w:val="00801536"/>
    <w:rsid w:val="008043A2"/>
    <w:rsid w:val="008142AD"/>
    <w:rsid w:val="008202EF"/>
    <w:rsid w:val="008254D3"/>
    <w:rsid w:val="008316AF"/>
    <w:rsid w:val="0084045C"/>
    <w:rsid w:val="0084313E"/>
    <w:rsid w:val="00851DA5"/>
    <w:rsid w:val="00857BD1"/>
    <w:rsid w:val="008657BD"/>
    <w:rsid w:val="008712D4"/>
    <w:rsid w:val="00873767"/>
    <w:rsid w:val="00874959"/>
    <w:rsid w:val="00881DDB"/>
    <w:rsid w:val="008A1B5A"/>
    <w:rsid w:val="008A400D"/>
    <w:rsid w:val="008A42D2"/>
    <w:rsid w:val="008B18FE"/>
    <w:rsid w:val="008B2449"/>
    <w:rsid w:val="008B4D43"/>
    <w:rsid w:val="008B541A"/>
    <w:rsid w:val="008B5BC1"/>
    <w:rsid w:val="008C0C95"/>
    <w:rsid w:val="008C5E2D"/>
    <w:rsid w:val="008E2326"/>
    <w:rsid w:val="008E2374"/>
    <w:rsid w:val="008F766E"/>
    <w:rsid w:val="00917FCA"/>
    <w:rsid w:val="00923598"/>
    <w:rsid w:val="00941722"/>
    <w:rsid w:val="00943705"/>
    <w:rsid w:val="009440B3"/>
    <w:rsid w:val="009441D7"/>
    <w:rsid w:val="00945521"/>
    <w:rsid w:val="00947F86"/>
    <w:rsid w:val="00952A36"/>
    <w:rsid w:val="00955B68"/>
    <w:rsid w:val="00957E53"/>
    <w:rsid w:val="00960C84"/>
    <w:rsid w:val="00962C8E"/>
    <w:rsid w:val="00965A7C"/>
    <w:rsid w:val="00971B5B"/>
    <w:rsid w:val="00972B5C"/>
    <w:rsid w:val="00977875"/>
    <w:rsid w:val="00981BB0"/>
    <w:rsid w:val="009901C4"/>
    <w:rsid w:val="00996BD4"/>
    <w:rsid w:val="009B3A74"/>
    <w:rsid w:val="009C6D0E"/>
    <w:rsid w:val="009D7DD3"/>
    <w:rsid w:val="009E2F45"/>
    <w:rsid w:val="009E7830"/>
    <w:rsid w:val="009F5F96"/>
    <w:rsid w:val="00A00609"/>
    <w:rsid w:val="00A02C9A"/>
    <w:rsid w:val="00A060A7"/>
    <w:rsid w:val="00A06607"/>
    <w:rsid w:val="00A07D07"/>
    <w:rsid w:val="00A102E8"/>
    <w:rsid w:val="00A23297"/>
    <w:rsid w:val="00A256FB"/>
    <w:rsid w:val="00A27B3B"/>
    <w:rsid w:val="00A554C5"/>
    <w:rsid w:val="00A63C1C"/>
    <w:rsid w:val="00A65D65"/>
    <w:rsid w:val="00A7437D"/>
    <w:rsid w:val="00A81C0C"/>
    <w:rsid w:val="00A81FA1"/>
    <w:rsid w:val="00A84EFD"/>
    <w:rsid w:val="00A90F0E"/>
    <w:rsid w:val="00A935D2"/>
    <w:rsid w:val="00A978C1"/>
    <w:rsid w:val="00AA441E"/>
    <w:rsid w:val="00AB0F73"/>
    <w:rsid w:val="00AB58A8"/>
    <w:rsid w:val="00AB5F40"/>
    <w:rsid w:val="00AC1E4B"/>
    <w:rsid w:val="00AC6718"/>
    <w:rsid w:val="00AD5FC5"/>
    <w:rsid w:val="00AD640E"/>
    <w:rsid w:val="00AF2AD3"/>
    <w:rsid w:val="00AF32EA"/>
    <w:rsid w:val="00AF5CAC"/>
    <w:rsid w:val="00B0061B"/>
    <w:rsid w:val="00B00EB5"/>
    <w:rsid w:val="00B1049B"/>
    <w:rsid w:val="00B13288"/>
    <w:rsid w:val="00B23D5C"/>
    <w:rsid w:val="00B32BBB"/>
    <w:rsid w:val="00B40619"/>
    <w:rsid w:val="00B473E8"/>
    <w:rsid w:val="00B5297C"/>
    <w:rsid w:val="00B803B8"/>
    <w:rsid w:val="00B83A99"/>
    <w:rsid w:val="00B96456"/>
    <w:rsid w:val="00B97F44"/>
    <w:rsid w:val="00BA0B0E"/>
    <w:rsid w:val="00BA0E4E"/>
    <w:rsid w:val="00BA3291"/>
    <w:rsid w:val="00BA6837"/>
    <w:rsid w:val="00BA719D"/>
    <w:rsid w:val="00BB1EFF"/>
    <w:rsid w:val="00BB3089"/>
    <w:rsid w:val="00BC021F"/>
    <w:rsid w:val="00BC4553"/>
    <w:rsid w:val="00BC63E6"/>
    <w:rsid w:val="00BD2EFD"/>
    <w:rsid w:val="00BD3D0D"/>
    <w:rsid w:val="00BE09B7"/>
    <w:rsid w:val="00BE0A2C"/>
    <w:rsid w:val="00BE53A1"/>
    <w:rsid w:val="00BF5F2D"/>
    <w:rsid w:val="00BF71AF"/>
    <w:rsid w:val="00C0405F"/>
    <w:rsid w:val="00C066FF"/>
    <w:rsid w:val="00C072A2"/>
    <w:rsid w:val="00C119D6"/>
    <w:rsid w:val="00C12B06"/>
    <w:rsid w:val="00C15B0F"/>
    <w:rsid w:val="00C17E88"/>
    <w:rsid w:val="00C264C9"/>
    <w:rsid w:val="00C34E4E"/>
    <w:rsid w:val="00C564A6"/>
    <w:rsid w:val="00C60B6B"/>
    <w:rsid w:val="00C64D00"/>
    <w:rsid w:val="00C94A0E"/>
    <w:rsid w:val="00C94A7F"/>
    <w:rsid w:val="00C96272"/>
    <w:rsid w:val="00CA1D41"/>
    <w:rsid w:val="00CA4030"/>
    <w:rsid w:val="00CC4544"/>
    <w:rsid w:val="00CC6E81"/>
    <w:rsid w:val="00CD3897"/>
    <w:rsid w:val="00CD38A6"/>
    <w:rsid w:val="00CD4808"/>
    <w:rsid w:val="00CE07A2"/>
    <w:rsid w:val="00CE592F"/>
    <w:rsid w:val="00CF0ACA"/>
    <w:rsid w:val="00CF21F5"/>
    <w:rsid w:val="00CF68D6"/>
    <w:rsid w:val="00D06A06"/>
    <w:rsid w:val="00D1148D"/>
    <w:rsid w:val="00D12533"/>
    <w:rsid w:val="00D24859"/>
    <w:rsid w:val="00D40F8C"/>
    <w:rsid w:val="00D50FBC"/>
    <w:rsid w:val="00D51FDF"/>
    <w:rsid w:val="00D545D4"/>
    <w:rsid w:val="00D6352D"/>
    <w:rsid w:val="00D6502C"/>
    <w:rsid w:val="00D7028A"/>
    <w:rsid w:val="00D83E8F"/>
    <w:rsid w:val="00D8583A"/>
    <w:rsid w:val="00D86A14"/>
    <w:rsid w:val="00D87B6C"/>
    <w:rsid w:val="00D930C4"/>
    <w:rsid w:val="00DA3C4A"/>
    <w:rsid w:val="00DB1C85"/>
    <w:rsid w:val="00DB1FBB"/>
    <w:rsid w:val="00DC65CB"/>
    <w:rsid w:val="00DE3476"/>
    <w:rsid w:val="00DE6898"/>
    <w:rsid w:val="00DE7550"/>
    <w:rsid w:val="00DF0F79"/>
    <w:rsid w:val="00DF6EEA"/>
    <w:rsid w:val="00E002A4"/>
    <w:rsid w:val="00E03FA4"/>
    <w:rsid w:val="00E122FD"/>
    <w:rsid w:val="00E124A9"/>
    <w:rsid w:val="00E13CB8"/>
    <w:rsid w:val="00E3497F"/>
    <w:rsid w:val="00E37C4D"/>
    <w:rsid w:val="00E45624"/>
    <w:rsid w:val="00E46547"/>
    <w:rsid w:val="00E70AA9"/>
    <w:rsid w:val="00E72277"/>
    <w:rsid w:val="00E77AAD"/>
    <w:rsid w:val="00EA2B89"/>
    <w:rsid w:val="00EB0151"/>
    <w:rsid w:val="00EB2082"/>
    <w:rsid w:val="00EB515B"/>
    <w:rsid w:val="00EC2CDF"/>
    <w:rsid w:val="00ED23C2"/>
    <w:rsid w:val="00ED26F4"/>
    <w:rsid w:val="00EE5AC2"/>
    <w:rsid w:val="00F04BA5"/>
    <w:rsid w:val="00F13BE0"/>
    <w:rsid w:val="00F1482E"/>
    <w:rsid w:val="00F26DD0"/>
    <w:rsid w:val="00F372B5"/>
    <w:rsid w:val="00F50492"/>
    <w:rsid w:val="00F51316"/>
    <w:rsid w:val="00F524EB"/>
    <w:rsid w:val="00F54C34"/>
    <w:rsid w:val="00F7086B"/>
    <w:rsid w:val="00F72C42"/>
    <w:rsid w:val="00F760C8"/>
    <w:rsid w:val="00F769FB"/>
    <w:rsid w:val="00F94E41"/>
    <w:rsid w:val="00FA19FF"/>
    <w:rsid w:val="00FB2B7D"/>
    <w:rsid w:val="00FB4C49"/>
    <w:rsid w:val="00FB65D7"/>
    <w:rsid w:val="00FD2E63"/>
    <w:rsid w:val="00FE02B5"/>
    <w:rsid w:val="00FE57EC"/>
    <w:rsid w:val="00FE66C2"/>
    <w:rsid w:val="00FF1CF9"/>
    <w:rsid w:val="00FF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FEB5C"/>
  <w15:chartTrackingRefBased/>
  <w15:docId w15:val="{C779C43D-A91B-4130-A8B0-5DA5BB68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spacing w:before="100" w:beforeAutospacing="1" w:line="480" w:lineRule="auto"/>
      <w:jc w:val="both"/>
      <w:outlineLvl w:val="0"/>
    </w:pPr>
    <w:rPr>
      <w:b/>
      <w:bCs/>
      <w:color w:val="0000FF"/>
    </w:rPr>
  </w:style>
  <w:style w:type="paragraph" w:styleId="Heading2">
    <w:name w:val="heading 2"/>
    <w:basedOn w:val="Normal"/>
    <w:next w:val="Normal"/>
    <w:qFormat/>
    <w:pPr>
      <w:keepNext/>
      <w:spacing w:line="48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FF"/>
      <w:lang w:val="en-GB"/>
    </w:r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Pr>
      <w:b/>
      <w:bCs/>
    </w:rPr>
  </w:style>
  <w:style w:type="paragraph" w:styleId="BodyText2">
    <w:name w:val="Body Text 2"/>
    <w:basedOn w:val="Normal"/>
    <w:rPr>
      <w:i/>
      <w:iCs/>
    </w:rPr>
  </w:style>
  <w:style w:type="paragraph" w:styleId="BodyText3">
    <w:name w:val="Body Text 3"/>
    <w:basedOn w:val="Normal"/>
    <w:pPr>
      <w:spacing w:line="360" w:lineRule="auto"/>
      <w:jc w:val="center"/>
    </w:pPr>
    <w:rPr>
      <w:b/>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rsid w:val="00EB515B"/>
    <w:rPr>
      <w:color w:val="0000FF"/>
      <w:u w:val="single"/>
    </w:rPr>
  </w:style>
  <w:style w:type="paragraph" w:styleId="Header">
    <w:name w:val="header"/>
    <w:basedOn w:val="Normal"/>
    <w:link w:val="HeaderChar"/>
    <w:uiPriority w:val="99"/>
    <w:rsid w:val="00A23297"/>
    <w:pPr>
      <w:tabs>
        <w:tab w:val="center" w:pos="4819"/>
        <w:tab w:val="right" w:pos="9638"/>
      </w:tabs>
    </w:pPr>
  </w:style>
  <w:style w:type="character" w:customStyle="1" w:styleId="HeaderChar">
    <w:name w:val="Header Char"/>
    <w:link w:val="Header"/>
    <w:uiPriority w:val="99"/>
    <w:rsid w:val="00A23297"/>
    <w:rPr>
      <w:sz w:val="24"/>
      <w:szCs w:val="24"/>
    </w:rPr>
  </w:style>
  <w:style w:type="paragraph" w:styleId="ListParagraph">
    <w:name w:val="List Paragraph"/>
    <w:basedOn w:val="Normal"/>
    <w:uiPriority w:val="34"/>
    <w:qFormat/>
    <w:rsid w:val="00A23297"/>
    <w:pPr>
      <w:ind w:left="708"/>
    </w:pPr>
  </w:style>
  <w:style w:type="paragraph" w:styleId="NormalWeb">
    <w:name w:val="Normal (Web)"/>
    <w:basedOn w:val="Normal"/>
    <w:link w:val="NormalWebChar"/>
    <w:uiPriority w:val="99"/>
    <w:unhideWhenUsed/>
    <w:rsid w:val="00B13288"/>
    <w:pPr>
      <w:spacing w:before="100" w:beforeAutospacing="1" w:after="100" w:afterAutospacing="1"/>
    </w:pPr>
    <w:rPr>
      <w:lang w:val="en-US" w:eastAsia="en-US"/>
    </w:rPr>
  </w:style>
  <w:style w:type="character" w:customStyle="1" w:styleId="NormalWebChar">
    <w:name w:val="Normal (Web) Char"/>
    <w:link w:val="NormalWeb"/>
    <w:uiPriority w:val="99"/>
    <w:rsid w:val="00B13288"/>
    <w:rPr>
      <w:sz w:val="24"/>
      <w:szCs w:val="24"/>
      <w:lang w:val="en-US" w:eastAsia="en-US"/>
    </w:rPr>
  </w:style>
  <w:style w:type="character" w:customStyle="1" w:styleId="fdo">
    <w:name w:val="f_do"/>
    <w:rsid w:val="00B13288"/>
  </w:style>
  <w:style w:type="paragraph" w:customStyle="1" w:styleId="desc">
    <w:name w:val="desc"/>
    <w:basedOn w:val="Normal"/>
    <w:rsid w:val="00373DFA"/>
    <w:pPr>
      <w:spacing w:before="100" w:beforeAutospacing="1" w:after="100" w:afterAutospacing="1"/>
    </w:pPr>
    <w:rPr>
      <w:lang w:val="en-GB" w:eastAsia="en-GB"/>
    </w:rPr>
  </w:style>
  <w:style w:type="character" w:customStyle="1" w:styleId="jrnl">
    <w:name w:val="jrnl"/>
    <w:rsid w:val="00373DFA"/>
  </w:style>
  <w:style w:type="character" w:customStyle="1" w:styleId="labs-docsum-authors">
    <w:name w:val="labs-docsum-authors"/>
    <w:rsid w:val="00373DFA"/>
  </w:style>
  <w:style w:type="character" w:customStyle="1" w:styleId="labs-docsum-journal-citation">
    <w:name w:val="labs-docsum-journal-citation"/>
    <w:rsid w:val="00373DFA"/>
  </w:style>
  <w:style w:type="table" w:styleId="PlainTable2">
    <w:name w:val="Plain Table 2"/>
    <w:basedOn w:val="TableNormal"/>
    <w:uiPriority w:val="42"/>
    <w:rsid w:val="00A978C1"/>
    <w:rPr>
      <w:rFonts w:ascii="Calibri" w:eastAsia="Calibri" w:hAnsi="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rsid w:val="008A42D2"/>
  </w:style>
  <w:style w:type="character" w:customStyle="1" w:styleId="FooterChar">
    <w:name w:val="Footer Char"/>
    <w:link w:val="Footer"/>
    <w:uiPriority w:val="99"/>
    <w:rsid w:val="00CF0ACA"/>
    <w:rPr>
      <w:sz w:val="24"/>
      <w:szCs w:val="24"/>
      <w:lang w:val="it-IT" w:eastAsia="it-IT"/>
    </w:rPr>
  </w:style>
  <w:style w:type="character" w:customStyle="1" w:styleId="authors-list-item">
    <w:name w:val="authors-list-item"/>
    <w:rsid w:val="00923598"/>
  </w:style>
  <w:style w:type="character" w:customStyle="1" w:styleId="comma">
    <w:name w:val="comma"/>
    <w:rsid w:val="00923598"/>
  </w:style>
  <w:style w:type="character" w:customStyle="1" w:styleId="highlight">
    <w:name w:val="highlight"/>
    <w:rsid w:val="00923598"/>
  </w:style>
  <w:style w:type="character" w:styleId="UnresolvedMention">
    <w:name w:val="Unresolved Mention"/>
    <w:basedOn w:val="DefaultParagraphFont"/>
    <w:uiPriority w:val="99"/>
    <w:semiHidden/>
    <w:unhideWhenUsed/>
    <w:rsid w:val="0039176B"/>
    <w:rPr>
      <w:color w:val="605E5C"/>
      <w:shd w:val="clear" w:color="auto" w:fill="E1DFDD"/>
    </w:rPr>
  </w:style>
  <w:style w:type="character" w:customStyle="1" w:styleId="docsum-authors">
    <w:name w:val="docsum-authors"/>
    <w:basedOn w:val="DefaultParagraphFont"/>
    <w:rsid w:val="004F77B6"/>
  </w:style>
  <w:style w:type="character" w:customStyle="1" w:styleId="docsum-journal-citation">
    <w:name w:val="docsum-journal-citation"/>
    <w:basedOn w:val="DefaultParagraphFont"/>
    <w:rsid w:val="004F77B6"/>
  </w:style>
  <w:style w:type="table" w:styleId="TableGrid">
    <w:name w:val="Table Grid"/>
    <w:basedOn w:val="TableNormal"/>
    <w:uiPriority w:val="39"/>
    <w:rsid w:val="009C6D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38868">
      <w:bodyDiv w:val="1"/>
      <w:marLeft w:val="0"/>
      <w:marRight w:val="0"/>
      <w:marTop w:val="0"/>
      <w:marBottom w:val="0"/>
      <w:divBdr>
        <w:top w:val="none" w:sz="0" w:space="0" w:color="auto"/>
        <w:left w:val="none" w:sz="0" w:space="0" w:color="auto"/>
        <w:bottom w:val="none" w:sz="0" w:space="0" w:color="auto"/>
        <w:right w:val="none" w:sz="0" w:space="0" w:color="auto"/>
      </w:divBdr>
      <w:divsChild>
        <w:div w:id="14840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ndom.org" TargetMode="External"/><Relationship Id="rId13" Type="http://schemas.openxmlformats.org/officeDocument/2006/relationships/hyperlink" Target="https://pubmed.ncbi.nlm.nih.gov/3258275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2847513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17284861/"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pubmed.ncbi.nlm.nih.gov/3186136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ubmed.ncbi.nlm.nih.gov/21106916/" TargetMode="External"/><Relationship Id="rId14" Type="http://schemas.openxmlformats.org/officeDocument/2006/relationships/hyperlink" Target="https://pubmed.ncbi.nlm.nih.gov/30907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C651-149A-4C06-97A4-7FD91444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4920</Words>
  <Characters>29167</Characters>
  <Application>Microsoft Office Word</Application>
  <DocSecurity>0</DocSecurity>
  <Lines>243</Lines>
  <Paragraphs>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INTRODUCTION</vt:lpstr>
      <vt:lpstr>INTRODUCTION</vt:lpstr>
    </vt:vector>
  </TitlesOfParts>
  <Company/>
  <LinksUpToDate>false</LinksUpToDate>
  <CharactersWithSpaces>34019</CharactersWithSpaces>
  <SharedDoc>false</SharedDoc>
  <HLinks>
    <vt:vector size="30" baseType="variant">
      <vt:variant>
        <vt:i4>524290</vt:i4>
      </vt:variant>
      <vt:variant>
        <vt:i4>12</vt:i4>
      </vt:variant>
      <vt:variant>
        <vt:i4>0</vt:i4>
      </vt:variant>
      <vt:variant>
        <vt:i4>5</vt:i4>
      </vt:variant>
      <vt:variant>
        <vt:lpwstr>https://pubmed.ncbi.nlm.nih.gov/30907082/</vt:lpwstr>
      </vt:variant>
      <vt:variant>
        <vt:lpwstr/>
      </vt:variant>
      <vt:variant>
        <vt:i4>6</vt:i4>
      </vt:variant>
      <vt:variant>
        <vt:i4>9</vt:i4>
      </vt:variant>
      <vt:variant>
        <vt:i4>0</vt:i4>
      </vt:variant>
      <vt:variant>
        <vt:i4>5</vt:i4>
      </vt:variant>
      <vt:variant>
        <vt:lpwstr>https://pubmed.ncbi.nlm.nih.gov/32582757/</vt:lpwstr>
      </vt:variant>
      <vt:variant>
        <vt:lpwstr/>
      </vt:variant>
      <vt:variant>
        <vt:i4>65543</vt:i4>
      </vt:variant>
      <vt:variant>
        <vt:i4>6</vt:i4>
      </vt:variant>
      <vt:variant>
        <vt:i4>0</vt:i4>
      </vt:variant>
      <vt:variant>
        <vt:i4>5</vt:i4>
      </vt:variant>
      <vt:variant>
        <vt:lpwstr>https://pubmed.ncbi.nlm.nih.gov/28475135/</vt:lpwstr>
      </vt:variant>
      <vt:variant>
        <vt:lpwstr/>
      </vt:variant>
      <vt:variant>
        <vt:i4>786438</vt:i4>
      </vt:variant>
      <vt:variant>
        <vt:i4>3</vt:i4>
      </vt:variant>
      <vt:variant>
        <vt:i4>0</vt:i4>
      </vt:variant>
      <vt:variant>
        <vt:i4>5</vt:i4>
      </vt:variant>
      <vt:variant>
        <vt:lpwstr>https://pubmed.ncbi.nlm.nih.gov/17284861/</vt:lpwstr>
      </vt:variant>
      <vt:variant>
        <vt:lpwstr/>
      </vt:variant>
      <vt:variant>
        <vt:i4>262147</vt:i4>
      </vt:variant>
      <vt:variant>
        <vt:i4>0</vt:i4>
      </vt:variant>
      <vt:variant>
        <vt:i4>0</vt:i4>
      </vt:variant>
      <vt:variant>
        <vt:i4>5</vt:i4>
      </vt:variant>
      <vt:variant>
        <vt:lpwstr>https://pubmed.ncbi.nlm.nih.gov/21106916/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SIMONE</dc:creator>
  <cp:keywords/>
  <dc:description/>
  <cp:lastModifiedBy>Mark Willems</cp:lastModifiedBy>
  <cp:revision>3</cp:revision>
  <cp:lastPrinted>2019-11-29T12:34:00Z</cp:lastPrinted>
  <dcterms:created xsi:type="dcterms:W3CDTF">2020-10-20T07:56:00Z</dcterms:created>
  <dcterms:modified xsi:type="dcterms:W3CDTF">2020-10-20T08:07:00Z</dcterms:modified>
</cp:coreProperties>
</file>