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C9" w:rsidRDefault="00CB0519" w:rsidP="00CB0519">
      <w:pPr>
        <w:jc w:val="center"/>
        <w:rPr>
          <w:rFonts w:cstheme="minorHAnsi"/>
          <w:sz w:val="28"/>
          <w:szCs w:val="28"/>
        </w:rPr>
      </w:pPr>
      <w:bookmarkStart w:id="0" w:name="_GoBack"/>
      <w:bookmarkEnd w:id="0"/>
      <w:r w:rsidRPr="00CB0519">
        <w:rPr>
          <w:rFonts w:cstheme="minorHAnsi"/>
          <w:sz w:val="28"/>
          <w:szCs w:val="28"/>
        </w:rPr>
        <w:t>The Swan-Maiden in Late-Victorian Folkloristics</w:t>
      </w:r>
    </w:p>
    <w:p w:rsidR="00CB0519" w:rsidRDefault="00CB0519" w:rsidP="00CB0519">
      <w:pPr>
        <w:jc w:val="center"/>
        <w:rPr>
          <w:rFonts w:cstheme="minorHAnsi"/>
          <w:sz w:val="28"/>
          <w:szCs w:val="28"/>
        </w:rPr>
      </w:pPr>
    </w:p>
    <w:p w:rsidR="00CB0519" w:rsidRPr="00CB0519" w:rsidRDefault="00CB0519" w:rsidP="00CB0519">
      <w:pPr>
        <w:jc w:val="center"/>
        <w:rPr>
          <w:rFonts w:cstheme="minorHAnsi"/>
          <w:sz w:val="28"/>
          <w:szCs w:val="28"/>
        </w:rPr>
      </w:pPr>
      <w:r>
        <w:rPr>
          <w:rFonts w:cstheme="minorHAnsi"/>
          <w:sz w:val="28"/>
          <w:szCs w:val="28"/>
        </w:rPr>
        <w:t>Francesca Bihet</w:t>
      </w:r>
    </w:p>
    <w:p w:rsidR="00CB0519" w:rsidRDefault="00CB0519" w:rsidP="006030C9">
      <w:pPr>
        <w:jc w:val="both"/>
        <w:rPr>
          <w:rFonts w:cstheme="minorHAnsi"/>
        </w:rPr>
      </w:pPr>
    </w:p>
    <w:p w:rsidR="00AB0B40" w:rsidRPr="00CB0519" w:rsidRDefault="007311DA" w:rsidP="00AB0B40">
      <w:pPr>
        <w:autoSpaceDE w:val="0"/>
        <w:autoSpaceDN w:val="0"/>
        <w:adjustRightInd w:val="0"/>
        <w:jc w:val="both"/>
        <w:rPr>
          <w:rFonts w:eastAsiaTheme="minorHAnsi"/>
          <w:lang w:eastAsia="en-US"/>
        </w:rPr>
      </w:pPr>
      <w:r w:rsidRPr="00CB0519">
        <w:rPr>
          <w:rFonts w:eastAsiaTheme="minorHAnsi"/>
          <w:lang w:eastAsia="en-US"/>
        </w:rPr>
        <w:t xml:space="preserve">Joseph Jacobs’ </w:t>
      </w:r>
      <w:r w:rsidR="00EA0C05" w:rsidRPr="00CB0519">
        <w:rPr>
          <w:rFonts w:eastAsiaTheme="minorHAnsi"/>
          <w:i/>
          <w:lang w:eastAsia="en-US"/>
        </w:rPr>
        <w:t>European Folk and Fairy Tales</w:t>
      </w:r>
      <w:r w:rsidRPr="00CB0519">
        <w:rPr>
          <w:rFonts w:eastAsiaTheme="minorHAnsi"/>
          <w:i/>
          <w:lang w:eastAsia="en-US"/>
        </w:rPr>
        <w:t xml:space="preserve"> </w:t>
      </w:r>
      <w:r w:rsidRPr="00CB0519">
        <w:rPr>
          <w:rFonts w:eastAsiaTheme="minorHAnsi"/>
          <w:lang w:eastAsia="en-US"/>
        </w:rPr>
        <w:t xml:space="preserve">(1916) aimed to </w:t>
      </w:r>
      <w:r w:rsidRPr="00CB0519">
        <w:rPr>
          <w:rFonts w:eastAsiaTheme="minorHAnsi"/>
        </w:rPr>
        <w:t>reconstruct “the original form of the fairy tales common to all Europe”.</w:t>
      </w:r>
      <w:r w:rsidRPr="00CB0519">
        <w:rPr>
          <w:rStyle w:val="FootnoteReference"/>
          <w:rFonts w:eastAsiaTheme="minorHAnsi"/>
        </w:rPr>
        <w:t xml:space="preserve"> </w:t>
      </w:r>
      <w:r w:rsidRPr="00CB0519">
        <w:rPr>
          <w:rStyle w:val="FootnoteReference"/>
          <w:rFonts w:eastAsiaTheme="minorHAnsi"/>
        </w:rPr>
        <w:footnoteReference w:id="1"/>
      </w:r>
      <w:r w:rsidRPr="00CB0519">
        <w:rPr>
          <w:rStyle w:val="FootnoteReference"/>
          <w:rFonts w:eastAsiaTheme="minorHAnsi"/>
        </w:rPr>
        <w:t xml:space="preserve"> </w:t>
      </w:r>
      <w:r w:rsidRPr="00CB0519">
        <w:rPr>
          <w:rFonts w:eastAsiaTheme="minorHAnsi"/>
          <w:lang w:eastAsia="en-US"/>
        </w:rPr>
        <w:t>He compares his method to restoring “</w:t>
      </w:r>
      <w:r w:rsidRPr="00CB0519">
        <w:rPr>
          <w:rFonts w:eastAsiaTheme="minorHAnsi"/>
          <w:i/>
          <w:lang w:eastAsia="en-US"/>
        </w:rPr>
        <w:t>Ur-</w:t>
      </w:r>
      <w:r w:rsidRPr="00CB0519">
        <w:rPr>
          <w:rFonts w:eastAsiaTheme="minorHAnsi"/>
          <w:lang w:eastAsia="en-US"/>
        </w:rPr>
        <w:t>texts” from manuscripts.</w:t>
      </w:r>
      <w:r w:rsidRPr="00CB0519">
        <w:rPr>
          <w:rStyle w:val="FootnoteReference"/>
          <w:rFonts w:eastAsiaTheme="minorHAnsi"/>
          <w:lang w:eastAsia="en-US"/>
        </w:rPr>
        <w:footnoteReference w:id="2"/>
      </w:r>
      <w:r w:rsidRPr="00CB0519">
        <w:rPr>
          <w:rFonts w:eastAsiaTheme="minorHAnsi"/>
          <w:lang w:eastAsia="en-US"/>
        </w:rPr>
        <w:t xml:space="preserve"> </w:t>
      </w:r>
      <w:r w:rsidR="006030C9" w:rsidRPr="00CB0519">
        <w:rPr>
          <w:rFonts w:eastAsiaTheme="minorHAnsi"/>
          <w:lang w:eastAsia="en-US"/>
        </w:rPr>
        <w:t>One of his most successful reconstructions was ‘The Swan Maidens’.</w:t>
      </w:r>
      <w:r w:rsidRPr="00CB0519">
        <w:rPr>
          <w:rStyle w:val="FootnoteReference"/>
          <w:rFonts w:eastAsiaTheme="minorHAnsi"/>
          <w:lang w:eastAsia="en-US"/>
        </w:rPr>
        <w:footnoteReference w:id="3"/>
      </w:r>
      <w:r w:rsidR="00EA0C05" w:rsidRPr="00CB0519">
        <w:rPr>
          <w:rFonts w:eastAsiaTheme="minorHAnsi"/>
          <w:lang w:eastAsia="en-US"/>
        </w:rPr>
        <w:t xml:space="preserve">  </w:t>
      </w:r>
      <w:r w:rsidR="00AB0B40" w:rsidRPr="00CB0519">
        <w:rPr>
          <w:rFonts w:eastAsiaTheme="minorHAnsi"/>
          <w:lang w:eastAsia="en-US"/>
        </w:rPr>
        <w:t>A hunter encountered seven maidens all clad in feathered robes which they remove</w:t>
      </w:r>
      <w:r w:rsidR="006030C9" w:rsidRPr="00CB0519">
        <w:rPr>
          <w:rFonts w:eastAsiaTheme="minorHAnsi"/>
          <w:lang w:eastAsia="en-US"/>
        </w:rPr>
        <w:t>d</w:t>
      </w:r>
      <w:r w:rsidR="00AB0B40" w:rsidRPr="00CB0519">
        <w:rPr>
          <w:rFonts w:eastAsiaTheme="minorHAnsi"/>
          <w:lang w:eastAsia="en-US"/>
        </w:rPr>
        <w:t xml:space="preserve"> when bathing in a lake. </w:t>
      </w:r>
      <w:r w:rsidR="006030C9" w:rsidRPr="00CB0519">
        <w:rPr>
          <w:rFonts w:eastAsiaTheme="minorHAnsi"/>
          <w:lang w:eastAsia="en-US"/>
        </w:rPr>
        <w:t xml:space="preserve">Stealing the youngest maiden’s plumage he </w:t>
      </w:r>
      <w:r w:rsidR="00EA0C05" w:rsidRPr="00CB0519">
        <w:rPr>
          <w:rFonts w:eastAsiaTheme="minorHAnsi"/>
          <w:lang w:eastAsia="en-US"/>
        </w:rPr>
        <w:t xml:space="preserve">manages to keep her captive, marrying her and hiding her </w:t>
      </w:r>
      <w:r w:rsidR="00AB0B40" w:rsidRPr="00CB0519">
        <w:rPr>
          <w:rFonts w:eastAsiaTheme="minorHAnsi"/>
          <w:lang w:eastAsia="en-US"/>
        </w:rPr>
        <w:t>feathers so she canno</w:t>
      </w:r>
      <w:r w:rsidR="00EA0C05" w:rsidRPr="00CB0519">
        <w:rPr>
          <w:rFonts w:eastAsiaTheme="minorHAnsi"/>
          <w:lang w:eastAsia="en-US"/>
        </w:rPr>
        <w:t>t escape.</w:t>
      </w:r>
      <w:r w:rsidR="00EA0C05" w:rsidRPr="00CB0519">
        <w:rPr>
          <w:rStyle w:val="FootnoteReference"/>
          <w:rFonts w:eastAsiaTheme="minorHAnsi"/>
          <w:lang w:eastAsia="en-US"/>
        </w:rPr>
        <w:footnoteReference w:id="4"/>
      </w:r>
      <w:r w:rsidR="00AB0B40" w:rsidRPr="00CB0519">
        <w:rPr>
          <w:rFonts w:eastAsiaTheme="minorHAnsi"/>
        </w:rPr>
        <w:t xml:space="preserve"> After several years of marriage </w:t>
      </w:r>
      <w:r w:rsidR="00EA0C05" w:rsidRPr="00CB0519">
        <w:rPr>
          <w:rFonts w:eastAsiaTheme="minorHAnsi"/>
        </w:rPr>
        <w:t>the swan maiden</w:t>
      </w:r>
      <w:r w:rsidR="002E023F" w:rsidRPr="00CB0519">
        <w:rPr>
          <w:rFonts w:eastAsiaTheme="minorHAnsi"/>
        </w:rPr>
        <w:t>’</w:t>
      </w:r>
      <w:r w:rsidR="00EA0C05" w:rsidRPr="00CB0519">
        <w:rPr>
          <w:rFonts w:eastAsiaTheme="minorHAnsi"/>
        </w:rPr>
        <w:t>s daughter is playing and finds the plumage, thus her mother escapes</w:t>
      </w:r>
      <w:r w:rsidR="00AB0B40" w:rsidRPr="00CB0519">
        <w:rPr>
          <w:rFonts w:eastAsiaTheme="minorHAnsi"/>
        </w:rPr>
        <w:t>. The</w:t>
      </w:r>
      <w:r w:rsidR="00EA0C05" w:rsidRPr="00CB0519">
        <w:rPr>
          <w:rFonts w:eastAsiaTheme="minorHAnsi"/>
        </w:rPr>
        <w:t xml:space="preserve"> hunter </w:t>
      </w:r>
      <w:r w:rsidR="00AB0B40" w:rsidRPr="00CB0519">
        <w:rPr>
          <w:rFonts w:eastAsiaTheme="minorHAnsi"/>
        </w:rPr>
        <w:t xml:space="preserve">goes </w:t>
      </w:r>
      <w:r w:rsidR="00EA0C05" w:rsidRPr="00CB0519">
        <w:rPr>
          <w:rFonts w:eastAsiaTheme="minorHAnsi"/>
        </w:rPr>
        <w:t>on a quest to find the “Land East o’ the Sun and West o’ Moon”</w:t>
      </w:r>
      <w:r w:rsidR="002E023F" w:rsidRPr="00CB0519">
        <w:rPr>
          <w:rFonts w:eastAsiaTheme="minorHAnsi"/>
        </w:rPr>
        <w:t>,</w:t>
      </w:r>
      <w:r w:rsidR="00AB0B40" w:rsidRPr="00CB0519">
        <w:rPr>
          <w:rFonts w:eastAsiaTheme="minorHAnsi"/>
        </w:rPr>
        <w:t xml:space="preserve"> eventually retrieving his errant wife</w:t>
      </w:r>
      <w:r w:rsidR="00EA0C05" w:rsidRPr="00CB0519">
        <w:rPr>
          <w:rFonts w:eastAsiaTheme="minorHAnsi"/>
        </w:rPr>
        <w:t>.</w:t>
      </w:r>
      <w:r w:rsidR="00AB0B40" w:rsidRPr="00CB0519">
        <w:rPr>
          <w:rStyle w:val="FootnoteReference"/>
          <w:rFonts w:eastAsiaTheme="minorHAnsi"/>
          <w:vertAlign w:val="baseline"/>
        </w:rPr>
        <w:t xml:space="preserve"> At the beginning of John Rhys’</w:t>
      </w:r>
      <w:r w:rsidR="00AB0B40" w:rsidRPr="00CB0519">
        <w:rPr>
          <w:rStyle w:val="FootnoteReference"/>
          <w:rFonts w:eastAsiaTheme="minorHAnsi"/>
          <w:i/>
          <w:vertAlign w:val="baseline"/>
        </w:rPr>
        <w:t xml:space="preserve"> Celtic Folklore, Welsh and Manx</w:t>
      </w:r>
      <w:r w:rsidR="00AB0B40" w:rsidRPr="00CB0519">
        <w:rPr>
          <w:rStyle w:val="FootnoteReference"/>
          <w:rFonts w:eastAsiaTheme="minorHAnsi"/>
          <w:vertAlign w:val="baseline"/>
        </w:rPr>
        <w:t xml:space="preserve"> (1901)</w:t>
      </w:r>
      <w:r w:rsidR="00AB0B40" w:rsidRPr="00CB0519">
        <w:rPr>
          <w:rFonts w:eastAsiaTheme="minorHAnsi"/>
        </w:rPr>
        <w:t xml:space="preserve"> </w:t>
      </w:r>
      <w:r w:rsidR="00AB0B40" w:rsidRPr="00CB0519">
        <w:rPr>
          <w:rFonts w:eastAsiaTheme="minorHAnsi"/>
          <w:lang w:eastAsia="en-US"/>
        </w:rPr>
        <w:t>a similar tale of the Lady of ILyny Fan Fach</w:t>
      </w:r>
      <w:r w:rsidR="002E023F" w:rsidRPr="00CB0519">
        <w:rPr>
          <w:rFonts w:eastAsiaTheme="minorHAnsi"/>
          <w:lang w:eastAsia="en-US"/>
        </w:rPr>
        <w:t xml:space="preserve"> in Carmarthenshire</w:t>
      </w:r>
      <w:r w:rsidR="00AB0B40" w:rsidRPr="00CB0519">
        <w:rPr>
          <w:rFonts w:eastAsiaTheme="minorHAnsi"/>
          <w:lang w:eastAsia="en-US"/>
        </w:rPr>
        <w:t xml:space="preserve">, taken </w:t>
      </w:r>
      <w:r w:rsidR="00AB0B40" w:rsidRPr="00CB0519">
        <w:t>from William Rees of Tonn in 1841,</w:t>
      </w:r>
      <w:r w:rsidR="00AB0B40" w:rsidRPr="00CB0519">
        <w:rPr>
          <w:rStyle w:val="FootnoteReference"/>
          <w:rFonts w:eastAsiaTheme="majorEastAsia"/>
        </w:rPr>
        <w:footnoteReference w:id="5"/>
      </w:r>
      <w:r w:rsidR="00AB0B40" w:rsidRPr="00CB0519">
        <w:t xml:space="preserve"> </w:t>
      </w:r>
      <w:r w:rsidR="00AB0B40" w:rsidRPr="00CB0519">
        <w:rPr>
          <w:rFonts w:eastAsiaTheme="minorHAnsi"/>
          <w:lang w:eastAsia="en-US"/>
        </w:rPr>
        <w:t xml:space="preserve">acts as a departure point </w:t>
      </w:r>
      <w:r w:rsidR="006030C9" w:rsidRPr="00CB0519">
        <w:rPr>
          <w:rFonts w:eastAsiaTheme="minorHAnsi"/>
          <w:lang w:eastAsia="en-US"/>
        </w:rPr>
        <w:t xml:space="preserve">for </w:t>
      </w:r>
      <w:r w:rsidR="00AB0B40" w:rsidRPr="00CB0519">
        <w:rPr>
          <w:rFonts w:eastAsiaTheme="minorHAnsi"/>
          <w:lang w:eastAsia="en-US"/>
        </w:rPr>
        <w:t xml:space="preserve">Rhys’ discussions. </w:t>
      </w:r>
      <w:r w:rsidR="002E023F" w:rsidRPr="00CB0519">
        <w:rPr>
          <w:rFonts w:eastAsiaTheme="minorHAnsi"/>
          <w:lang w:eastAsia="en-US"/>
        </w:rPr>
        <w:t xml:space="preserve">In the tale a young lad </w:t>
      </w:r>
      <w:r w:rsidR="00AB0B40" w:rsidRPr="00CB0519">
        <w:rPr>
          <w:rFonts w:eastAsiaTheme="minorHAnsi"/>
          <w:lang w:eastAsia="en-US"/>
        </w:rPr>
        <w:t xml:space="preserve">encounters </w:t>
      </w:r>
      <w:r w:rsidR="00AB0B40" w:rsidRPr="00CB0519">
        <w:t>the</w:t>
      </w:r>
      <w:r w:rsidR="00AB0B40" w:rsidRPr="00CB0519">
        <w:rPr>
          <w:rFonts w:eastAsiaTheme="minorHAnsi"/>
          <w:lang w:eastAsia="en-US"/>
        </w:rPr>
        <w:t xml:space="preserve"> lake maiden sitting on the water</w:t>
      </w:r>
      <w:r w:rsidR="002E023F" w:rsidRPr="00CB0519">
        <w:rPr>
          <w:rFonts w:eastAsiaTheme="minorHAnsi"/>
          <w:lang w:eastAsia="en-US"/>
        </w:rPr>
        <w:t xml:space="preserve"> whilst grazing his widowed mother’s cattle</w:t>
      </w:r>
      <w:r w:rsidR="00AB0B40" w:rsidRPr="00CB0519">
        <w:rPr>
          <w:rFonts w:eastAsiaTheme="minorHAnsi"/>
          <w:lang w:eastAsia="en-US"/>
        </w:rPr>
        <w:t>.</w:t>
      </w:r>
      <w:r w:rsidR="00AB0B40" w:rsidRPr="00CB0519">
        <w:rPr>
          <w:rStyle w:val="FootnoteReference"/>
          <w:rFonts w:eastAsiaTheme="minorHAnsi"/>
          <w:lang w:eastAsia="en-US"/>
        </w:rPr>
        <w:footnoteReference w:id="6"/>
      </w:r>
      <w:r w:rsidR="00AB0B40" w:rsidRPr="00CB0519">
        <w:rPr>
          <w:rFonts w:eastAsiaTheme="minorHAnsi"/>
          <w:lang w:eastAsia="en-US"/>
        </w:rPr>
        <w:t xml:space="preserve"> On subsequent visits he offers her bread, until eventually she agrees to marry him, providing a large dowry of farm animals, on the condition he must not strike her three times without a cause. Eventually after having children the husband strikes the wife for the third and final time. She immediately leaves home with her dowry of animals following her back into the lake.</w:t>
      </w:r>
      <w:r w:rsidR="00AB0B40" w:rsidRPr="00CB0519">
        <w:rPr>
          <w:rStyle w:val="FootnoteReference"/>
          <w:rFonts w:eastAsiaTheme="minorHAnsi"/>
          <w:lang w:eastAsia="en-US"/>
        </w:rPr>
        <w:footnoteReference w:id="7"/>
      </w:r>
      <w:r w:rsidR="00AB0B40" w:rsidRPr="00CB0519">
        <w:rPr>
          <w:rFonts w:eastAsiaTheme="minorHAnsi"/>
          <w:lang w:eastAsia="en-US"/>
        </w:rPr>
        <w:t xml:space="preserve"> However, the lady gifts her sons with the knowledge to become ‘most skilful physicians in the country.’</w:t>
      </w:r>
      <w:r w:rsidR="00AB0B40" w:rsidRPr="00CB0519">
        <w:rPr>
          <w:rStyle w:val="FootnoteReference"/>
          <w:rFonts w:eastAsiaTheme="minorHAnsi"/>
          <w:lang w:eastAsia="en-US"/>
        </w:rPr>
        <w:footnoteReference w:id="8"/>
      </w:r>
      <w:r w:rsidR="00AB0B40" w:rsidRPr="00CB0519">
        <w:rPr>
          <w:rFonts w:eastAsiaTheme="minorHAnsi"/>
          <w:lang w:eastAsia="en-US"/>
        </w:rPr>
        <w:t xml:space="preserve"> </w:t>
      </w:r>
      <w:r w:rsidR="002E023F" w:rsidRPr="00CB0519">
        <w:rPr>
          <w:rFonts w:eastAsiaTheme="minorHAnsi"/>
          <w:lang w:eastAsia="en-US"/>
        </w:rPr>
        <w:t>Similar tales of fairy-brides</w:t>
      </w:r>
      <w:r w:rsidR="00E37A1A" w:rsidRPr="00CB0519">
        <w:rPr>
          <w:rFonts w:eastAsiaTheme="minorHAnsi"/>
          <w:lang w:eastAsia="en-US"/>
        </w:rPr>
        <w:t xml:space="preserve"> leaving </w:t>
      </w:r>
      <w:r w:rsidR="002E023F" w:rsidRPr="00CB0519">
        <w:rPr>
          <w:rFonts w:eastAsiaTheme="minorHAnsi"/>
          <w:lang w:eastAsia="en-US"/>
        </w:rPr>
        <w:t>their</w:t>
      </w:r>
      <w:r w:rsidR="00E37A1A" w:rsidRPr="00CB0519">
        <w:rPr>
          <w:rFonts w:eastAsiaTheme="minorHAnsi"/>
          <w:lang w:eastAsia="en-US"/>
        </w:rPr>
        <w:t xml:space="preserve"> families, or subverting Victorian </w:t>
      </w:r>
      <w:r w:rsidR="00CB0519" w:rsidRPr="00CB0519">
        <w:rPr>
          <w:rFonts w:eastAsiaTheme="minorHAnsi"/>
          <w:lang w:eastAsia="en-US"/>
        </w:rPr>
        <w:t xml:space="preserve">marital norms, </w:t>
      </w:r>
      <w:r w:rsidR="002E023F" w:rsidRPr="00CB0519">
        <w:rPr>
          <w:rFonts w:eastAsiaTheme="minorHAnsi"/>
          <w:lang w:eastAsia="en-US"/>
        </w:rPr>
        <w:t>run as a thematic arc through late nineteenth and early twentieth century folkloristics</w:t>
      </w:r>
      <w:r w:rsidR="00E37A1A" w:rsidRPr="00CB0519">
        <w:rPr>
          <w:rFonts w:eastAsiaTheme="minorHAnsi"/>
          <w:lang w:eastAsia="en-US"/>
        </w:rPr>
        <w:t>,</w:t>
      </w:r>
      <w:r w:rsidR="002E023F" w:rsidRPr="00CB0519">
        <w:rPr>
          <w:rFonts w:eastAsiaTheme="minorHAnsi"/>
          <w:lang w:eastAsia="en-US"/>
        </w:rPr>
        <w:t xml:space="preserve"> fascinating male scholars. </w:t>
      </w:r>
      <w:r w:rsidR="00CB0519">
        <w:rPr>
          <w:rFonts w:eastAsiaTheme="minorHAnsi"/>
          <w:lang w:eastAsia="en-US"/>
        </w:rPr>
        <w:t>This article discusses some examples of this expansive and under considered topic.</w:t>
      </w:r>
    </w:p>
    <w:p w:rsidR="00AB0B40" w:rsidRPr="00FE54BD" w:rsidRDefault="00AB0B40" w:rsidP="00AB0B40">
      <w:pPr>
        <w:autoSpaceDE w:val="0"/>
        <w:autoSpaceDN w:val="0"/>
        <w:adjustRightInd w:val="0"/>
        <w:jc w:val="both"/>
        <w:rPr>
          <w:rStyle w:val="FootnoteReference"/>
          <w:rFonts w:asciiTheme="minorHAnsi" w:eastAsiaTheme="minorHAnsi" w:hAnsiTheme="minorHAnsi" w:cstheme="minorHAnsi"/>
          <w:highlight w:val="yellow"/>
          <w:lang w:eastAsia="en-US"/>
        </w:rPr>
      </w:pPr>
    </w:p>
    <w:p w:rsidR="00EA0C05" w:rsidRPr="00190B9E" w:rsidRDefault="00EA0C05" w:rsidP="00EA0C05">
      <w:pPr>
        <w:jc w:val="both"/>
      </w:pPr>
      <w:r w:rsidRPr="00190B9E">
        <w:rPr>
          <w:rFonts w:cstheme="minorHAnsi"/>
        </w:rPr>
        <w:t xml:space="preserve">Consideration of the </w:t>
      </w:r>
      <w:r>
        <w:rPr>
          <w:rFonts w:cstheme="minorHAnsi"/>
        </w:rPr>
        <w:t>swan-maiden</w:t>
      </w:r>
      <w:r w:rsidRPr="00190B9E">
        <w:rPr>
          <w:rFonts w:cstheme="minorHAnsi"/>
        </w:rPr>
        <w:t xml:space="preserve"> tales are some of the most striking motifs in</w:t>
      </w:r>
      <w:r w:rsidR="00E37A1A">
        <w:rPr>
          <w:rFonts w:cstheme="minorHAnsi"/>
        </w:rPr>
        <w:t xml:space="preserve"> Edwin Sidney Hartland’s </w:t>
      </w:r>
      <w:r w:rsidRPr="00E37A1A">
        <w:rPr>
          <w:rFonts w:cstheme="minorHAnsi"/>
          <w:i/>
        </w:rPr>
        <w:t>The Science of Fairy Tales</w:t>
      </w:r>
      <w:r w:rsidR="00E37A1A">
        <w:rPr>
          <w:rFonts w:cstheme="minorHAnsi"/>
        </w:rPr>
        <w:t xml:space="preserve"> (1891)</w:t>
      </w:r>
      <w:r w:rsidRPr="00190B9E">
        <w:rPr>
          <w:rFonts w:cstheme="minorHAnsi"/>
        </w:rPr>
        <w:t xml:space="preserve">, and other folk-tale collections of the era. </w:t>
      </w:r>
      <w:r w:rsidR="00E37A1A">
        <w:rPr>
          <w:rFonts w:cstheme="minorHAnsi"/>
        </w:rPr>
        <w:t xml:space="preserve">Carole </w:t>
      </w:r>
      <w:r w:rsidRPr="00190B9E">
        <w:rPr>
          <w:rFonts w:cstheme="minorHAnsi"/>
        </w:rPr>
        <w:t>Silver identifies that the fascination scholars held with swan-maidens coincides with 1880-1890s debates on women’s issues, such as property rights and divorce rights.</w:t>
      </w:r>
      <w:r w:rsidRPr="00190B9E">
        <w:rPr>
          <w:vertAlign w:val="superscript"/>
        </w:rPr>
        <w:footnoteReference w:id="9"/>
      </w:r>
      <w:r w:rsidRPr="00190B9E">
        <w:rPr>
          <w:rFonts w:cstheme="minorHAnsi"/>
        </w:rPr>
        <w:t xml:space="preserve"> The adult female fairy’s role in these stories acts as a metonymy for exploring the changing relationship of adult women towards the Victorian patriarchal model of the family. </w:t>
      </w:r>
      <w:r w:rsidR="00E37A1A">
        <w:rPr>
          <w:rFonts w:cstheme="minorHAnsi"/>
        </w:rPr>
        <w:t>I</w:t>
      </w:r>
      <w:r w:rsidRPr="00190B9E">
        <w:rPr>
          <w:rFonts w:cstheme="minorHAnsi"/>
        </w:rPr>
        <w:t>n this era “[a]ll aspects of women’s life – economic, political, social, educational, sexual- came under scrutiny, revealing deep-seated discontents and resentments on the one hand and male fears and prejudices on the other.”</w:t>
      </w:r>
      <w:r w:rsidRPr="00190B9E">
        <w:rPr>
          <w:vertAlign w:val="superscript"/>
        </w:rPr>
        <w:footnoteReference w:id="10"/>
      </w:r>
      <w:r w:rsidRPr="00190B9E">
        <w:rPr>
          <w:rFonts w:cstheme="minorHAnsi"/>
        </w:rPr>
        <w:t xml:space="preserve"> </w:t>
      </w:r>
      <w:r w:rsidR="00E37A1A">
        <w:rPr>
          <w:rFonts w:cstheme="minorHAnsi"/>
        </w:rPr>
        <w:t xml:space="preserve">Nicola </w:t>
      </w:r>
      <w:r w:rsidRPr="00190B9E">
        <w:rPr>
          <w:rFonts w:cstheme="minorHAnsi"/>
        </w:rPr>
        <w:t>Bown highlights that fairies of the more whimsical type re</w:t>
      </w:r>
      <w:r w:rsidR="00E37A1A">
        <w:rPr>
          <w:rFonts w:cstheme="minorHAnsi"/>
        </w:rPr>
        <w:t>present</w:t>
      </w:r>
      <w:r w:rsidRPr="00190B9E">
        <w:rPr>
          <w:rFonts w:cstheme="minorHAnsi"/>
        </w:rPr>
        <w:t xml:space="preserve"> the “perfect epithet for that ideal of Victorian femininity”, of “delicate constitution, playful rather than earnest” and “diminutive” to men.</w:t>
      </w:r>
      <w:r w:rsidRPr="00190B9E">
        <w:rPr>
          <w:vertAlign w:val="superscript"/>
        </w:rPr>
        <w:footnoteReference w:id="11"/>
      </w:r>
      <w:r w:rsidRPr="00190B9E">
        <w:rPr>
          <w:rFonts w:cstheme="minorHAnsi"/>
        </w:rPr>
        <w:t xml:space="preserve"> However, the swan-maidens were perhaps so interesting for male folklorists as they represented a deviant type of female, away from this softer gender stereotype vocalising many late Victorian gender issues. The swan-maiden represented a “natural aristocrat, she lived by her own code, valuing courtesy, deference, and independence”, defying the normative rules regulating Victorian family life.</w:t>
      </w:r>
      <w:r w:rsidRPr="00190B9E">
        <w:rPr>
          <w:rFonts w:cstheme="minorHAnsi"/>
          <w:vertAlign w:val="superscript"/>
        </w:rPr>
        <w:footnoteReference w:id="12"/>
      </w:r>
      <w:r w:rsidRPr="00190B9E">
        <w:rPr>
          <w:rFonts w:cstheme="minorHAnsi"/>
          <w:vertAlign w:val="superscript"/>
        </w:rPr>
        <w:t xml:space="preserve"> </w:t>
      </w:r>
      <w:r w:rsidRPr="00190B9E">
        <w:rPr>
          <w:rFonts w:cstheme="minorHAnsi"/>
        </w:rPr>
        <w:t xml:space="preserve">Silver notes swan-maiden tales </w:t>
      </w:r>
      <w:r w:rsidRPr="00190B9E">
        <w:rPr>
          <w:rFonts w:cstheme="minorHAnsi"/>
        </w:rPr>
        <w:lastRenderedPageBreak/>
        <w:t>“as a genre, were dangerous” suggesting “the equality of women, thus overturning the prevailing hierarchy of gender.”</w:t>
      </w:r>
      <w:r w:rsidRPr="00190B9E">
        <w:rPr>
          <w:rFonts w:cstheme="minorHAnsi"/>
          <w:vertAlign w:val="superscript"/>
        </w:rPr>
        <w:footnoteReference w:id="13"/>
      </w:r>
      <w:r w:rsidRPr="00190B9E">
        <w:rPr>
          <w:rFonts w:cstheme="minorHAnsi"/>
        </w:rPr>
        <w:t xml:space="preserve"> Harte notes the folklorists were “profoundly concerned with the issues it raised about female independence”.</w:t>
      </w:r>
      <w:r w:rsidRPr="00190B9E">
        <w:rPr>
          <w:rFonts w:cstheme="minorHAnsi"/>
          <w:vertAlign w:val="superscript"/>
        </w:rPr>
        <w:footnoteReference w:id="14"/>
      </w:r>
      <w:r w:rsidRPr="00190B9E">
        <w:rPr>
          <w:rFonts w:cstheme="minorHAnsi"/>
        </w:rPr>
        <w:t xml:space="preserve"> The </w:t>
      </w:r>
      <w:r>
        <w:rPr>
          <w:rFonts w:cstheme="minorHAnsi"/>
        </w:rPr>
        <w:t>swan-maiden</w:t>
      </w:r>
      <w:r w:rsidRPr="00190B9E">
        <w:rPr>
          <w:rFonts w:cstheme="minorHAnsi"/>
        </w:rPr>
        <w:t xml:space="preserve">s, like </w:t>
      </w:r>
      <w:r w:rsidR="00E37A1A">
        <w:rPr>
          <w:rFonts w:cstheme="minorHAnsi"/>
        </w:rPr>
        <w:t>‘New W</w:t>
      </w:r>
      <w:r w:rsidRPr="00190B9E">
        <w:rPr>
          <w:rFonts w:cstheme="minorHAnsi"/>
        </w:rPr>
        <w:t>om</w:t>
      </w:r>
      <w:r w:rsidR="00E37A1A">
        <w:rPr>
          <w:rFonts w:cstheme="minorHAnsi"/>
        </w:rPr>
        <w:t>e</w:t>
      </w:r>
      <w:r w:rsidRPr="00190B9E">
        <w:rPr>
          <w:rFonts w:cstheme="minorHAnsi"/>
        </w:rPr>
        <w:t>n</w:t>
      </w:r>
      <w:r w:rsidR="00E37A1A">
        <w:rPr>
          <w:rFonts w:cstheme="minorHAnsi"/>
        </w:rPr>
        <w:t>’</w:t>
      </w:r>
      <w:r w:rsidRPr="00190B9E">
        <w:rPr>
          <w:rFonts w:cstheme="minorHAnsi"/>
        </w:rPr>
        <w:t xml:space="preserve">, challenged established expectations of women and especially mothers. </w:t>
      </w:r>
    </w:p>
    <w:p w:rsidR="00EA0C05" w:rsidRPr="00FE54BD" w:rsidRDefault="00EA0C05" w:rsidP="00EA0C05">
      <w:pPr>
        <w:jc w:val="both"/>
        <w:rPr>
          <w:rFonts w:cstheme="minorHAnsi"/>
          <w:highlight w:val="cyan"/>
          <w:shd w:val="clear" w:color="auto" w:fill="CCCCDD"/>
        </w:rPr>
      </w:pPr>
    </w:p>
    <w:p w:rsidR="00EA0C05" w:rsidRPr="000B5949" w:rsidRDefault="00EA0C05" w:rsidP="00EA0C05">
      <w:pPr>
        <w:jc w:val="both"/>
        <w:rPr>
          <w:rFonts w:cstheme="minorHAnsi"/>
          <w:shd w:val="clear" w:color="auto" w:fill="CCCCDD"/>
        </w:rPr>
      </w:pPr>
      <w:r w:rsidRPr="0063300B">
        <w:rPr>
          <w:rFonts w:cstheme="minorHAnsi"/>
        </w:rPr>
        <w:t>Deviant female fairies in folk-tales are seen to present the wrong kind of femin</w:t>
      </w:r>
      <w:r w:rsidR="00005E3F">
        <w:rPr>
          <w:rFonts w:cstheme="minorHAnsi"/>
        </w:rPr>
        <w:t>in</w:t>
      </w:r>
      <w:r w:rsidRPr="0063300B">
        <w:rPr>
          <w:rFonts w:cstheme="minorHAnsi"/>
        </w:rPr>
        <w:t xml:space="preserve">ity. </w:t>
      </w:r>
      <w:r w:rsidR="00E37A1A">
        <w:rPr>
          <w:rFonts w:cstheme="minorHAnsi"/>
        </w:rPr>
        <w:t xml:space="preserve">Diane </w:t>
      </w:r>
      <w:r w:rsidRPr="0063300B">
        <w:rPr>
          <w:rFonts w:cstheme="minorHAnsi"/>
        </w:rPr>
        <w:t>Purkiss notes that the fairy “seemed the epitome of frightening female sexuality, mostly in the context of Arthurian legend”.</w:t>
      </w:r>
      <w:r w:rsidRPr="0063300B">
        <w:rPr>
          <w:rStyle w:val="FootnoteReference"/>
          <w:rFonts w:cstheme="minorHAnsi"/>
        </w:rPr>
        <w:footnoteReference w:id="15"/>
      </w:r>
      <w:r w:rsidRPr="0063300B">
        <w:rPr>
          <w:rFonts w:cstheme="minorHAnsi"/>
          <w:vertAlign w:val="superscript"/>
        </w:rPr>
        <w:t xml:space="preserve"> </w:t>
      </w:r>
      <w:r w:rsidRPr="0063300B">
        <w:rPr>
          <w:rFonts w:cstheme="minorHAnsi"/>
        </w:rPr>
        <w:t>Silver similarly argues they “embody a fusion of the erotic, the parasitic, and the anarchic”, men’s fearful image of women that had gained power.</w:t>
      </w:r>
      <w:r w:rsidRPr="00E37A1A">
        <w:rPr>
          <w:vertAlign w:val="superscript"/>
        </w:rPr>
        <w:footnoteReference w:id="16"/>
      </w:r>
      <w:r w:rsidRPr="00E37A1A">
        <w:rPr>
          <w:rFonts w:cstheme="minorHAnsi"/>
        </w:rPr>
        <w:t xml:space="preserve"> </w:t>
      </w:r>
      <w:r w:rsidRPr="0063300B">
        <w:rPr>
          <w:rFonts w:cstheme="minorHAnsi"/>
        </w:rPr>
        <w:t>Silver describes fairy brides as “the natural aristocrats” who “lived by their own code, outside the morality of men” and cared “little for the ordinary laws of marriage”, choosing “love and pleasure rather than monogamy”.</w:t>
      </w:r>
      <w:r w:rsidRPr="0063300B">
        <w:rPr>
          <w:rStyle w:val="FootnoteReference"/>
          <w:rFonts w:eastAsiaTheme="majorEastAsia" w:cstheme="minorHAnsi"/>
        </w:rPr>
        <w:footnoteReference w:id="17"/>
      </w:r>
      <w:r w:rsidRPr="0063300B">
        <w:rPr>
          <w:rFonts w:cstheme="minorHAnsi"/>
        </w:rPr>
        <w:t xml:space="preserve"> </w:t>
      </w:r>
      <w:r w:rsidR="00E37A1A">
        <w:rPr>
          <w:rFonts w:cstheme="minorHAnsi"/>
        </w:rPr>
        <w:t xml:space="preserve">Alfred </w:t>
      </w:r>
      <w:r w:rsidRPr="0063300B">
        <w:rPr>
          <w:rFonts w:cstheme="minorHAnsi"/>
        </w:rPr>
        <w:t xml:space="preserve">Nutt in </w:t>
      </w:r>
      <w:r w:rsidRPr="0063300B">
        <w:rPr>
          <w:rFonts w:cstheme="minorHAnsi"/>
          <w:i/>
        </w:rPr>
        <w:t xml:space="preserve">The Holy Grail </w:t>
      </w:r>
      <w:r w:rsidRPr="0063300B">
        <w:rPr>
          <w:rFonts w:cstheme="minorHAnsi"/>
        </w:rPr>
        <w:t>(1888) draws a parallel between the Teutonic fairy mistress, wooed by the hero, who looks after his hearth and is “nothing loth” and the Celtic fairy mistress who lives in her own dominion and compels the Celtic Heroes such as Connla, Bran and Oisin to “leave this earth” in order to “re</w:t>
      </w:r>
      <w:r w:rsidR="00E37A1A">
        <w:rPr>
          <w:rFonts w:cstheme="minorHAnsi"/>
        </w:rPr>
        <w:t>-</w:t>
      </w:r>
      <w:r w:rsidRPr="0063300B">
        <w:rPr>
          <w:rFonts w:cstheme="minorHAnsi"/>
        </w:rPr>
        <w:t>join their lady love”.</w:t>
      </w:r>
      <w:r w:rsidRPr="0063300B">
        <w:rPr>
          <w:rStyle w:val="FootnoteReference"/>
          <w:rFonts w:cstheme="minorHAnsi"/>
        </w:rPr>
        <w:footnoteReference w:id="18"/>
      </w:r>
      <w:r w:rsidRPr="0063300B">
        <w:rPr>
          <w:rFonts w:cstheme="minorHAnsi"/>
        </w:rPr>
        <w:t xml:space="preserve"> This fairy mistress is “no man’s slave”, refusing to abandon her “liberty or divine nature”.</w:t>
      </w:r>
      <w:r w:rsidRPr="0063300B">
        <w:rPr>
          <w:rStyle w:val="FootnoteReference"/>
          <w:rFonts w:cstheme="minorHAnsi"/>
        </w:rPr>
        <w:footnoteReference w:id="19"/>
      </w:r>
      <w:r w:rsidRPr="0063300B">
        <w:rPr>
          <w:rFonts w:cstheme="minorHAnsi"/>
        </w:rPr>
        <w:t xml:space="preserve"> Nutt lists this type of “womanhood” as “capricious, independent, severed from ordinary domestic life”.</w:t>
      </w:r>
      <w:r w:rsidRPr="0063300B">
        <w:rPr>
          <w:rStyle w:val="FootnoteReference"/>
          <w:rFonts w:cstheme="minorHAnsi"/>
        </w:rPr>
        <w:footnoteReference w:id="20"/>
      </w:r>
      <w:r w:rsidRPr="0063300B">
        <w:rPr>
          <w:rFonts w:cstheme="minorHAnsi"/>
        </w:rPr>
        <w:t xml:space="preserve"> They are also connected to the "</w:t>
      </w:r>
      <w:r w:rsidRPr="0063300B">
        <w:rPr>
          <w:rFonts w:cstheme="minorHAnsi"/>
          <w:i/>
        </w:rPr>
        <w:t>dame d'amour</w:t>
      </w:r>
      <w:r w:rsidRPr="0063300B">
        <w:rPr>
          <w:rFonts w:cstheme="minorHAnsi"/>
        </w:rPr>
        <w:t>" temptresses of “medieval romantic love”, who were “as a rule another man’s wife” yet raised in the heroes mind “no thought of home or child”.</w:t>
      </w:r>
      <w:r w:rsidRPr="0063300B">
        <w:rPr>
          <w:rStyle w:val="FootnoteReference"/>
          <w:rFonts w:cstheme="minorHAnsi"/>
        </w:rPr>
        <w:footnoteReference w:id="21"/>
      </w:r>
      <w:r w:rsidRPr="0063300B">
        <w:rPr>
          <w:rFonts w:cstheme="minorHAnsi"/>
        </w:rPr>
        <w:t xml:space="preserve"> For Nutt these temptresses subverted normal womanly virtues, breaking down families and challenging domesticity. This kind of female power is seen as destructive and something to be feared. Like William Waterhouse’s painting </w:t>
      </w:r>
      <w:r w:rsidRPr="0063300B">
        <w:rPr>
          <w:rFonts w:cstheme="minorHAnsi"/>
          <w:i/>
        </w:rPr>
        <w:t xml:space="preserve">La Belle dame sans Merci </w:t>
      </w:r>
      <w:r w:rsidRPr="0063300B">
        <w:rPr>
          <w:rFonts w:cstheme="minorHAnsi"/>
        </w:rPr>
        <w:t>(1893) based on Keats’s poem of a knight falling in love with a fairy with “wild, wild eyes”, the swan-maiden fairy temptress is both titillating and frightening. As the ‘</w:t>
      </w:r>
      <w:r w:rsidR="00B64FEA">
        <w:rPr>
          <w:rFonts w:cstheme="minorHAnsi"/>
        </w:rPr>
        <w:t>N</w:t>
      </w:r>
      <w:r w:rsidRPr="0063300B">
        <w:rPr>
          <w:rFonts w:cstheme="minorHAnsi"/>
        </w:rPr>
        <w:t xml:space="preserve">ew </w:t>
      </w:r>
      <w:r w:rsidR="00B64FEA">
        <w:rPr>
          <w:rFonts w:cstheme="minorHAnsi"/>
        </w:rPr>
        <w:t>W</w:t>
      </w:r>
      <w:r w:rsidRPr="0063300B">
        <w:rPr>
          <w:rFonts w:cstheme="minorHAnsi"/>
        </w:rPr>
        <w:t>oman’ gained her freedom, going to work and cycling,</w:t>
      </w:r>
      <w:r w:rsidRPr="0063300B">
        <w:rPr>
          <w:rStyle w:val="FootnoteReference"/>
          <w:rFonts w:cstheme="minorHAnsi"/>
        </w:rPr>
        <w:footnoteReference w:id="22"/>
      </w:r>
      <w:r w:rsidRPr="0063300B">
        <w:rPr>
          <w:rFonts w:cstheme="minorHAnsi"/>
          <w:vertAlign w:val="superscript"/>
        </w:rPr>
        <w:t xml:space="preserve"> </w:t>
      </w:r>
      <w:r w:rsidRPr="0063300B">
        <w:rPr>
          <w:rFonts w:cstheme="minorHAnsi"/>
        </w:rPr>
        <w:t>the swan-maiden posed questions about the threat of women’s newly found independence.</w:t>
      </w:r>
      <w:r w:rsidRPr="000B5949">
        <w:rPr>
          <w:rFonts w:cstheme="minorHAnsi"/>
        </w:rPr>
        <w:t xml:space="preserve"> </w:t>
      </w:r>
    </w:p>
    <w:p w:rsidR="00EA0C05" w:rsidRPr="00FE54BD" w:rsidRDefault="00EA0C05" w:rsidP="00EA0C05">
      <w:pPr>
        <w:jc w:val="both"/>
        <w:rPr>
          <w:rFonts w:cstheme="minorHAnsi"/>
          <w:highlight w:val="cyan"/>
          <w:shd w:val="clear" w:color="auto" w:fill="CCCCDD"/>
        </w:rPr>
      </w:pPr>
    </w:p>
    <w:p w:rsidR="00EA0C05" w:rsidRPr="00B64FEA" w:rsidRDefault="00EA0C05" w:rsidP="00EA0C05">
      <w:pPr>
        <w:autoSpaceDE w:val="0"/>
        <w:autoSpaceDN w:val="0"/>
        <w:adjustRightInd w:val="0"/>
        <w:jc w:val="both"/>
      </w:pPr>
      <w:r w:rsidRPr="00B64FEA">
        <w:t>The swan-maidens for male Victorian folklorists were curious, beautiful, represented a lost savage age, but also a debased female power. Silver argues that by depicting fairy brides as “etherealized beyond the realm of physical desire” or “depraved” folklorists attempted to bring folk accounts of female sexuality within the realm of Victorian comprehension</w:t>
      </w:r>
      <w:r w:rsidR="003924A3">
        <w:t>”</w:t>
      </w:r>
      <w:r w:rsidRPr="00B64FEA">
        <w:t>.</w:t>
      </w:r>
      <w:r w:rsidRPr="00B64FEA">
        <w:rPr>
          <w:vertAlign w:val="superscript"/>
        </w:rPr>
        <w:footnoteReference w:id="23"/>
      </w:r>
      <w:r w:rsidRPr="00B64FEA">
        <w:rPr>
          <w:vertAlign w:val="superscript"/>
        </w:rPr>
        <w:t xml:space="preserve"> </w:t>
      </w:r>
      <w:r w:rsidRPr="00B64FEA">
        <w:t>The swan-maiden becomes a male fantasy figure, leading them in some cases to theoretical abandon. Hartland notes in Europe the swan was an emblem of “beauty and grace and purity” and the most important variants of the story have “naturally appropriated that majestic form to the heroine”.</w:t>
      </w:r>
      <w:r w:rsidRPr="00B64FEA">
        <w:rPr>
          <w:rStyle w:val="FootnoteReference"/>
        </w:rPr>
        <w:footnoteReference w:id="24"/>
      </w:r>
      <w:r w:rsidRPr="00B64FEA">
        <w:t xml:space="preserve"> As the swan was beautiful, so was the fairy maiden whose form she took. </w:t>
      </w:r>
      <w:r w:rsidRPr="00B64FEA">
        <w:rPr>
          <w:rStyle w:val="FootnoteReference"/>
        </w:rPr>
        <w:t xml:space="preserve"> </w:t>
      </w:r>
      <w:r w:rsidRPr="00B64FEA">
        <w:t>Hartland also highlights the act of looking or spying upon these maidens. In a Swedish variant a man watches the “damsels of dazzling whiteness” who were “swimming in the waves”.</w:t>
      </w:r>
      <w:r w:rsidRPr="00B64FEA">
        <w:rPr>
          <w:rStyle w:val="FootnoteReference"/>
        </w:rPr>
        <w:footnoteReference w:id="25"/>
      </w:r>
      <w:r w:rsidRPr="00B64FEA">
        <w:t xml:space="preserve"> Here the damsels are unconsciously watched, perhaps voyeuristically, by the man. Earlier Hartland had spent many pages tracing theme of Peeping Tom looking at Lady Godiva as “so obvious a corollary to the central thought of Lady Godiva's adventure”.</w:t>
      </w:r>
      <w:r w:rsidRPr="00B64FEA">
        <w:rPr>
          <w:rStyle w:val="FootnoteReference"/>
        </w:rPr>
        <w:footnoteReference w:id="26"/>
      </w:r>
      <w:r w:rsidRPr="00B64FEA">
        <w:t xml:space="preserve"> This act of forbidden gaze, the taboo of seeing what one should not fascinates Hartland. This gazing reflects earlier Victorian theatrical fairies. Elizabeth Vetris, who played Oberon during the 1840s, was famous for her “erotic allure” and prints of her “emphasise that for the Victorians fairies were sex symbols.”</w:t>
      </w:r>
      <w:r w:rsidRPr="00B64FEA">
        <w:rPr>
          <w:rStyle w:val="FootnoteReference"/>
        </w:rPr>
        <w:footnoteReference w:id="27"/>
      </w:r>
      <w:r w:rsidRPr="00B64FEA">
        <w:t xml:space="preserve"> </w:t>
      </w:r>
      <w:r w:rsidRPr="00B64FEA">
        <w:rPr>
          <w:rStyle w:val="FootnoteTextChar"/>
          <w:rFonts w:eastAsiaTheme="minorHAnsi"/>
          <w:sz w:val="24"/>
          <w:szCs w:val="24"/>
        </w:rPr>
        <w:t>During mid-19</w:t>
      </w:r>
      <w:r w:rsidRPr="00B64FEA">
        <w:rPr>
          <w:rStyle w:val="FootnoteTextChar"/>
          <w:rFonts w:eastAsiaTheme="minorHAnsi"/>
          <w:sz w:val="24"/>
          <w:szCs w:val="24"/>
          <w:vertAlign w:val="superscript"/>
        </w:rPr>
        <w:t>th</w:t>
      </w:r>
      <w:r w:rsidRPr="00B64FEA">
        <w:rPr>
          <w:rStyle w:val="FootnoteTextChar"/>
          <w:rFonts w:eastAsiaTheme="minorHAnsi"/>
          <w:sz w:val="24"/>
          <w:szCs w:val="24"/>
        </w:rPr>
        <w:t xml:space="preserve"> century John Simmons also painted several “erotic” fairies.</w:t>
      </w:r>
      <w:r w:rsidRPr="00B64FEA">
        <w:rPr>
          <w:rStyle w:val="FootnoteReference"/>
        </w:rPr>
        <w:footnoteReference w:id="28"/>
      </w:r>
      <w:r w:rsidRPr="00B64FEA">
        <w:rPr>
          <w:rStyle w:val="FootnoteTextChar"/>
          <w:rFonts w:eastAsiaTheme="minorHAnsi"/>
          <w:sz w:val="24"/>
          <w:szCs w:val="24"/>
        </w:rPr>
        <w:t xml:space="preserve"> Fairies in the late Victorian era were still curiously sexualised adult women, an image very different from the diminutive flower fairy. </w:t>
      </w:r>
    </w:p>
    <w:p w:rsidR="00EA0C05" w:rsidRPr="00FE54BD" w:rsidRDefault="00EA0C05" w:rsidP="00EA0C05">
      <w:pPr>
        <w:autoSpaceDE w:val="0"/>
        <w:autoSpaceDN w:val="0"/>
        <w:adjustRightInd w:val="0"/>
        <w:jc w:val="both"/>
        <w:rPr>
          <w:rFonts w:cstheme="minorHAnsi"/>
          <w:highlight w:val="cyan"/>
        </w:rPr>
      </w:pPr>
    </w:p>
    <w:p w:rsidR="00EA0C05" w:rsidRPr="00DD7753" w:rsidRDefault="00EA0C05" w:rsidP="00EA0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7004DB">
        <w:rPr>
          <w:rFonts w:cstheme="minorHAnsi"/>
        </w:rPr>
        <w:t>Swan-maidens also represented cultural remnants of a barbarous past, especially for anthropological folklorists.</w:t>
      </w:r>
      <w:r w:rsidR="00B64FEA">
        <w:rPr>
          <w:rFonts w:cstheme="minorHAnsi"/>
        </w:rPr>
        <w:t xml:space="preserve"> Many of these discussions </w:t>
      </w:r>
      <w:r w:rsidR="009E2310">
        <w:rPr>
          <w:rFonts w:cstheme="minorHAnsi"/>
        </w:rPr>
        <w:t>seem</w:t>
      </w:r>
      <w:r w:rsidR="00B64FEA">
        <w:rPr>
          <w:rFonts w:cstheme="minorHAnsi"/>
        </w:rPr>
        <w:t xml:space="preserve"> </w:t>
      </w:r>
      <w:r w:rsidR="007103A2">
        <w:rPr>
          <w:rFonts w:cstheme="minorHAnsi"/>
        </w:rPr>
        <w:t>inappropriate</w:t>
      </w:r>
      <w:r w:rsidR="00B64FEA">
        <w:rPr>
          <w:rFonts w:cstheme="minorHAnsi"/>
        </w:rPr>
        <w:t xml:space="preserve"> to modern readers, but were based on Edward Burnett Tylor’</w:t>
      </w:r>
      <w:r w:rsidR="007103A2">
        <w:rPr>
          <w:rFonts w:cstheme="minorHAnsi"/>
        </w:rPr>
        <w:t>s concepts of cultural hierarchies</w:t>
      </w:r>
      <w:r w:rsidR="00B64FEA">
        <w:rPr>
          <w:rFonts w:cstheme="minorHAnsi"/>
        </w:rPr>
        <w:t>.</w:t>
      </w:r>
      <w:r w:rsidR="009E2310">
        <w:rPr>
          <w:rStyle w:val="FootnoteReference"/>
          <w:rFonts w:cstheme="minorHAnsi"/>
        </w:rPr>
        <w:footnoteReference w:id="29"/>
      </w:r>
      <w:r w:rsidRPr="007004DB">
        <w:rPr>
          <w:rFonts w:cstheme="minorHAnsi"/>
        </w:rPr>
        <w:t xml:space="preserve"> Hartland asserts that “among the more backward races” “the marriage bonds are of the loosest description</w:t>
      </w:r>
      <w:r>
        <w:rPr>
          <w:rFonts w:cstheme="minorHAnsi"/>
        </w:rPr>
        <w:t>” making the swan-maiden’s leaving her husband “</w:t>
      </w:r>
      <w:r w:rsidRPr="007004DB">
        <w:rPr>
          <w:rFonts w:cstheme="minorHAnsi"/>
        </w:rPr>
        <w:t>nothing very remarkable</w:t>
      </w:r>
      <w:r>
        <w:rPr>
          <w:rFonts w:cstheme="minorHAnsi"/>
        </w:rPr>
        <w:t>”.</w:t>
      </w:r>
      <w:r w:rsidRPr="007004DB">
        <w:rPr>
          <w:rStyle w:val="FootnoteReference"/>
          <w:rFonts w:cstheme="minorHAnsi"/>
        </w:rPr>
        <w:footnoteReference w:id="30"/>
      </w:r>
      <w:r w:rsidRPr="007004DB">
        <w:rPr>
          <w:rFonts w:cstheme="minorHAnsi"/>
        </w:rPr>
        <w:t xml:space="preserve"> For Hartland more savage societies, in terms of Tylorian evolutionary development, were matriarchal, it was only </w:t>
      </w:r>
      <w:r>
        <w:rPr>
          <w:rFonts w:cstheme="minorHAnsi"/>
        </w:rPr>
        <w:t xml:space="preserve">more developed societies that </w:t>
      </w:r>
      <w:r w:rsidRPr="007004DB">
        <w:rPr>
          <w:rFonts w:cstheme="minorHAnsi"/>
        </w:rPr>
        <w:t>became patriarchal.</w:t>
      </w:r>
      <w:r w:rsidRPr="007004DB">
        <w:rPr>
          <w:rStyle w:val="FootnoteReference"/>
          <w:rFonts w:cstheme="minorHAnsi"/>
        </w:rPr>
        <w:footnoteReference w:id="31"/>
      </w:r>
      <w:r w:rsidRPr="007004DB">
        <w:rPr>
          <w:rFonts w:cstheme="minorHAnsi"/>
        </w:rPr>
        <w:t xml:space="preserve"> Swan-maiden stories, such as the Marquis of the Sun, where the father’s supreme position is recognised</w:t>
      </w:r>
      <w:r w:rsidR="009E2310">
        <w:rPr>
          <w:rFonts w:cstheme="minorHAnsi"/>
        </w:rPr>
        <w:t>,</w:t>
      </w:r>
      <w:r w:rsidRPr="007004DB">
        <w:rPr>
          <w:rFonts w:cstheme="minorHAnsi"/>
        </w:rPr>
        <w:t xml:space="preserve"> represented a later stage in cultural development.</w:t>
      </w:r>
      <w:r w:rsidRPr="007004DB">
        <w:rPr>
          <w:rStyle w:val="FootnoteReference"/>
          <w:rFonts w:cstheme="minorHAnsi"/>
        </w:rPr>
        <w:footnoteReference w:id="32"/>
      </w:r>
      <w:r w:rsidRPr="007004DB">
        <w:rPr>
          <w:rFonts w:cstheme="minorHAnsi"/>
        </w:rPr>
        <w:t xml:space="preserve"> Likewise, the Victorian monogamous patriarchal marriage was considered a “triumph of cultural order over natural chaos”</w:t>
      </w:r>
      <w:r w:rsidR="009E2310">
        <w:rPr>
          <w:rFonts w:cstheme="minorHAnsi"/>
        </w:rPr>
        <w:t xml:space="preserve">, </w:t>
      </w:r>
      <w:r w:rsidR="009E2310" w:rsidRPr="007004DB">
        <w:rPr>
          <w:rFonts w:cstheme="minorHAnsi"/>
        </w:rPr>
        <w:t>a cornerstone of a civilised society</w:t>
      </w:r>
      <w:r w:rsidRPr="007004DB">
        <w:rPr>
          <w:rFonts w:cstheme="minorHAnsi"/>
        </w:rPr>
        <w:t>.</w:t>
      </w:r>
      <w:r w:rsidRPr="007004DB">
        <w:rPr>
          <w:vertAlign w:val="superscript"/>
        </w:rPr>
        <w:footnoteReference w:id="33"/>
      </w:r>
      <w:r w:rsidRPr="007004DB">
        <w:rPr>
          <w:rFonts w:cstheme="minorHAnsi"/>
        </w:rPr>
        <w:t xml:space="preserve"> Hartland also proposes that the stories where the couple do not re-unite are more primitive. Due to “loose” marriage bonds amongst </w:t>
      </w:r>
      <w:r w:rsidR="009E2310">
        <w:rPr>
          <w:rFonts w:cstheme="minorHAnsi"/>
        </w:rPr>
        <w:t>‘</w:t>
      </w:r>
      <w:r w:rsidRPr="007004DB">
        <w:rPr>
          <w:rFonts w:cstheme="minorHAnsi"/>
        </w:rPr>
        <w:t>savages</w:t>
      </w:r>
      <w:r w:rsidR="009E2310">
        <w:rPr>
          <w:rFonts w:cstheme="minorHAnsi"/>
        </w:rPr>
        <w:t>’</w:t>
      </w:r>
      <w:r w:rsidRPr="007004DB">
        <w:rPr>
          <w:rFonts w:cstheme="minorHAnsi"/>
        </w:rPr>
        <w:t xml:space="preserve"> the wife’s excuse for leaving was often “simpler” or even an “arbitrary exercise of will.”</w:t>
      </w:r>
      <w:r w:rsidRPr="007004DB">
        <w:rPr>
          <w:rStyle w:val="FootnoteReference"/>
          <w:rFonts w:cstheme="minorHAnsi"/>
        </w:rPr>
        <w:footnoteReference w:id="34"/>
      </w:r>
      <w:r w:rsidRPr="007004DB">
        <w:rPr>
          <w:rFonts w:cstheme="minorHAnsi"/>
        </w:rPr>
        <w:t xml:space="preserve"> Stories where women left their husband’s due to a taboo of being struck with iron is “representative of the stone age”.</w:t>
      </w:r>
      <w:r w:rsidRPr="007004DB">
        <w:rPr>
          <w:rStyle w:val="FootnoteReference"/>
          <w:rFonts w:cstheme="minorHAnsi"/>
        </w:rPr>
        <w:footnoteReference w:id="35"/>
      </w:r>
      <w:r w:rsidRPr="007004DB">
        <w:rPr>
          <w:rFonts w:cstheme="minorHAnsi"/>
        </w:rPr>
        <w:t xml:space="preserve"> Hartland describes how the lady of Van Pool had “relics of old-fashioned wifely duty” in that she did not “object to the chastisement which the laws of Wales allowed a husband to bestow”. A man could beat his wife three times before having to pay a </w:t>
      </w:r>
      <w:r w:rsidRPr="007004DB">
        <w:rPr>
          <w:rFonts w:cstheme="minorHAnsi"/>
          <w:i/>
        </w:rPr>
        <w:t>sarâd</w:t>
      </w:r>
      <w:r w:rsidRPr="007004DB">
        <w:rPr>
          <w:rFonts w:cstheme="minorHAnsi"/>
        </w:rPr>
        <w:t xml:space="preserve">, or fine. Hartland notes that the </w:t>
      </w:r>
      <w:r w:rsidRPr="007004DB">
        <w:rPr>
          <w:rFonts w:cstheme="minorHAnsi"/>
          <w:i/>
        </w:rPr>
        <w:t>sarâd</w:t>
      </w:r>
      <w:r w:rsidRPr="007004DB">
        <w:rPr>
          <w:rFonts w:cstheme="minorHAnsi"/>
        </w:rPr>
        <w:t xml:space="preserve"> “would not satisfy this proud lady; nothing less than a divorce would meet the case.”</w:t>
      </w:r>
      <w:r w:rsidRPr="007004DB">
        <w:rPr>
          <w:rStyle w:val="FootnoteReference"/>
          <w:rFonts w:cstheme="minorHAnsi"/>
        </w:rPr>
        <w:footnoteReference w:id="36"/>
      </w:r>
      <w:r w:rsidRPr="007004DB">
        <w:rPr>
          <w:rFonts w:cstheme="minorHAnsi"/>
        </w:rPr>
        <w:t xml:space="preserve"> In another story a Partridge’s wife is “exacting” when “declined to be struck at all”.</w:t>
      </w:r>
      <w:r w:rsidRPr="007004DB">
        <w:rPr>
          <w:rStyle w:val="FootnoteReference"/>
          <w:rFonts w:cstheme="minorHAnsi"/>
        </w:rPr>
        <w:footnoteReference w:id="37"/>
      </w:r>
      <w:r w:rsidRPr="007004DB">
        <w:rPr>
          <w:rFonts w:cstheme="minorHAnsi"/>
        </w:rPr>
        <w:t xml:space="preserve"> Wife beating and marital cruelty were particularly pertinent issues, featuring in debates surrounding the Maintenance of Wives acts of 1878 and 1886.</w:t>
      </w:r>
      <w:r w:rsidRPr="007004DB">
        <w:rPr>
          <w:rStyle w:val="FootnoteReference"/>
          <w:rFonts w:cstheme="minorHAnsi"/>
        </w:rPr>
        <w:footnoteReference w:id="38"/>
      </w:r>
      <w:r w:rsidRPr="007004DB">
        <w:rPr>
          <w:rFonts w:cstheme="minorHAnsi"/>
        </w:rPr>
        <w:t xml:space="preserve"> Harte, notes that out of the numerous instances where the swan-maiden leaves after being beaten, chastised or struck Hartland “fails to draw what might seem an obvious conclusion.”</w:t>
      </w:r>
      <w:r w:rsidRPr="007004DB">
        <w:rPr>
          <w:rStyle w:val="FootnoteReference"/>
          <w:rFonts w:eastAsiaTheme="majorEastAsia" w:cstheme="minorHAnsi"/>
        </w:rPr>
        <w:footnoteReference w:id="39"/>
      </w:r>
      <w:r w:rsidRPr="007004DB">
        <w:rPr>
          <w:rFonts w:cstheme="minorHAnsi"/>
        </w:rPr>
        <w:t xml:space="preserve"> Hartland’s conclusions implicate his disturbing objection to divorce even in instance of violence. Silver notes that whilst folklorists’ opinions on divorce were implicit; “free and easy separation was associated with primitive societies and savage eras”</w:t>
      </w:r>
      <w:r w:rsidRPr="007004DB">
        <w:t>.</w:t>
      </w:r>
      <w:r w:rsidRPr="007004DB">
        <w:rPr>
          <w:vertAlign w:val="superscript"/>
        </w:rPr>
        <w:footnoteReference w:id="40"/>
      </w:r>
      <w:r>
        <w:t xml:space="preserve"> </w:t>
      </w:r>
      <w:r w:rsidRPr="007004DB">
        <w:rPr>
          <w:rFonts w:cstheme="minorHAnsi"/>
        </w:rPr>
        <w:t>Hartland held very traditional views and considered that anthropology was “not a subject for women” and disapproved of women attending his lecturers or becoming doctors.</w:t>
      </w:r>
      <w:r w:rsidRPr="007004DB">
        <w:rPr>
          <w:rStyle w:val="FootnoteReference"/>
          <w:rFonts w:cstheme="minorHAnsi"/>
        </w:rPr>
        <w:footnoteReference w:id="41"/>
      </w:r>
      <w:r w:rsidRPr="007004DB">
        <w:rPr>
          <w:rFonts w:cstheme="minorHAnsi"/>
          <w:vertAlign w:val="superscript"/>
        </w:rPr>
        <w:t xml:space="preserve"> </w:t>
      </w:r>
      <w:r w:rsidRPr="007004DB">
        <w:rPr>
          <w:rFonts w:cstheme="minorHAnsi"/>
        </w:rPr>
        <w:t xml:space="preserve">Hartland would have felt keenly that the independent swan-maiden was a challenge to Victorian models of marriage. </w:t>
      </w:r>
    </w:p>
    <w:p w:rsidR="00EA0C05" w:rsidRPr="00FE54BD" w:rsidRDefault="00EA0C05" w:rsidP="00EA0C05">
      <w:pPr>
        <w:jc w:val="both"/>
        <w:rPr>
          <w:rFonts w:cstheme="minorHAnsi"/>
          <w:highlight w:val="yellow"/>
          <w:shd w:val="clear" w:color="auto" w:fill="CCCCDD"/>
        </w:rPr>
      </w:pPr>
    </w:p>
    <w:p w:rsidR="00EA0C05" w:rsidRPr="00E97CF2" w:rsidRDefault="00EA0C05" w:rsidP="00EA0C05">
      <w:pPr>
        <w:jc w:val="both"/>
        <w:rPr>
          <w:rFonts w:cstheme="minorHAnsi"/>
        </w:rPr>
      </w:pPr>
      <w:r w:rsidRPr="00E97CF2">
        <w:rPr>
          <w:rFonts w:cstheme="minorHAnsi"/>
          <w:bCs/>
        </w:rPr>
        <w:t>The desertion of children in swan-maiden tales raised even more “ticklish questions”.</w:t>
      </w:r>
      <w:r w:rsidRPr="00E97CF2">
        <w:rPr>
          <w:bCs/>
          <w:vertAlign w:val="superscript"/>
        </w:rPr>
        <w:footnoteReference w:id="42"/>
      </w:r>
      <w:r w:rsidRPr="00E97CF2">
        <w:rPr>
          <w:rFonts w:cstheme="minorHAnsi"/>
          <w:bCs/>
        </w:rPr>
        <w:t xml:space="preserve"> Silver notes that it was almost “inconceivable” and “abnormal” to the Victorians that even a fairy woman could “sacrifice a child to her own search for self-</w:t>
      </w:r>
      <w:r w:rsidRPr="00E97CF2">
        <w:rPr>
          <w:rFonts w:cstheme="minorHAnsi"/>
        </w:rPr>
        <w:t>satisfaction”.</w:t>
      </w:r>
      <w:r w:rsidRPr="00E97CF2">
        <w:rPr>
          <w:vertAlign w:val="superscript"/>
        </w:rPr>
        <w:footnoteReference w:id="43"/>
      </w:r>
      <w:r w:rsidRPr="00E97CF2">
        <w:rPr>
          <w:rFonts w:cstheme="minorHAnsi"/>
          <w:vertAlign w:val="superscript"/>
        </w:rPr>
        <w:t xml:space="preserve"> </w:t>
      </w:r>
      <w:r w:rsidRPr="00E97CF2">
        <w:rPr>
          <w:rFonts w:cstheme="minorHAnsi"/>
        </w:rPr>
        <w:t>Folklorists</w:t>
      </w:r>
      <w:r w:rsidRPr="00E97CF2">
        <w:rPr>
          <w:rFonts w:cstheme="minorHAnsi"/>
          <w:bCs/>
        </w:rPr>
        <w:t xml:space="preserve"> were keen to stress that the swan-maiden had not abandoned her children. Hartland stressed the fairy of Van Pool, mother of the Physicians of the Myddvai, “was </w:t>
      </w:r>
      <w:r w:rsidRPr="00E97CF2">
        <w:rPr>
          <w:rFonts w:cstheme="minorHAnsi"/>
        </w:rPr>
        <w:t>drawn back to earth by the care of her three sons, who, by means of her instructions, became celebrated physicians.”</w:t>
      </w:r>
      <w:r w:rsidRPr="00E97CF2">
        <w:rPr>
          <w:rStyle w:val="FootnoteReference"/>
          <w:rFonts w:cstheme="minorHAnsi"/>
        </w:rPr>
        <w:footnoteReference w:id="44"/>
      </w:r>
      <w:r w:rsidRPr="00E97CF2">
        <w:rPr>
          <w:rFonts w:cstheme="minorHAnsi"/>
          <w:vertAlign w:val="superscript"/>
        </w:rPr>
        <w:t xml:space="preserve"> </w:t>
      </w:r>
      <w:r w:rsidRPr="00E97CF2">
        <w:rPr>
          <w:rFonts w:cstheme="minorHAnsi"/>
        </w:rPr>
        <w:t>She remains cast in the maternal role, somewhat neutralising the dangerous anti-maternal precedent set by her leaving home. Hartland in another tale, highlights a “mother's visits to her children” are a “tie which compels her to return”.</w:t>
      </w:r>
      <w:r w:rsidRPr="00E97CF2">
        <w:rPr>
          <w:rStyle w:val="FootnoteReference"/>
          <w:rFonts w:cstheme="minorHAnsi"/>
        </w:rPr>
        <w:footnoteReference w:id="45"/>
      </w:r>
      <w:r w:rsidRPr="00E97CF2">
        <w:rPr>
          <w:rFonts w:cstheme="minorHAnsi"/>
        </w:rPr>
        <w:t xml:space="preserve"> Even the “Nightmare type” of fairy who slips through key holes and leaves her husband for the trivial reason that he reproached her for telling their children that her homeland was Engelland is maternal.</w:t>
      </w:r>
      <w:r w:rsidRPr="00E97CF2">
        <w:rPr>
          <w:rStyle w:val="FootnoteReference"/>
          <w:rFonts w:cstheme="minorHAnsi"/>
        </w:rPr>
        <w:footnoteReference w:id="46"/>
      </w:r>
      <w:r w:rsidRPr="00E97CF2">
        <w:rPr>
          <w:rStyle w:val="FootnoteReference"/>
          <w:rFonts w:cstheme="minorHAnsi"/>
          <w:vertAlign w:val="baseline"/>
        </w:rPr>
        <w:t xml:space="preserve"> Hartland point</w:t>
      </w:r>
      <w:r w:rsidRPr="00E97CF2">
        <w:rPr>
          <w:rFonts w:cstheme="minorHAnsi"/>
        </w:rPr>
        <w:t>s</w:t>
      </w:r>
      <w:r w:rsidRPr="00E97CF2">
        <w:rPr>
          <w:rStyle w:val="FootnoteReference"/>
          <w:rFonts w:cstheme="minorHAnsi"/>
          <w:vertAlign w:val="baseline"/>
        </w:rPr>
        <w:t xml:space="preserve"> out </w:t>
      </w:r>
      <w:r w:rsidRPr="00E97CF2">
        <w:rPr>
          <w:rFonts w:cstheme="minorHAnsi"/>
        </w:rPr>
        <w:t>that “she could not quite forsake her husband and little ones”, on Saturday she secretly laid out clean clothes and every night took the “baby out of the cradle”.</w:t>
      </w:r>
      <w:r w:rsidRPr="00E97CF2">
        <w:rPr>
          <w:rStyle w:val="FootnoteReference"/>
          <w:rFonts w:cstheme="minorHAnsi"/>
        </w:rPr>
        <w:footnoteReference w:id="47"/>
      </w:r>
      <w:r w:rsidRPr="00E97CF2">
        <w:rPr>
          <w:rFonts w:cstheme="minorHAnsi"/>
        </w:rPr>
        <w:t xml:space="preserve"> The Caernarvonshire fairies are also “recalled by maternal love to the scenes of their wedded life”.</w:t>
      </w:r>
      <w:r w:rsidRPr="00E97CF2">
        <w:rPr>
          <w:rStyle w:val="FootnoteReference"/>
          <w:rFonts w:cstheme="minorHAnsi"/>
        </w:rPr>
        <w:footnoteReference w:id="48"/>
      </w:r>
      <w:r w:rsidRPr="00E97CF2">
        <w:rPr>
          <w:rFonts w:cstheme="minorHAnsi"/>
        </w:rPr>
        <w:t xml:space="preserve"> They chant “pathetically” at the window: </w:t>
      </w:r>
    </w:p>
    <w:p w:rsidR="009E2310" w:rsidRDefault="009E2310" w:rsidP="00EA0C05">
      <w:pPr>
        <w:jc w:val="both"/>
        <w:rPr>
          <w:rFonts w:cstheme="minorHAnsi"/>
        </w:rPr>
      </w:pPr>
    </w:p>
    <w:p w:rsidR="00EA0C05" w:rsidRPr="00E97CF2" w:rsidRDefault="00EA0C05" w:rsidP="00EA0C05">
      <w:pPr>
        <w:jc w:val="both"/>
        <w:rPr>
          <w:rFonts w:cstheme="minorHAnsi"/>
        </w:rPr>
      </w:pPr>
      <w:r w:rsidRPr="00E97CF2">
        <w:rPr>
          <w:rFonts w:cstheme="minorHAnsi"/>
        </w:rPr>
        <w:t>“If my son should feel it cold,</w:t>
      </w:r>
    </w:p>
    <w:p w:rsidR="00EA0C05" w:rsidRPr="00E97CF2" w:rsidRDefault="00EA0C05" w:rsidP="00EA0C05">
      <w:pPr>
        <w:jc w:val="both"/>
        <w:rPr>
          <w:rFonts w:cstheme="minorHAnsi"/>
        </w:rPr>
      </w:pPr>
      <w:r w:rsidRPr="00E97CF2">
        <w:rPr>
          <w:rFonts w:cstheme="minorHAnsi"/>
        </w:rPr>
        <w:t>Let him wear his father’s coat;</w:t>
      </w:r>
    </w:p>
    <w:p w:rsidR="00EA0C05" w:rsidRPr="00E97CF2" w:rsidRDefault="00EA0C05" w:rsidP="00EA0C05">
      <w:pPr>
        <w:jc w:val="both"/>
        <w:rPr>
          <w:rFonts w:cstheme="minorHAnsi"/>
        </w:rPr>
      </w:pPr>
      <w:r w:rsidRPr="00E97CF2">
        <w:rPr>
          <w:rFonts w:cstheme="minorHAnsi"/>
        </w:rPr>
        <w:t xml:space="preserve">If the fair one feel the cold, </w:t>
      </w:r>
    </w:p>
    <w:p w:rsidR="00EA0C05" w:rsidRPr="00E97CF2" w:rsidRDefault="00EA0C05" w:rsidP="00EA0C05">
      <w:pPr>
        <w:jc w:val="both"/>
        <w:rPr>
          <w:rFonts w:cstheme="minorHAnsi"/>
        </w:rPr>
      </w:pPr>
      <w:r w:rsidRPr="00E97CF2">
        <w:rPr>
          <w:rFonts w:cstheme="minorHAnsi"/>
        </w:rPr>
        <w:t>Let her wear my petticoat.”</w:t>
      </w:r>
      <w:r w:rsidRPr="00E97CF2">
        <w:rPr>
          <w:rStyle w:val="FootnoteReference"/>
          <w:rFonts w:cstheme="minorHAnsi"/>
        </w:rPr>
        <w:t xml:space="preserve"> </w:t>
      </w:r>
      <w:r w:rsidRPr="00E97CF2">
        <w:rPr>
          <w:rStyle w:val="FootnoteReference"/>
          <w:rFonts w:cstheme="minorHAnsi"/>
        </w:rPr>
        <w:footnoteReference w:id="49"/>
      </w:r>
    </w:p>
    <w:p w:rsidR="009E2310" w:rsidRDefault="009E2310" w:rsidP="00EA0C05">
      <w:pPr>
        <w:jc w:val="both"/>
        <w:rPr>
          <w:rFonts w:cstheme="minorHAnsi"/>
        </w:rPr>
      </w:pPr>
    </w:p>
    <w:p w:rsidR="00EA0C05" w:rsidRPr="00E97CF2" w:rsidRDefault="00EA0C05" w:rsidP="00EA0C05">
      <w:pPr>
        <w:jc w:val="both"/>
        <w:rPr>
          <w:rFonts w:cstheme="minorHAnsi"/>
        </w:rPr>
      </w:pPr>
      <w:r w:rsidRPr="00E97CF2">
        <w:rPr>
          <w:rFonts w:cstheme="minorHAnsi"/>
        </w:rPr>
        <w:t>Silver notes Hartland believed in an “</w:t>
      </w:r>
      <w:r w:rsidRPr="00E97CF2">
        <w:t xml:space="preserve">era </w:t>
      </w:r>
      <w:r w:rsidRPr="00E97CF2">
        <w:rPr>
          <w:rFonts w:cstheme="minorHAnsi"/>
        </w:rPr>
        <w:t>of matrilineality”</w:t>
      </w:r>
      <w:r>
        <w:t>,</w:t>
      </w:r>
      <w:r w:rsidRPr="00E97CF2">
        <w:rPr>
          <w:vertAlign w:val="superscript"/>
        </w:rPr>
        <w:footnoteReference w:id="50"/>
      </w:r>
      <w:r w:rsidRPr="00E97CF2">
        <w:rPr>
          <w:rFonts w:cstheme="minorHAnsi"/>
        </w:rPr>
        <w:t xml:space="preserve"> that mothers would simply abandon </w:t>
      </w:r>
      <w:r w:rsidR="009E2310" w:rsidRPr="00E97CF2">
        <w:rPr>
          <w:rFonts w:cstheme="minorHAnsi"/>
        </w:rPr>
        <w:t>their</w:t>
      </w:r>
      <w:r w:rsidRPr="00E97CF2">
        <w:rPr>
          <w:rFonts w:cstheme="minorHAnsi"/>
        </w:rPr>
        <w:t xml:space="preserve"> children for independence could not easily fit into the model of even a </w:t>
      </w:r>
      <w:r w:rsidR="009E2310">
        <w:rPr>
          <w:rFonts w:cstheme="minorHAnsi"/>
        </w:rPr>
        <w:t>‘</w:t>
      </w:r>
      <w:r w:rsidRPr="00E97CF2">
        <w:rPr>
          <w:rFonts w:cstheme="minorHAnsi"/>
        </w:rPr>
        <w:t>savage</w:t>
      </w:r>
      <w:r w:rsidR="009E2310">
        <w:rPr>
          <w:rFonts w:cstheme="minorHAnsi"/>
        </w:rPr>
        <w:t>’</w:t>
      </w:r>
      <w:r w:rsidRPr="00E97CF2">
        <w:rPr>
          <w:rFonts w:cstheme="minorHAnsi"/>
        </w:rPr>
        <w:t xml:space="preserve"> matriarchal culture. Leavy argues the swan-maiden stories are “</w:t>
      </w:r>
      <w:r w:rsidRPr="00E97CF2">
        <w:rPr>
          <w:rFonts w:cstheme="minorHAnsi"/>
          <w:i/>
        </w:rPr>
        <w:t>about</w:t>
      </w:r>
      <w:r w:rsidRPr="00E97CF2">
        <w:rPr>
          <w:rFonts w:cstheme="minorHAnsi"/>
        </w:rPr>
        <w:t xml:space="preserve"> the freedom from cultural necessity as well as about the requirement that such necessity eventually prevail.”</w:t>
      </w:r>
      <w:r w:rsidRPr="00E97CF2">
        <w:rPr>
          <w:rStyle w:val="FootnoteReference"/>
          <w:rFonts w:cstheme="minorHAnsi"/>
        </w:rPr>
        <w:footnoteReference w:id="51"/>
      </w:r>
      <w:r w:rsidRPr="00E97CF2">
        <w:rPr>
          <w:rFonts w:cstheme="minorHAnsi"/>
        </w:rPr>
        <w:t xml:space="preserve"> She argues that the swan-maidens tale in some</w:t>
      </w:r>
      <w:r w:rsidR="00A845FF">
        <w:rPr>
          <w:rFonts w:cstheme="minorHAnsi"/>
        </w:rPr>
        <w:t xml:space="preserve"> </w:t>
      </w:r>
      <w:r w:rsidRPr="00E97CF2">
        <w:rPr>
          <w:rFonts w:cstheme="minorHAnsi"/>
        </w:rPr>
        <w:t>ways captures the plight of subjugated woman, acting to question prevailing assumptions. The swan-maiden for folklorist was arguably the non-human reflection of the more liberated new woman. But ultimately Silver argues that folklorists rendered the fairy bride acceptable by “</w:t>
      </w:r>
      <w:r w:rsidRPr="00E97CF2">
        <w:t>diminishing the claims to superiority</w:t>
      </w:r>
      <w:r w:rsidRPr="00E97CF2">
        <w:rPr>
          <w:rFonts w:cstheme="minorHAnsi"/>
        </w:rPr>
        <w:t>”, “</w:t>
      </w:r>
      <w:r w:rsidRPr="00E97CF2">
        <w:t>neutralizing her sexuality</w:t>
      </w:r>
      <w:r w:rsidRPr="00E97CF2">
        <w:rPr>
          <w:rFonts w:cstheme="minorHAnsi"/>
        </w:rPr>
        <w:t>” and “</w:t>
      </w:r>
      <w:r w:rsidRPr="00E97CF2">
        <w:t xml:space="preserve">limiting, </w:t>
      </w:r>
      <w:r w:rsidRPr="00E97CF2">
        <w:rPr>
          <w:rFonts w:cstheme="minorHAnsi"/>
        </w:rPr>
        <w:t>denying or refusing to discuss her right to divorce”.</w:t>
      </w:r>
      <w:r w:rsidRPr="00E97CF2">
        <w:rPr>
          <w:vertAlign w:val="superscript"/>
        </w:rPr>
        <w:footnoteReference w:id="52"/>
      </w:r>
      <w:r w:rsidRPr="00E97CF2">
        <w:rPr>
          <w:rFonts w:cstheme="minorHAnsi"/>
        </w:rPr>
        <w:t xml:space="preserve"> The swan-maiden ultimately remains bound by her biological maternal feelings to remain a nurturing and caring mother.</w:t>
      </w:r>
    </w:p>
    <w:p w:rsidR="00EA0C05" w:rsidRPr="00FE54BD" w:rsidRDefault="00EA0C05" w:rsidP="00EA0C05">
      <w:pPr>
        <w:jc w:val="both"/>
        <w:rPr>
          <w:rFonts w:cstheme="minorHAnsi"/>
          <w:highlight w:val="cyan"/>
          <w:shd w:val="clear" w:color="auto" w:fill="CCCCDD"/>
        </w:rPr>
      </w:pPr>
    </w:p>
    <w:p w:rsidR="00EA0C05" w:rsidRPr="00FC0A08" w:rsidRDefault="00EA0C05" w:rsidP="00EA0C05">
      <w:pPr>
        <w:jc w:val="both"/>
        <w:rPr>
          <w:rFonts w:eastAsiaTheme="majorEastAsia" w:cstheme="minorHAnsi"/>
        </w:rPr>
      </w:pPr>
      <w:r w:rsidRPr="00FC0A08">
        <w:rPr>
          <w:rFonts w:cstheme="minorHAnsi"/>
        </w:rPr>
        <w:t>The swan-maiden reflects questions surrounding late-Victorian marriage and aspects of the independent ‘</w:t>
      </w:r>
      <w:r w:rsidR="009E2310">
        <w:rPr>
          <w:rFonts w:cstheme="minorHAnsi"/>
        </w:rPr>
        <w:t>New W</w:t>
      </w:r>
      <w:r w:rsidRPr="00FC0A08">
        <w:rPr>
          <w:rFonts w:cstheme="minorHAnsi"/>
        </w:rPr>
        <w:t>oman’. Women riding bicycles round London, studying at university and leaving the family home to work, were like the swan-maidens willing to spurn marital and domestic responsibilities by leaving the home. Women who did not fit into the category of “Victorian lady”, a devoted wife and mother, could be cast as a threatening supernatural “Other” as a result.</w:t>
      </w:r>
      <w:r w:rsidRPr="00FC0A08">
        <w:rPr>
          <w:rStyle w:val="FootnoteReference"/>
          <w:rFonts w:cstheme="minorHAnsi"/>
        </w:rPr>
        <w:footnoteReference w:id="53"/>
      </w:r>
      <w:r w:rsidRPr="00FC0A08">
        <w:rPr>
          <w:rFonts w:cstheme="minorHAnsi"/>
        </w:rPr>
        <w:t xml:space="preserve"> Wakefield underlines the important underlying tension in “folk-lore naming”. Calling a woman a “fairy” or a “witch” is far from “innocuous”, it is a “linguistic displacement” revealing underling British anxieties of “the lines between “us” and “them,” the class, racial and national Others, especially women.”</w:t>
      </w:r>
      <w:r w:rsidRPr="00FC0A08">
        <w:rPr>
          <w:rStyle w:val="FootnoteReference"/>
          <w:rFonts w:cstheme="minorHAnsi"/>
        </w:rPr>
        <w:footnoteReference w:id="54"/>
      </w:r>
      <w:r w:rsidRPr="00FC0A08">
        <w:rPr>
          <w:rFonts w:cstheme="minorHAnsi"/>
        </w:rPr>
        <w:t xml:space="preserve"> She argues that folklore could be “directed at females as a means of dealing with contemporary fears.”</w:t>
      </w:r>
      <w:r w:rsidRPr="00FC0A08">
        <w:rPr>
          <w:rStyle w:val="FootnoteReference"/>
          <w:rFonts w:cstheme="minorHAnsi"/>
        </w:rPr>
        <w:footnoteReference w:id="55"/>
      </w:r>
      <w:r w:rsidRPr="00FC0A08">
        <w:rPr>
          <w:rFonts w:cstheme="minorHAnsi"/>
        </w:rPr>
        <w:t xml:space="preserve"> The folklorist naming the swan-maidens, might fashion this female Other as “imaginary and dangerously unpredictable: an elusive, desirable, dream-world inhabitant.”</w:t>
      </w:r>
      <w:r w:rsidRPr="00FC0A08">
        <w:rPr>
          <w:rStyle w:val="FootnoteReference"/>
          <w:rFonts w:cstheme="minorHAnsi"/>
        </w:rPr>
        <w:footnoteReference w:id="56"/>
      </w:r>
      <w:r w:rsidRPr="00FC0A08">
        <w:rPr>
          <w:rFonts w:cstheme="minorHAnsi"/>
        </w:rPr>
        <w:t xml:space="preserve"> The swan-maiden during the 1880-1890s seemed a pertinent model for examining women’s changing role. However, from 1909 the votes for women campaign intensified into violence.</w:t>
      </w:r>
      <w:r w:rsidRPr="00FC0A08">
        <w:rPr>
          <w:rStyle w:val="FootnoteReference"/>
          <w:rFonts w:cstheme="minorHAnsi"/>
        </w:rPr>
        <w:footnoteReference w:id="57"/>
      </w:r>
      <w:r w:rsidRPr="00FC0A08">
        <w:rPr>
          <w:rFonts w:cstheme="minorHAnsi"/>
          <w:vertAlign w:val="superscript"/>
        </w:rPr>
        <w:t xml:space="preserve"> </w:t>
      </w:r>
      <w:r w:rsidRPr="00FC0A08">
        <w:rPr>
          <w:rFonts w:cstheme="minorHAnsi"/>
        </w:rPr>
        <w:t>These women did not characterise the “frailty, passivity, submissiveness, silence, and desexualized affection” of the Victorian image of female nature.</w:t>
      </w:r>
      <w:r w:rsidRPr="00FC0A08">
        <w:rPr>
          <w:rStyle w:val="FootnoteReference"/>
          <w:rFonts w:cstheme="minorHAnsi"/>
        </w:rPr>
        <w:footnoteReference w:id="58"/>
      </w:r>
      <w:r w:rsidRPr="00FC0A08">
        <w:rPr>
          <w:rFonts w:cstheme="minorHAnsi"/>
        </w:rPr>
        <w:t xml:space="preserve"> By the early 20</w:t>
      </w:r>
      <w:r w:rsidRPr="00FC0A08">
        <w:rPr>
          <w:rFonts w:cstheme="minorHAnsi"/>
          <w:vertAlign w:val="superscript"/>
        </w:rPr>
        <w:t>th</w:t>
      </w:r>
      <w:r w:rsidRPr="00FC0A08">
        <w:rPr>
          <w:rFonts w:cstheme="minorHAnsi"/>
        </w:rPr>
        <w:t xml:space="preserve"> century the independent fairy-maidens of tales </w:t>
      </w:r>
      <w:r w:rsidRPr="00FC0A08">
        <w:rPr>
          <w:rFonts w:eastAsiaTheme="majorEastAsia" w:cstheme="minorHAnsi"/>
        </w:rPr>
        <w:t>seemed less fascinating when real women were working in munitions factories or as nurses in WW1 and holding certain positions of power outside the domestic environment. The role of women vastly shifted and the fairy, as her reflection, demonstrates this fluctuating position. The swan-maiden no longer fascinated folk-tale scholarsh</w:t>
      </w:r>
      <w:r w:rsidR="00005E3F">
        <w:rPr>
          <w:rFonts w:eastAsiaTheme="majorEastAsia" w:cstheme="minorHAnsi"/>
        </w:rPr>
        <w:t>ip. Fairies continued their dimi</w:t>
      </w:r>
      <w:r w:rsidR="00005E3F" w:rsidRPr="00FC0A08">
        <w:rPr>
          <w:rFonts w:eastAsiaTheme="majorEastAsia" w:cstheme="minorHAnsi"/>
        </w:rPr>
        <w:t>nution</w:t>
      </w:r>
      <w:r w:rsidRPr="00FC0A08">
        <w:rPr>
          <w:rFonts w:eastAsiaTheme="majorEastAsia" w:cstheme="minorHAnsi"/>
        </w:rPr>
        <w:t xml:space="preserve">, becoming increasingly child-like and less powerful. </w:t>
      </w:r>
    </w:p>
    <w:p w:rsidR="00EA0C05" w:rsidRPr="001933A2" w:rsidRDefault="00EA0C05" w:rsidP="00EA0C05">
      <w:pPr>
        <w:rPr>
          <w:highlight w:val="cyan"/>
        </w:rPr>
      </w:pPr>
    </w:p>
    <w:p w:rsidR="00EA0C05" w:rsidRPr="004B4940" w:rsidRDefault="00EA0C05" w:rsidP="00EA0C05">
      <w:pPr>
        <w:pStyle w:val="Heading3"/>
        <w:jc w:val="both"/>
      </w:pPr>
    </w:p>
    <w:sectPr w:rsidR="00EA0C05" w:rsidRPr="004B4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33" w:rsidRDefault="00083E33" w:rsidP="00BE6EE9">
      <w:r>
        <w:separator/>
      </w:r>
    </w:p>
  </w:endnote>
  <w:endnote w:type="continuationSeparator" w:id="0">
    <w:p w:rsidR="00083E33" w:rsidRDefault="00083E33" w:rsidP="00BE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od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33" w:rsidRDefault="00083E33" w:rsidP="00BE6EE9">
      <w:r>
        <w:separator/>
      </w:r>
    </w:p>
  </w:footnote>
  <w:footnote w:type="continuationSeparator" w:id="0">
    <w:p w:rsidR="00083E33" w:rsidRDefault="00083E33" w:rsidP="00BE6EE9">
      <w:r>
        <w:continuationSeparator/>
      </w:r>
    </w:p>
  </w:footnote>
  <w:footnote w:id="1">
    <w:p w:rsidR="007311DA" w:rsidRPr="00481D18" w:rsidRDefault="007311DA" w:rsidP="00911478">
      <w:pPr>
        <w:jc w:val="both"/>
        <w:rPr>
          <w:sz w:val="16"/>
          <w:szCs w:val="16"/>
        </w:rPr>
      </w:pPr>
      <w:r w:rsidRPr="00481D18">
        <w:rPr>
          <w:rStyle w:val="FootnoteReference"/>
          <w:rFonts w:eastAsiaTheme="majorEastAsia"/>
          <w:sz w:val="16"/>
          <w:szCs w:val="16"/>
        </w:rPr>
        <w:footnoteRef/>
      </w:r>
      <w:r w:rsidR="00481D18">
        <w:rPr>
          <w:sz w:val="16"/>
          <w:szCs w:val="16"/>
          <w:vertAlign w:val="superscript"/>
        </w:rPr>
        <w:t xml:space="preserve"> </w:t>
      </w:r>
      <w:r w:rsidR="00B80CC4" w:rsidRPr="009815E8">
        <w:rPr>
          <w:sz w:val="16"/>
          <w:szCs w:val="16"/>
        </w:rPr>
        <w:t>J.</w:t>
      </w:r>
      <w:r w:rsidR="00B80CC4" w:rsidRPr="00481D18">
        <w:rPr>
          <w:sz w:val="16"/>
          <w:szCs w:val="16"/>
        </w:rPr>
        <w:t xml:space="preserve"> Jacobs, </w:t>
      </w:r>
      <w:r w:rsidR="00B80CC4" w:rsidRPr="00481D18">
        <w:rPr>
          <w:i/>
          <w:sz w:val="16"/>
          <w:szCs w:val="16"/>
        </w:rPr>
        <w:t xml:space="preserve">European Folk and Fairy Tales </w:t>
      </w:r>
      <w:r w:rsidR="00B80CC4" w:rsidRPr="00481D18">
        <w:rPr>
          <w:sz w:val="16"/>
          <w:szCs w:val="16"/>
        </w:rPr>
        <w:t xml:space="preserve">(New York, 1916), p. 219. </w:t>
      </w:r>
    </w:p>
  </w:footnote>
  <w:footnote w:id="2">
    <w:p w:rsidR="007311DA" w:rsidRPr="00481D18" w:rsidRDefault="007311DA" w:rsidP="00911478">
      <w:pPr>
        <w:pStyle w:val="FootnoteText"/>
        <w:jc w:val="both"/>
        <w:rPr>
          <w:sz w:val="16"/>
          <w:szCs w:val="16"/>
        </w:rPr>
      </w:pPr>
      <w:r w:rsidRPr="00481D18">
        <w:rPr>
          <w:rStyle w:val="FootnoteReference"/>
          <w:rFonts w:eastAsiaTheme="majorEastAsia"/>
          <w:sz w:val="16"/>
          <w:szCs w:val="16"/>
        </w:rPr>
        <w:footnoteRef/>
      </w:r>
      <w:r w:rsidR="00481D18">
        <w:rPr>
          <w:sz w:val="16"/>
          <w:szCs w:val="16"/>
        </w:rPr>
        <w:t xml:space="preserve"> </w:t>
      </w:r>
      <w:r w:rsidR="00B80CC4" w:rsidRPr="00481D18">
        <w:rPr>
          <w:sz w:val="16"/>
          <w:szCs w:val="16"/>
        </w:rPr>
        <w:t xml:space="preserve">Jacobs, </w:t>
      </w:r>
      <w:r w:rsidR="00B80CC4" w:rsidRPr="00481D18">
        <w:rPr>
          <w:i/>
          <w:sz w:val="16"/>
          <w:szCs w:val="16"/>
        </w:rPr>
        <w:t xml:space="preserve">European Folk, </w:t>
      </w:r>
      <w:r w:rsidR="00B80CC4" w:rsidRPr="00481D18">
        <w:rPr>
          <w:sz w:val="16"/>
          <w:szCs w:val="16"/>
        </w:rPr>
        <w:t>p. vi.</w:t>
      </w:r>
      <w:r w:rsidRPr="00481D18">
        <w:rPr>
          <w:sz w:val="16"/>
          <w:szCs w:val="16"/>
        </w:rPr>
        <w:t xml:space="preserve"> </w:t>
      </w:r>
    </w:p>
  </w:footnote>
  <w:footnote w:id="3">
    <w:p w:rsidR="007311DA" w:rsidRPr="00481D18" w:rsidRDefault="007311DA"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B80CC4" w:rsidRPr="00481D18">
        <w:rPr>
          <w:sz w:val="16"/>
          <w:szCs w:val="16"/>
        </w:rPr>
        <w:t xml:space="preserve">Jacobs, </w:t>
      </w:r>
      <w:r w:rsidR="00B80CC4" w:rsidRPr="00481D18">
        <w:rPr>
          <w:i/>
          <w:sz w:val="16"/>
          <w:szCs w:val="16"/>
        </w:rPr>
        <w:t xml:space="preserve">European Folk, </w:t>
      </w:r>
      <w:r w:rsidR="00B80CC4" w:rsidRPr="00481D18">
        <w:rPr>
          <w:sz w:val="16"/>
          <w:szCs w:val="16"/>
        </w:rPr>
        <w:t xml:space="preserve">pp. 98-107. </w:t>
      </w:r>
    </w:p>
  </w:footnote>
  <w:footnote w:id="4">
    <w:p w:rsidR="00EA0C05" w:rsidRPr="00481D18" w:rsidRDefault="00EA0C05" w:rsidP="00911478">
      <w:pPr>
        <w:pStyle w:val="FootnoteText"/>
        <w:jc w:val="both"/>
        <w:rPr>
          <w:sz w:val="16"/>
          <w:szCs w:val="16"/>
        </w:rPr>
      </w:pPr>
      <w:r w:rsidRPr="00481D18">
        <w:rPr>
          <w:rStyle w:val="FootnoteReference"/>
          <w:rFonts w:eastAsiaTheme="majorEastAsia"/>
          <w:sz w:val="16"/>
          <w:szCs w:val="16"/>
        </w:rPr>
        <w:footnoteRef/>
      </w:r>
      <w:r w:rsidRPr="00481D18">
        <w:rPr>
          <w:sz w:val="16"/>
          <w:szCs w:val="16"/>
          <w:vertAlign w:val="superscript"/>
        </w:rPr>
        <w:t xml:space="preserve"> </w:t>
      </w:r>
      <w:r w:rsidR="00B80CC4" w:rsidRPr="00481D18">
        <w:rPr>
          <w:sz w:val="16"/>
          <w:szCs w:val="16"/>
        </w:rPr>
        <w:t xml:space="preserve">Jacobs, </w:t>
      </w:r>
      <w:r w:rsidR="00B80CC4" w:rsidRPr="00481D18">
        <w:rPr>
          <w:i/>
          <w:sz w:val="16"/>
          <w:szCs w:val="16"/>
        </w:rPr>
        <w:t xml:space="preserve">European Folk, </w:t>
      </w:r>
      <w:r w:rsidR="00B80CC4" w:rsidRPr="00481D18">
        <w:rPr>
          <w:sz w:val="16"/>
          <w:szCs w:val="16"/>
        </w:rPr>
        <w:t>pp. 99.</w:t>
      </w:r>
    </w:p>
  </w:footnote>
  <w:footnote w:id="5">
    <w:p w:rsidR="00AB0B40" w:rsidRPr="00481D18" w:rsidRDefault="00AB0B40" w:rsidP="00911478">
      <w:pPr>
        <w:pStyle w:val="FootnoteText"/>
        <w:jc w:val="both"/>
        <w:rPr>
          <w:sz w:val="16"/>
          <w:szCs w:val="16"/>
        </w:rPr>
      </w:pPr>
      <w:r w:rsidRPr="00481D18">
        <w:rPr>
          <w:rStyle w:val="FootnoteReference"/>
          <w:rFonts w:eastAsiaTheme="majorEastAsia"/>
          <w:sz w:val="16"/>
          <w:szCs w:val="16"/>
        </w:rPr>
        <w:footnoteRef/>
      </w:r>
      <w:r w:rsidRPr="00481D18">
        <w:rPr>
          <w:sz w:val="16"/>
          <w:szCs w:val="16"/>
          <w:vertAlign w:val="superscript"/>
        </w:rPr>
        <w:t xml:space="preserve"> </w:t>
      </w:r>
      <w:r w:rsidRPr="00481D18">
        <w:rPr>
          <w:sz w:val="16"/>
          <w:szCs w:val="16"/>
        </w:rPr>
        <w:t xml:space="preserve">W. Rees of Tonn, ‘Legend of Llyn-Van-Vach or the Origin of the Meddygon Myddfai’, J. Pughe (trans.) J. Williams (ed.) </w:t>
      </w:r>
      <w:r w:rsidRPr="00481D18">
        <w:rPr>
          <w:i/>
          <w:sz w:val="16"/>
          <w:szCs w:val="16"/>
        </w:rPr>
        <w:t xml:space="preserve">The Physicians of Myddvai </w:t>
      </w:r>
      <w:r w:rsidRPr="00481D18">
        <w:rPr>
          <w:sz w:val="16"/>
          <w:szCs w:val="16"/>
        </w:rPr>
        <w:t xml:space="preserve">(London, 1861), pp. xxi-xxx. </w:t>
      </w:r>
    </w:p>
  </w:footnote>
  <w:footnote w:id="6">
    <w:p w:rsidR="00AB0B40" w:rsidRPr="00481D18" w:rsidRDefault="00AB0B40" w:rsidP="00911478">
      <w:pPr>
        <w:jc w:val="both"/>
        <w:rPr>
          <w:rFonts w:eastAsiaTheme="minorHAnsi"/>
          <w:sz w:val="16"/>
          <w:szCs w:val="16"/>
          <w:lang w:eastAsia="en-US"/>
        </w:rPr>
      </w:pPr>
      <w:r w:rsidRPr="00481D18">
        <w:rPr>
          <w:rStyle w:val="FootnoteReference"/>
          <w:rFonts w:eastAsiaTheme="majorEastAsia"/>
          <w:sz w:val="16"/>
          <w:szCs w:val="16"/>
        </w:rPr>
        <w:footnoteRef/>
      </w:r>
      <w:r w:rsidRPr="00481D18">
        <w:rPr>
          <w:sz w:val="16"/>
          <w:szCs w:val="16"/>
          <w:vertAlign w:val="superscript"/>
        </w:rPr>
        <w:t xml:space="preserve"> </w:t>
      </w:r>
      <w:r w:rsidR="00B80CC4" w:rsidRPr="00481D18">
        <w:rPr>
          <w:sz w:val="16"/>
          <w:szCs w:val="16"/>
        </w:rPr>
        <w:t xml:space="preserve">J. Rhŷs, </w:t>
      </w:r>
      <w:r w:rsidR="00B80CC4" w:rsidRPr="00481D18">
        <w:rPr>
          <w:i/>
          <w:sz w:val="16"/>
          <w:szCs w:val="16"/>
        </w:rPr>
        <w:t>Celtic Folklore</w:t>
      </w:r>
      <w:r w:rsidR="00481D18">
        <w:rPr>
          <w:i/>
          <w:sz w:val="16"/>
          <w:szCs w:val="16"/>
        </w:rPr>
        <w:t>,</w:t>
      </w:r>
      <w:r w:rsidR="00B80CC4" w:rsidRPr="00481D18">
        <w:rPr>
          <w:i/>
          <w:sz w:val="16"/>
          <w:szCs w:val="16"/>
        </w:rPr>
        <w:t xml:space="preserve"> Welsh and Manx, </w:t>
      </w:r>
      <w:r w:rsidR="00B80CC4" w:rsidRPr="00481D18">
        <w:rPr>
          <w:sz w:val="16"/>
          <w:szCs w:val="16"/>
        </w:rPr>
        <w:t xml:space="preserve">Vol. 1. (Oxford, 1901), p. 3. </w:t>
      </w:r>
    </w:p>
  </w:footnote>
  <w:footnote w:id="7">
    <w:p w:rsidR="00AB0B40" w:rsidRPr="00481D18" w:rsidRDefault="00AB0B40" w:rsidP="00911478">
      <w:pPr>
        <w:shd w:val="clear" w:color="auto" w:fill="FFFFFF"/>
        <w:jc w:val="both"/>
        <w:rPr>
          <w:rFonts w:eastAsiaTheme="minorHAnsi"/>
          <w:sz w:val="16"/>
          <w:szCs w:val="16"/>
          <w:lang w:eastAsia="en-US"/>
        </w:rPr>
      </w:pPr>
      <w:r w:rsidRPr="00481D18">
        <w:rPr>
          <w:rStyle w:val="FootnoteReference"/>
          <w:rFonts w:eastAsiaTheme="majorEastAsia"/>
          <w:sz w:val="16"/>
          <w:szCs w:val="16"/>
        </w:rPr>
        <w:footnoteRef/>
      </w:r>
      <w:r w:rsidRPr="00481D18">
        <w:rPr>
          <w:sz w:val="16"/>
          <w:szCs w:val="16"/>
        </w:rPr>
        <w:t xml:space="preserve"> </w:t>
      </w:r>
      <w:r w:rsidRPr="00481D18">
        <w:rPr>
          <w:rFonts w:eastAsiaTheme="minorHAnsi"/>
          <w:sz w:val="16"/>
          <w:szCs w:val="16"/>
          <w:lang w:eastAsia="en-US"/>
        </w:rPr>
        <w:t xml:space="preserve">Rhŷs, </w:t>
      </w:r>
      <w:r w:rsidRPr="00481D18">
        <w:rPr>
          <w:rFonts w:eastAsiaTheme="minorHAnsi"/>
          <w:i/>
          <w:sz w:val="16"/>
          <w:szCs w:val="16"/>
          <w:lang w:eastAsia="en-US"/>
        </w:rPr>
        <w:t xml:space="preserve">Celtic Folklore, </w:t>
      </w:r>
      <w:r w:rsidRPr="00481D18">
        <w:rPr>
          <w:rFonts w:eastAsiaTheme="minorHAnsi"/>
          <w:sz w:val="16"/>
          <w:szCs w:val="16"/>
          <w:lang w:eastAsia="en-US"/>
        </w:rPr>
        <w:t>Vol. 1, p</w:t>
      </w:r>
      <w:r w:rsidRPr="00481D18">
        <w:rPr>
          <w:sz w:val="16"/>
          <w:szCs w:val="16"/>
        </w:rPr>
        <w:t>. 10.</w:t>
      </w:r>
    </w:p>
  </w:footnote>
  <w:footnote w:id="8">
    <w:p w:rsidR="00AB0B40" w:rsidRPr="00481D18" w:rsidRDefault="00AB0B40" w:rsidP="00911478">
      <w:pPr>
        <w:shd w:val="clear" w:color="auto" w:fill="FFFFFF"/>
        <w:jc w:val="both"/>
        <w:rPr>
          <w:rFonts w:eastAsiaTheme="minorHAnsi"/>
          <w:sz w:val="16"/>
          <w:szCs w:val="16"/>
          <w:lang w:eastAsia="en-US"/>
        </w:rPr>
      </w:pPr>
      <w:r w:rsidRPr="00481D18">
        <w:rPr>
          <w:rStyle w:val="FootnoteReference"/>
          <w:rFonts w:eastAsiaTheme="majorEastAsia"/>
          <w:sz w:val="16"/>
          <w:szCs w:val="16"/>
        </w:rPr>
        <w:footnoteRef/>
      </w:r>
      <w:r w:rsidRPr="00481D18">
        <w:rPr>
          <w:sz w:val="16"/>
          <w:szCs w:val="16"/>
        </w:rPr>
        <w:t xml:space="preserve"> </w:t>
      </w:r>
      <w:r w:rsidRPr="00481D18">
        <w:rPr>
          <w:rFonts w:eastAsiaTheme="minorHAnsi"/>
          <w:sz w:val="16"/>
          <w:szCs w:val="16"/>
          <w:lang w:eastAsia="en-US"/>
        </w:rPr>
        <w:t xml:space="preserve">Rhŷs, </w:t>
      </w:r>
      <w:r w:rsidRPr="00481D18">
        <w:rPr>
          <w:rFonts w:eastAsiaTheme="minorHAnsi"/>
          <w:i/>
          <w:sz w:val="16"/>
          <w:szCs w:val="16"/>
          <w:lang w:eastAsia="en-US"/>
        </w:rPr>
        <w:t xml:space="preserve">Celtic Folklore, </w:t>
      </w:r>
      <w:r w:rsidRPr="00481D18">
        <w:rPr>
          <w:rFonts w:eastAsiaTheme="minorHAnsi"/>
          <w:sz w:val="16"/>
          <w:szCs w:val="16"/>
          <w:lang w:eastAsia="en-US"/>
        </w:rPr>
        <w:t>Vol. 1, p</w:t>
      </w:r>
      <w:r w:rsidRPr="00481D18">
        <w:rPr>
          <w:sz w:val="16"/>
          <w:szCs w:val="16"/>
        </w:rPr>
        <w:t>. 11.</w:t>
      </w:r>
    </w:p>
  </w:footnote>
  <w:footnote w:id="9">
    <w:p w:rsidR="00EA0C05" w:rsidRPr="00481D18" w:rsidRDefault="00EA0C05" w:rsidP="00911478">
      <w:pPr>
        <w:jc w:val="both"/>
        <w:rPr>
          <w:sz w:val="16"/>
          <w:szCs w:val="16"/>
        </w:rPr>
      </w:pPr>
      <w:r w:rsidRPr="00481D18">
        <w:rPr>
          <w:rStyle w:val="FootnoteReference"/>
          <w:sz w:val="16"/>
          <w:szCs w:val="16"/>
        </w:rPr>
        <w:footnoteRef/>
      </w:r>
      <w:r w:rsidRPr="00481D18">
        <w:rPr>
          <w:sz w:val="16"/>
          <w:szCs w:val="16"/>
          <w:vertAlign w:val="superscript"/>
        </w:rPr>
        <w:t xml:space="preserve"> </w:t>
      </w:r>
      <w:r w:rsidR="00B80CC4" w:rsidRPr="00481D18">
        <w:rPr>
          <w:color w:val="000000"/>
          <w:sz w:val="16"/>
          <w:szCs w:val="16"/>
        </w:rPr>
        <w:t xml:space="preserve">C.G. Silver, </w:t>
      </w:r>
      <w:r w:rsidR="00B80CC4" w:rsidRPr="00481D18">
        <w:rPr>
          <w:i/>
          <w:color w:val="000000"/>
          <w:sz w:val="16"/>
          <w:szCs w:val="16"/>
        </w:rPr>
        <w:t xml:space="preserve">Strange and Secret Peoples: Fairies and Victorian Consciousness </w:t>
      </w:r>
      <w:r w:rsidR="00B80CC4" w:rsidRPr="00481D18">
        <w:rPr>
          <w:color w:val="000000"/>
          <w:sz w:val="16"/>
          <w:szCs w:val="16"/>
        </w:rPr>
        <w:t xml:space="preserve">(Oxford, 1999), p. 89. </w:t>
      </w:r>
    </w:p>
  </w:footnote>
  <w:footnote w:id="10">
    <w:p w:rsidR="00EA0C05" w:rsidRPr="00481D18" w:rsidRDefault="00EA0C05" w:rsidP="00911478">
      <w:pPr>
        <w:jc w:val="both"/>
        <w:rPr>
          <w:sz w:val="16"/>
          <w:szCs w:val="16"/>
        </w:rPr>
      </w:pPr>
      <w:r w:rsidRPr="00481D18">
        <w:rPr>
          <w:rStyle w:val="FootnoteReference"/>
          <w:sz w:val="16"/>
          <w:szCs w:val="16"/>
        </w:rPr>
        <w:footnoteRef/>
      </w:r>
      <w:r w:rsidR="003924A3" w:rsidRPr="00481D18">
        <w:rPr>
          <w:sz w:val="16"/>
          <w:szCs w:val="16"/>
          <w:vertAlign w:val="superscript"/>
        </w:rPr>
        <w:t xml:space="preserve"> </w:t>
      </w:r>
      <w:r w:rsidR="003924A3" w:rsidRPr="00481D18">
        <w:rPr>
          <w:sz w:val="16"/>
          <w:szCs w:val="16"/>
        </w:rPr>
        <w:t xml:space="preserve">J.F.C. Harrison, </w:t>
      </w:r>
      <w:r w:rsidR="003924A3" w:rsidRPr="00481D18">
        <w:rPr>
          <w:i/>
          <w:sz w:val="16"/>
          <w:szCs w:val="16"/>
        </w:rPr>
        <w:t>Late Victorian Britain 1875-1901</w:t>
      </w:r>
      <w:r w:rsidR="003924A3" w:rsidRPr="00481D18">
        <w:rPr>
          <w:sz w:val="16"/>
          <w:szCs w:val="16"/>
        </w:rPr>
        <w:t xml:space="preserve"> (London, 1991), p. 157. </w:t>
      </w:r>
    </w:p>
  </w:footnote>
  <w:footnote w:id="11">
    <w:p w:rsidR="00EA0C05" w:rsidRPr="00481D18" w:rsidRDefault="00EA0C05" w:rsidP="00911478">
      <w:pPr>
        <w:jc w:val="both"/>
        <w:rPr>
          <w:sz w:val="16"/>
          <w:szCs w:val="16"/>
        </w:rPr>
      </w:pPr>
      <w:r w:rsidRPr="00481D18">
        <w:rPr>
          <w:rStyle w:val="FootnoteReference"/>
          <w:sz w:val="16"/>
          <w:szCs w:val="16"/>
        </w:rPr>
        <w:footnoteRef/>
      </w:r>
      <w:r w:rsidRPr="00481D18">
        <w:rPr>
          <w:sz w:val="16"/>
          <w:szCs w:val="16"/>
          <w:vertAlign w:val="superscript"/>
        </w:rPr>
        <w:t xml:space="preserve"> </w:t>
      </w:r>
      <w:r w:rsidR="003924A3" w:rsidRPr="00481D18">
        <w:rPr>
          <w:sz w:val="16"/>
          <w:szCs w:val="16"/>
        </w:rPr>
        <w:t xml:space="preserve">N. Bown, </w:t>
      </w:r>
      <w:r w:rsidR="003924A3" w:rsidRPr="00481D18">
        <w:rPr>
          <w:i/>
          <w:sz w:val="16"/>
          <w:szCs w:val="16"/>
        </w:rPr>
        <w:t>Fairies in Nineteenth-Century Art and Literature</w:t>
      </w:r>
      <w:r w:rsidR="003924A3" w:rsidRPr="00481D18">
        <w:rPr>
          <w:sz w:val="16"/>
          <w:szCs w:val="16"/>
        </w:rPr>
        <w:t xml:space="preserve"> (Cambridge, 2006), p. 14. </w:t>
      </w:r>
    </w:p>
  </w:footnote>
  <w:footnote w:id="12">
    <w:p w:rsidR="00EA0C05" w:rsidRPr="00481D18" w:rsidRDefault="00EA0C05" w:rsidP="00911478">
      <w:pPr>
        <w:jc w:val="both"/>
        <w:rPr>
          <w:sz w:val="16"/>
          <w:szCs w:val="16"/>
          <w:shd w:val="clear" w:color="auto" w:fill="CCCCDD"/>
        </w:rPr>
      </w:pPr>
      <w:r w:rsidRPr="00481D18">
        <w:rPr>
          <w:rStyle w:val="FootnoteReference"/>
          <w:sz w:val="16"/>
          <w:szCs w:val="16"/>
        </w:rPr>
        <w:footnoteRef/>
      </w:r>
      <w:r w:rsidR="00B80CC4" w:rsidRPr="00481D18">
        <w:rPr>
          <w:sz w:val="16"/>
          <w:szCs w:val="16"/>
        </w:rPr>
        <w:t xml:space="preserve"> Silver, </w:t>
      </w:r>
      <w:r w:rsidR="00B80CC4" w:rsidRPr="00481D18">
        <w:rPr>
          <w:i/>
          <w:sz w:val="16"/>
          <w:szCs w:val="16"/>
        </w:rPr>
        <w:t>Secret Peoples</w:t>
      </w:r>
      <w:r w:rsidR="00B80CC4" w:rsidRPr="00481D18">
        <w:rPr>
          <w:sz w:val="16"/>
          <w:szCs w:val="16"/>
        </w:rPr>
        <w:t xml:space="preserve">, p.90. </w:t>
      </w:r>
    </w:p>
  </w:footnote>
  <w:footnote w:id="13">
    <w:p w:rsidR="00EA0C05" w:rsidRPr="00481D18" w:rsidRDefault="00EA0C05" w:rsidP="00911478">
      <w:pPr>
        <w:jc w:val="both"/>
        <w:rPr>
          <w:sz w:val="16"/>
          <w:szCs w:val="16"/>
          <w:shd w:val="clear" w:color="auto" w:fill="CCCCDD"/>
        </w:rPr>
      </w:pPr>
      <w:r w:rsidRPr="00481D18">
        <w:rPr>
          <w:rStyle w:val="FootnoteReference"/>
          <w:sz w:val="16"/>
          <w:szCs w:val="16"/>
        </w:rPr>
        <w:footnoteRef/>
      </w:r>
      <w:r w:rsidRPr="00481D18">
        <w:rPr>
          <w:sz w:val="16"/>
          <w:szCs w:val="16"/>
          <w:vertAlign w:val="superscript"/>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 xml:space="preserve">94. </w:t>
      </w:r>
    </w:p>
  </w:footnote>
  <w:footnote w:id="14">
    <w:p w:rsidR="00EA0C05" w:rsidRPr="00481D18" w:rsidRDefault="00EA0C05" w:rsidP="00911478">
      <w:pPr>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3924A3" w:rsidRPr="00481D18">
        <w:rPr>
          <w:sz w:val="16"/>
          <w:szCs w:val="16"/>
        </w:rPr>
        <w:t xml:space="preserve">J. Harte, </w:t>
      </w:r>
      <w:r w:rsidR="003924A3" w:rsidRPr="00481D18">
        <w:rPr>
          <w:i/>
          <w:sz w:val="16"/>
          <w:szCs w:val="16"/>
        </w:rPr>
        <w:t>Explore Fairy Traditions</w:t>
      </w:r>
      <w:r w:rsidR="003924A3" w:rsidRPr="00481D18">
        <w:rPr>
          <w:sz w:val="16"/>
          <w:szCs w:val="16"/>
        </w:rPr>
        <w:t xml:space="preserve"> (Marlborough, 2004), p. 57.</w:t>
      </w:r>
    </w:p>
  </w:footnote>
  <w:footnote w:id="15">
    <w:p w:rsidR="00EA0C05" w:rsidRPr="00481D18" w:rsidRDefault="00EA0C05" w:rsidP="00911478">
      <w:pPr>
        <w:jc w:val="both"/>
        <w:rPr>
          <w:sz w:val="16"/>
          <w:szCs w:val="16"/>
        </w:rPr>
      </w:pPr>
      <w:r w:rsidRPr="00481D18">
        <w:rPr>
          <w:rStyle w:val="FootnoteReference"/>
          <w:sz w:val="16"/>
          <w:szCs w:val="16"/>
        </w:rPr>
        <w:footnoteRef/>
      </w:r>
      <w:r w:rsidR="003924A3" w:rsidRPr="00481D18">
        <w:rPr>
          <w:sz w:val="16"/>
          <w:szCs w:val="16"/>
          <w:vertAlign w:val="superscript"/>
        </w:rPr>
        <w:t xml:space="preserve"> </w:t>
      </w:r>
      <w:r w:rsidR="003924A3" w:rsidRPr="00481D18">
        <w:rPr>
          <w:sz w:val="16"/>
          <w:szCs w:val="16"/>
        </w:rPr>
        <w:t xml:space="preserve">D. Purkiss, </w:t>
      </w:r>
      <w:r w:rsidR="003924A3" w:rsidRPr="00481D18">
        <w:rPr>
          <w:i/>
          <w:sz w:val="16"/>
          <w:szCs w:val="16"/>
        </w:rPr>
        <w:t>Fairies and Fairy Stories: A History</w:t>
      </w:r>
      <w:r w:rsidR="003924A3" w:rsidRPr="00481D18">
        <w:rPr>
          <w:rStyle w:val="FootnoteReference"/>
          <w:sz w:val="16"/>
          <w:szCs w:val="16"/>
          <w:vertAlign w:val="baseline"/>
        </w:rPr>
        <w:t xml:space="preserve"> (Stroud, 2007)</w:t>
      </w:r>
      <w:r w:rsidR="00481D18">
        <w:rPr>
          <w:sz w:val="16"/>
          <w:szCs w:val="16"/>
        </w:rPr>
        <w:t>,</w:t>
      </w:r>
      <w:r w:rsidR="003924A3" w:rsidRPr="00481D18">
        <w:rPr>
          <w:sz w:val="16"/>
          <w:szCs w:val="16"/>
        </w:rPr>
        <w:t xml:space="preserve"> p.</w:t>
      </w:r>
      <w:r w:rsidR="00481D18">
        <w:rPr>
          <w:sz w:val="16"/>
          <w:szCs w:val="16"/>
        </w:rPr>
        <w:t xml:space="preserve"> </w:t>
      </w:r>
      <w:r w:rsidR="003924A3" w:rsidRPr="00481D18">
        <w:rPr>
          <w:sz w:val="16"/>
          <w:szCs w:val="16"/>
        </w:rPr>
        <w:t xml:space="preserve">274. </w:t>
      </w:r>
    </w:p>
  </w:footnote>
  <w:footnote w:id="16">
    <w:p w:rsidR="00EA0C05" w:rsidRPr="00481D18" w:rsidRDefault="00EA0C05" w:rsidP="00911478">
      <w:pPr>
        <w:jc w:val="both"/>
        <w:rPr>
          <w:sz w:val="16"/>
          <w:szCs w:val="16"/>
          <w:shd w:val="clear" w:color="auto" w:fill="CCCCDD"/>
        </w:rPr>
      </w:pPr>
      <w:r w:rsidRPr="00481D18">
        <w:rPr>
          <w:rStyle w:val="FootnoteReference"/>
          <w:sz w:val="16"/>
          <w:szCs w:val="16"/>
        </w:rPr>
        <w:footnoteRef/>
      </w:r>
      <w:r w:rsidRPr="00481D18">
        <w:rPr>
          <w:sz w:val="16"/>
          <w:szCs w:val="16"/>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 xml:space="preserve">183. </w:t>
      </w:r>
    </w:p>
  </w:footnote>
  <w:footnote w:id="17">
    <w:p w:rsidR="00EA0C05" w:rsidRPr="00481D18" w:rsidRDefault="00EA0C05" w:rsidP="00911478">
      <w:pPr>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3924A3" w:rsidRPr="00481D18">
        <w:rPr>
          <w:sz w:val="16"/>
          <w:szCs w:val="16"/>
        </w:rPr>
        <w:t xml:space="preserve">C.G. Silver, ‘East of the Sun and West of the Moon’: Victorians and Fairy Brides’, </w:t>
      </w:r>
      <w:r w:rsidR="003924A3" w:rsidRPr="00481D18">
        <w:rPr>
          <w:i/>
          <w:sz w:val="16"/>
          <w:szCs w:val="16"/>
        </w:rPr>
        <w:t>Tulsa Studies in Women's Literature</w:t>
      </w:r>
      <w:r w:rsidR="003924A3" w:rsidRPr="00481D18">
        <w:rPr>
          <w:sz w:val="16"/>
          <w:szCs w:val="16"/>
        </w:rPr>
        <w:t xml:space="preserve"> 6 (1987), 283.</w:t>
      </w:r>
    </w:p>
  </w:footnote>
  <w:footnote w:id="18">
    <w:p w:rsidR="00EA0C05" w:rsidRPr="00481D18" w:rsidRDefault="00EA0C05" w:rsidP="00911478">
      <w:pPr>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3924A3" w:rsidRPr="00481D18">
        <w:rPr>
          <w:sz w:val="16"/>
          <w:szCs w:val="16"/>
        </w:rPr>
        <w:t xml:space="preserve">Nutt, </w:t>
      </w:r>
      <w:r w:rsidR="003924A3" w:rsidRPr="00481D18">
        <w:rPr>
          <w:i/>
          <w:sz w:val="16"/>
          <w:szCs w:val="16"/>
        </w:rPr>
        <w:t xml:space="preserve">Holy Grail, </w:t>
      </w:r>
      <w:r w:rsidR="003924A3" w:rsidRPr="00481D18">
        <w:rPr>
          <w:sz w:val="16"/>
          <w:szCs w:val="16"/>
        </w:rPr>
        <w:t>p.</w:t>
      </w:r>
      <w:r w:rsidR="00481D18">
        <w:rPr>
          <w:sz w:val="16"/>
          <w:szCs w:val="16"/>
        </w:rPr>
        <w:t xml:space="preserve"> </w:t>
      </w:r>
      <w:r w:rsidR="003924A3" w:rsidRPr="00481D18">
        <w:rPr>
          <w:sz w:val="16"/>
          <w:szCs w:val="16"/>
        </w:rPr>
        <w:t xml:space="preserve">232. </w:t>
      </w:r>
    </w:p>
  </w:footnote>
  <w:footnote w:id="19">
    <w:p w:rsidR="00EA0C05" w:rsidRPr="00481D18" w:rsidRDefault="00EA0C05" w:rsidP="00911478">
      <w:pPr>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3924A3" w:rsidRPr="00481D18">
        <w:rPr>
          <w:sz w:val="16"/>
          <w:szCs w:val="16"/>
        </w:rPr>
        <w:t xml:space="preserve">Nutt, </w:t>
      </w:r>
      <w:r w:rsidR="003924A3" w:rsidRPr="00481D18">
        <w:rPr>
          <w:i/>
          <w:sz w:val="16"/>
          <w:szCs w:val="16"/>
        </w:rPr>
        <w:t xml:space="preserve">Holy Grail, </w:t>
      </w:r>
      <w:r w:rsidR="003924A3" w:rsidRPr="00481D18">
        <w:rPr>
          <w:sz w:val="16"/>
          <w:szCs w:val="16"/>
        </w:rPr>
        <w:t>p.</w:t>
      </w:r>
      <w:r w:rsidR="00481D18">
        <w:rPr>
          <w:sz w:val="16"/>
          <w:szCs w:val="16"/>
        </w:rPr>
        <w:t xml:space="preserve"> </w:t>
      </w:r>
      <w:r w:rsidR="003924A3" w:rsidRPr="00481D18">
        <w:rPr>
          <w:sz w:val="16"/>
          <w:szCs w:val="16"/>
        </w:rPr>
        <w:t xml:space="preserve">232. </w:t>
      </w:r>
    </w:p>
  </w:footnote>
  <w:footnote w:id="20">
    <w:p w:rsidR="00EA0C05" w:rsidRPr="00481D18" w:rsidRDefault="00EA0C05" w:rsidP="00911478">
      <w:pPr>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3924A3" w:rsidRPr="00481D18">
        <w:rPr>
          <w:sz w:val="16"/>
          <w:szCs w:val="16"/>
        </w:rPr>
        <w:t xml:space="preserve">Nutt, </w:t>
      </w:r>
      <w:r w:rsidR="003924A3" w:rsidRPr="00481D18">
        <w:rPr>
          <w:i/>
          <w:sz w:val="16"/>
          <w:szCs w:val="16"/>
        </w:rPr>
        <w:t xml:space="preserve">Holy Grail, </w:t>
      </w:r>
      <w:r w:rsidR="003924A3" w:rsidRPr="00481D18">
        <w:rPr>
          <w:sz w:val="16"/>
          <w:szCs w:val="16"/>
        </w:rPr>
        <w:t>p.</w:t>
      </w:r>
      <w:r w:rsidR="00481D18">
        <w:rPr>
          <w:sz w:val="16"/>
          <w:szCs w:val="16"/>
        </w:rPr>
        <w:t xml:space="preserve"> </w:t>
      </w:r>
      <w:r w:rsidR="003924A3" w:rsidRPr="00481D18">
        <w:rPr>
          <w:sz w:val="16"/>
          <w:szCs w:val="16"/>
        </w:rPr>
        <w:t xml:space="preserve">232. </w:t>
      </w:r>
    </w:p>
  </w:footnote>
  <w:footnote w:id="21">
    <w:p w:rsidR="00EA0C05" w:rsidRPr="00481D18" w:rsidRDefault="00EA0C05" w:rsidP="00911478">
      <w:pPr>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56499D" w:rsidRPr="00481D18">
        <w:rPr>
          <w:sz w:val="16"/>
          <w:szCs w:val="16"/>
        </w:rPr>
        <w:t xml:space="preserve">Nutt, </w:t>
      </w:r>
      <w:r w:rsidR="0056499D" w:rsidRPr="00481D18">
        <w:rPr>
          <w:i/>
          <w:sz w:val="16"/>
          <w:szCs w:val="16"/>
        </w:rPr>
        <w:t xml:space="preserve">Holy Grail, </w:t>
      </w:r>
      <w:r w:rsidR="0056499D" w:rsidRPr="00481D18">
        <w:rPr>
          <w:sz w:val="16"/>
          <w:szCs w:val="16"/>
        </w:rPr>
        <w:t>p.</w:t>
      </w:r>
      <w:r w:rsidR="00481D18">
        <w:rPr>
          <w:sz w:val="16"/>
          <w:szCs w:val="16"/>
        </w:rPr>
        <w:t xml:space="preserve"> </w:t>
      </w:r>
      <w:r w:rsidR="0056499D" w:rsidRPr="00481D18">
        <w:rPr>
          <w:sz w:val="16"/>
          <w:szCs w:val="16"/>
        </w:rPr>
        <w:t xml:space="preserve">232. </w:t>
      </w:r>
    </w:p>
  </w:footnote>
  <w:footnote w:id="22">
    <w:p w:rsidR="00EA0C05" w:rsidRPr="00481D18" w:rsidRDefault="00EA0C05" w:rsidP="00911478">
      <w:pPr>
        <w:pStyle w:val="FootnoteText"/>
        <w:jc w:val="both"/>
        <w:rPr>
          <w:sz w:val="16"/>
          <w:szCs w:val="16"/>
        </w:rPr>
      </w:pPr>
      <w:r w:rsidRPr="00481D18">
        <w:rPr>
          <w:rStyle w:val="FootnoteReference"/>
          <w:sz w:val="16"/>
          <w:szCs w:val="16"/>
        </w:rPr>
        <w:footnoteRef/>
      </w:r>
      <w:r w:rsidR="00481D18" w:rsidRPr="00481D18">
        <w:rPr>
          <w:sz w:val="16"/>
          <w:szCs w:val="16"/>
          <w:vertAlign w:val="superscript"/>
        </w:rPr>
        <w:t xml:space="preserve"> </w:t>
      </w:r>
      <w:r w:rsidR="003924A3" w:rsidRPr="00481D18">
        <w:rPr>
          <w:sz w:val="16"/>
          <w:szCs w:val="16"/>
        </w:rPr>
        <w:t xml:space="preserve">Harrison, </w:t>
      </w:r>
      <w:r w:rsidR="003924A3" w:rsidRPr="00481D18">
        <w:rPr>
          <w:i/>
          <w:sz w:val="16"/>
          <w:szCs w:val="16"/>
        </w:rPr>
        <w:t xml:space="preserve">Late Victorian Britain, </w:t>
      </w:r>
      <w:r w:rsidR="003924A3" w:rsidRPr="00481D18">
        <w:rPr>
          <w:sz w:val="16"/>
          <w:szCs w:val="16"/>
        </w:rPr>
        <w:t>p. 169.</w:t>
      </w:r>
    </w:p>
  </w:footnote>
  <w:footnote w:id="23">
    <w:p w:rsidR="00EA0C05" w:rsidRPr="00481D18" w:rsidRDefault="00EA0C05" w:rsidP="00911478">
      <w:pPr>
        <w:jc w:val="both"/>
        <w:rPr>
          <w:sz w:val="16"/>
          <w:szCs w:val="16"/>
          <w:shd w:val="clear" w:color="auto" w:fill="CCCCDD"/>
        </w:rPr>
      </w:pPr>
      <w:r w:rsidRPr="00481D18">
        <w:rPr>
          <w:rStyle w:val="FootnoteReference"/>
          <w:sz w:val="16"/>
          <w:szCs w:val="16"/>
        </w:rPr>
        <w:footnoteRef/>
      </w:r>
      <w:r w:rsidRPr="00481D18">
        <w:rPr>
          <w:sz w:val="16"/>
          <w:szCs w:val="16"/>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 xml:space="preserve">102. </w:t>
      </w:r>
    </w:p>
  </w:footnote>
  <w:footnote w:id="24">
    <w:p w:rsidR="00EA0C05" w:rsidRPr="00481D18" w:rsidRDefault="00EA0C05" w:rsidP="00911478">
      <w:pPr>
        <w:jc w:val="both"/>
        <w:rPr>
          <w:sz w:val="16"/>
          <w:szCs w:val="16"/>
        </w:rPr>
      </w:pPr>
      <w:r w:rsidRPr="00481D18">
        <w:rPr>
          <w:rStyle w:val="FootnoteReference"/>
          <w:sz w:val="16"/>
          <w:szCs w:val="16"/>
        </w:rPr>
        <w:footnoteRef/>
      </w:r>
      <w:r w:rsidR="0056499D" w:rsidRPr="00481D18">
        <w:rPr>
          <w:sz w:val="16"/>
          <w:szCs w:val="16"/>
        </w:rPr>
        <w:t xml:space="preserve"> E.S. Hartland, </w:t>
      </w:r>
      <w:r w:rsidR="0056499D" w:rsidRPr="00481D18">
        <w:rPr>
          <w:i/>
          <w:sz w:val="16"/>
          <w:szCs w:val="16"/>
        </w:rPr>
        <w:t>The Science of Fairy Tales: an Inquiry into Fairy Mythology</w:t>
      </w:r>
      <w:r w:rsidR="0056499D" w:rsidRPr="00481D18">
        <w:rPr>
          <w:sz w:val="16"/>
          <w:szCs w:val="16"/>
        </w:rPr>
        <w:t xml:space="preserve"> (London, 1891), p. 258.</w:t>
      </w:r>
    </w:p>
  </w:footnote>
  <w:footnote w:id="25">
    <w:p w:rsidR="00EA0C05" w:rsidRPr="00481D18" w:rsidRDefault="00EA0C05" w:rsidP="00911478">
      <w:pPr>
        <w:tabs>
          <w:tab w:val="left" w:pos="851"/>
        </w:tabs>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Pr="00481D18">
        <w:rPr>
          <w:sz w:val="16"/>
          <w:szCs w:val="16"/>
        </w:rPr>
        <w:t>258</w:t>
      </w:r>
      <w:r w:rsidR="0056499D" w:rsidRPr="00481D18">
        <w:rPr>
          <w:sz w:val="16"/>
          <w:szCs w:val="16"/>
        </w:rPr>
        <w:t>.</w:t>
      </w:r>
    </w:p>
  </w:footnote>
  <w:footnote w:id="26">
    <w:p w:rsidR="00EA0C05" w:rsidRPr="00481D18" w:rsidRDefault="00EA0C05"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 82.</w:t>
      </w:r>
    </w:p>
  </w:footnote>
  <w:footnote w:id="27">
    <w:p w:rsidR="00EA0C05" w:rsidRPr="00481D18" w:rsidRDefault="00EA0C05" w:rsidP="0091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C. Wood, </w:t>
      </w:r>
      <w:r w:rsidR="0056499D" w:rsidRPr="00481D18">
        <w:rPr>
          <w:i/>
          <w:sz w:val="16"/>
          <w:szCs w:val="16"/>
        </w:rPr>
        <w:t xml:space="preserve">Fairies in Victorian Art </w:t>
      </w:r>
      <w:r w:rsidR="0056499D" w:rsidRPr="00481D18">
        <w:rPr>
          <w:sz w:val="16"/>
          <w:szCs w:val="16"/>
        </w:rPr>
        <w:t>(Woodbridge, 2001), p.</w:t>
      </w:r>
      <w:r w:rsidR="00481D18">
        <w:rPr>
          <w:sz w:val="16"/>
          <w:szCs w:val="16"/>
        </w:rPr>
        <w:t xml:space="preserve"> </w:t>
      </w:r>
      <w:r w:rsidRPr="00481D18">
        <w:rPr>
          <w:sz w:val="16"/>
          <w:szCs w:val="16"/>
        </w:rPr>
        <w:t>47</w:t>
      </w:r>
      <w:r w:rsidR="0056499D" w:rsidRPr="00481D18">
        <w:rPr>
          <w:sz w:val="16"/>
          <w:szCs w:val="16"/>
        </w:rPr>
        <w:t>.</w:t>
      </w:r>
    </w:p>
  </w:footnote>
  <w:footnote w:id="28">
    <w:p w:rsidR="00EA0C05" w:rsidRPr="00481D18" w:rsidRDefault="00EA0C05" w:rsidP="0091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481D18">
        <w:rPr>
          <w:rStyle w:val="FootnoteReference"/>
          <w:sz w:val="16"/>
          <w:szCs w:val="16"/>
        </w:rPr>
        <w:footnoteRef/>
      </w:r>
      <w:r w:rsidRPr="00481D18">
        <w:rPr>
          <w:sz w:val="16"/>
          <w:szCs w:val="16"/>
          <w:vertAlign w:val="superscript"/>
        </w:rPr>
        <w:t xml:space="preserve"> </w:t>
      </w:r>
      <w:r w:rsidR="0056499D" w:rsidRPr="00481D18">
        <w:rPr>
          <w:sz w:val="16"/>
          <w:szCs w:val="16"/>
        </w:rPr>
        <w:t xml:space="preserve">Wood, </w:t>
      </w:r>
      <w:r w:rsidR="0056499D" w:rsidRPr="00481D18">
        <w:rPr>
          <w:i/>
          <w:sz w:val="16"/>
          <w:szCs w:val="16"/>
        </w:rPr>
        <w:t xml:space="preserve">Victorian Art, </w:t>
      </w:r>
      <w:r w:rsidR="0056499D" w:rsidRPr="00481D18">
        <w:rPr>
          <w:sz w:val="16"/>
          <w:szCs w:val="16"/>
        </w:rPr>
        <w:t>p.</w:t>
      </w:r>
      <w:r w:rsidRPr="00481D18">
        <w:rPr>
          <w:sz w:val="16"/>
          <w:szCs w:val="16"/>
        </w:rPr>
        <w:t>128</w:t>
      </w:r>
      <w:r w:rsidR="0056499D" w:rsidRPr="00481D18">
        <w:rPr>
          <w:sz w:val="16"/>
          <w:szCs w:val="16"/>
        </w:rPr>
        <w:t>.</w:t>
      </w:r>
    </w:p>
  </w:footnote>
  <w:footnote w:id="29">
    <w:p w:rsidR="009E2310" w:rsidRPr="00481D18" w:rsidRDefault="009E2310"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E. B. Tylor, </w:t>
      </w:r>
      <w:r w:rsidR="0056499D" w:rsidRPr="00481D18">
        <w:rPr>
          <w:i/>
          <w:sz w:val="16"/>
          <w:szCs w:val="16"/>
        </w:rPr>
        <w:t xml:space="preserve">Primitive Culture, </w:t>
      </w:r>
      <w:r w:rsidR="0056499D" w:rsidRPr="00481D18">
        <w:rPr>
          <w:sz w:val="16"/>
          <w:szCs w:val="16"/>
        </w:rPr>
        <w:t>2 vols. (London, 1903).</w:t>
      </w:r>
    </w:p>
  </w:footnote>
  <w:footnote w:id="30">
    <w:p w:rsidR="00EA0C05" w:rsidRPr="00481D18" w:rsidRDefault="00EA0C05"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320.</w:t>
      </w:r>
      <w:r w:rsidRPr="00481D18">
        <w:rPr>
          <w:sz w:val="16"/>
          <w:szCs w:val="16"/>
        </w:rPr>
        <w:t xml:space="preserve"> </w:t>
      </w:r>
    </w:p>
  </w:footnote>
  <w:footnote w:id="31">
    <w:p w:rsidR="00EA0C05" w:rsidRPr="00481D18" w:rsidRDefault="00EA0C05"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pp.</w:t>
      </w:r>
      <w:r w:rsidR="00481D18">
        <w:rPr>
          <w:sz w:val="16"/>
          <w:szCs w:val="16"/>
        </w:rPr>
        <w:t xml:space="preserve"> </w:t>
      </w:r>
      <w:r w:rsidRPr="00481D18">
        <w:rPr>
          <w:sz w:val="16"/>
          <w:szCs w:val="16"/>
        </w:rPr>
        <w:t>290-291</w:t>
      </w:r>
      <w:r w:rsidR="0056499D" w:rsidRPr="00481D18">
        <w:rPr>
          <w:sz w:val="16"/>
          <w:szCs w:val="16"/>
        </w:rPr>
        <w:t>.</w:t>
      </w:r>
    </w:p>
  </w:footnote>
  <w:footnote w:id="32">
    <w:p w:rsidR="00EA0C05" w:rsidRPr="00481D18" w:rsidRDefault="00EA0C05"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291.</w:t>
      </w:r>
    </w:p>
  </w:footnote>
  <w:footnote w:id="33">
    <w:p w:rsidR="00EA0C05" w:rsidRPr="00481D18" w:rsidRDefault="00EA0C05" w:rsidP="00911478">
      <w:pPr>
        <w:jc w:val="both"/>
        <w:rPr>
          <w:sz w:val="16"/>
          <w:szCs w:val="16"/>
          <w:shd w:val="clear" w:color="auto" w:fill="CCCCDD"/>
        </w:rPr>
      </w:pPr>
      <w:r w:rsidRPr="00481D18">
        <w:rPr>
          <w:rStyle w:val="FootnoteReference"/>
          <w:sz w:val="16"/>
          <w:szCs w:val="16"/>
        </w:rPr>
        <w:footnoteRef/>
      </w:r>
      <w:r w:rsidR="00B80CC4" w:rsidRPr="00481D18">
        <w:rPr>
          <w:sz w:val="16"/>
          <w:szCs w:val="16"/>
        </w:rPr>
        <w:t xml:space="preserve"> 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 xml:space="preserve">94. </w:t>
      </w:r>
    </w:p>
  </w:footnote>
  <w:footnote w:id="34">
    <w:p w:rsidR="00EA0C05" w:rsidRPr="00481D18" w:rsidRDefault="00EA0C05" w:rsidP="00911478">
      <w:pPr>
        <w:tabs>
          <w:tab w:val="left" w:pos="142"/>
          <w:tab w:val="left" w:pos="851"/>
        </w:tabs>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Pr="00481D18">
        <w:rPr>
          <w:sz w:val="16"/>
          <w:szCs w:val="16"/>
        </w:rPr>
        <w:t>331</w:t>
      </w:r>
      <w:r w:rsidR="0056499D" w:rsidRPr="00481D18">
        <w:rPr>
          <w:sz w:val="16"/>
          <w:szCs w:val="16"/>
        </w:rPr>
        <w:t>.</w:t>
      </w:r>
    </w:p>
  </w:footnote>
  <w:footnote w:id="35">
    <w:p w:rsidR="00EA0C05" w:rsidRPr="00481D18" w:rsidRDefault="00EA0C05" w:rsidP="00911478">
      <w:pPr>
        <w:tabs>
          <w:tab w:val="left" w:pos="142"/>
          <w:tab w:val="left" w:pos="851"/>
        </w:tabs>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306.</w:t>
      </w:r>
    </w:p>
  </w:footnote>
  <w:footnote w:id="36">
    <w:p w:rsidR="00EA0C05" w:rsidRPr="00481D18" w:rsidRDefault="00EA0C05" w:rsidP="00911478">
      <w:pPr>
        <w:tabs>
          <w:tab w:val="left" w:pos="142"/>
          <w:tab w:val="left" w:pos="851"/>
        </w:tabs>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311.</w:t>
      </w:r>
    </w:p>
  </w:footnote>
  <w:footnote w:id="37">
    <w:p w:rsidR="00EA0C05" w:rsidRPr="00481D18" w:rsidRDefault="00EA0C05" w:rsidP="00911478">
      <w:pPr>
        <w:tabs>
          <w:tab w:val="left" w:pos="142"/>
          <w:tab w:val="left" w:pos="851"/>
        </w:tabs>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311.</w:t>
      </w:r>
    </w:p>
  </w:footnote>
  <w:footnote w:id="38">
    <w:p w:rsidR="00EA0C05" w:rsidRPr="00481D18" w:rsidRDefault="00EA0C05" w:rsidP="00911478">
      <w:pPr>
        <w:pStyle w:val="FootnoteText"/>
        <w:jc w:val="both"/>
        <w:rPr>
          <w:sz w:val="16"/>
          <w:szCs w:val="16"/>
        </w:rPr>
      </w:pPr>
      <w:r w:rsidRPr="00481D18">
        <w:rPr>
          <w:rStyle w:val="FootnoteReference"/>
          <w:sz w:val="16"/>
          <w:szCs w:val="16"/>
        </w:rPr>
        <w:footnoteRef/>
      </w:r>
      <w:r w:rsidRPr="00481D18">
        <w:rPr>
          <w:sz w:val="16"/>
          <w:szCs w:val="16"/>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103.</w:t>
      </w:r>
    </w:p>
  </w:footnote>
  <w:footnote w:id="39">
    <w:p w:rsidR="00EA0C05" w:rsidRPr="00481D18" w:rsidRDefault="00EA0C05" w:rsidP="00911478">
      <w:pPr>
        <w:pStyle w:val="FootnoteText"/>
        <w:jc w:val="both"/>
        <w:rPr>
          <w:sz w:val="16"/>
          <w:szCs w:val="16"/>
        </w:rPr>
      </w:pPr>
      <w:r w:rsidRPr="00481D18">
        <w:rPr>
          <w:rStyle w:val="FootnoteReference"/>
          <w:rFonts w:eastAsiaTheme="majorEastAsia"/>
          <w:sz w:val="16"/>
          <w:szCs w:val="16"/>
        </w:rPr>
        <w:footnoteRef/>
      </w:r>
      <w:r w:rsidRPr="00481D18">
        <w:rPr>
          <w:sz w:val="16"/>
          <w:szCs w:val="16"/>
        </w:rPr>
        <w:t xml:space="preserve"> </w:t>
      </w:r>
      <w:r w:rsidR="003924A3" w:rsidRPr="00481D18">
        <w:rPr>
          <w:sz w:val="16"/>
          <w:szCs w:val="16"/>
        </w:rPr>
        <w:t xml:space="preserve">Harte, </w:t>
      </w:r>
      <w:r w:rsidR="003924A3" w:rsidRPr="00481D18">
        <w:rPr>
          <w:i/>
          <w:sz w:val="16"/>
          <w:szCs w:val="16"/>
        </w:rPr>
        <w:t>Explore Fairy Traditions</w:t>
      </w:r>
      <w:r w:rsidR="003924A3" w:rsidRPr="00481D18">
        <w:rPr>
          <w:sz w:val="16"/>
          <w:szCs w:val="16"/>
        </w:rPr>
        <w:t xml:space="preserve">, p. 57. </w:t>
      </w:r>
    </w:p>
  </w:footnote>
  <w:footnote w:id="40">
    <w:p w:rsidR="00EA0C05" w:rsidRPr="00481D18" w:rsidRDefault="00EA0C05" w:rsidP="00911478">
      <w:pPr>
        <w:jc w:val="both"/>
        <w:rPr>
          <w:sz w:val="16"/>
          <w:szCs w:val="16"/>
          <w:shd w:val="clear" w:color="auto" w:fill="CCCCDD"/>
        </w:rPr>
      </w:pPr>
      <w:r w:rsidRPr="00481D18">
        <w:rPr>
          <w:rStyle w:val="FootnoteReference"/>
          <w:sz w:val="16"/>
          <w:szCs w:val="16"/>
        </w:rPr>
        <w:footnoteRef/>
      </w:r>
      <w:r w:rsidR="00B80CC4" w:rsidRPr="00481D18">
        <w:rPr>
          <w:sz w:val="16"/>
          <w:szCs w:val="16"/>
          <w:vertAlign w:val="superscript"/>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p.104.</w:t>
      </w:r>
    </w:p>
  </w:footnote>
  <w:footnote w:id="41">
    <w:p w:rsidR="00EA0C05" w:rsidRPr="00481D18" w:rsidRDefault="00EA0C05" w:rsidP="00911478">
      <w:pPr>
        <w:jc w:val="both"/>
        <w:rPr>
          <w:sz w:val="16"/>
          <w:szCs w:val="16"/>
        </w:rPr>
      </w:pPr>
      <w:r w:rsidRPr="00481D18">
        <w:rPr>
          <w:rStyle w:val="FootnoteReference"/>
          <w:sz w:val="16"/>
          <w:szCs w:val="16"/>
        </w:rPr>
        <w:footnoteRef/>
      </w:r>
      <w:r w:rsidRPr="00481D18">
        <w:rPr>
          <w:sz w:val="16"/>
          <w:szCs w:val="16"/>
        </w:rPr>
        <w:t xml:space="preserve"> </w:t>
      </w:r>
      <w:r w:rsidR="0056499D" w:rsidRPr="00481D18">
        <w:rPr>
          <w:sz w:val="16"/>
          <w:szCs w:val="16"/>
        </w:rPr>
        <w:t xml:space="preserve">M.A. Murray, </w:t>
      </w:r>
      <w:r w:rsidR="0056499D" w:rsidRPr="00481D18">
        <w:rPr>
          <w:i/>
          <w:sz w:val="16"/>
          <w:szCs w:val="16"/>
        </w:rPr>
        <w:t xml:space="preserve">My First Hundred Years </w:t>
      </w:r>
      <w:r w:rsidR="0056499D" w:rsidRPr="00481D18">
        <w:rPr>
          <w:sz w:val="16"/>
          <w:szCs w:val="16"/>
        </w:rPr>
        <w:t>(London, 1963), pp. 97-98.</w:t>
      </w:r>
    </w:p>
  </w:footnote>
  <w:footnote w:id="42">
    <w:p w:rsidR="00EA0C05" w:rsidRPr="00481D18" w:rsidRDefault="00EA0C05" w:rsidP="00911478">
      <w:pPr>
        <w:jc w:val="both"/>
        <w:rPr>
          <w:sz w:val="16"/>
          <w:szCs w:val="16"/>
          <w:shd w:val="clear" w:color="auto" w:fill="CCCCDD"/>
        </w:rPr>
      </w:pPr>
      <w:r w:rsidRPr="00911478">
        <w:rPr>
          <w:rStyle w:val="FootnoteReference"/>
          <w:sz w:val="16"/>
          <w:szCs w:val="16"/>
        </w:rPr>
        <w:footnoteRef/>
      </w:r>
      <w:r w:rsidR="00911478">
        <w:rPr>
          <w:sz w:val="16"/>
          <w:szCs w:val="16"/>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 xml:space="preserve">104. </w:t>
      </w:r>
    </w:p>
  </w:footnote>
  <w:footnote w:id="43">
    <w:p w:rsidR="00EA0C05" w:rsidRPr="00481D18" w:rsidRDefault="00EA0C05" w:rsidP="00911478">
      <w:pPr>
        <w:jc w:val="both"/>
        <w:rPr>
          <w:sz w:val="16"/>
          <w:szCs w:val="16"/>
          <w:shd w:val="clear" w:color="auto" w:fill="CCCCDD"/>
        </w:rPr>
      </w:pPr>
      <w:r w:rsidRPr="00911478">
        <w:rPr>
          <w:rStyle w:val="FootnoteReference"/>
          <w:sz w:val="16"/>
          <w:szCs w:val="16"/>
        </w:rPr>
        <w:footnoteRef/>
      </w:r>
      <w:r w:rsidRPr="00481D18">
        <w:rPr>
          <w:sz w:val="16"/>
          <w:szCs w:val="16"/>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104.</w:t>
      </w:r>
    </w:p>
  </w:footnote>
  <w:footnote w:id="44">
    <w:p w:rsidR="00EA0C05" w:rsidRPr="00481D18" w:rsidRDefault="00EA0C05" w:rsidP="00911478">
      <w:pPr>
        <w:jc w:val="both"/>
        <w:rPr>
          <w:sz w:val="16"/>
          <w:szCs w:val="16"/>
        </w:rPr>
      </w:pPr>
      <w:r w:rsidRPr="0091147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325</w:t>
      </w:r>
      <w:r w:rsidR="00481D18" w:rsidRPr="00481D18">
        <w:rPr>
          <w:sz w:val="16"/>
          <w:szCs w:val="16"/>
        </w:rPr>
        <w:t>;</w:t>
      </w:r>
      <w:r w:rsidRPr="00481D18">
        <w:rPr>
          <w:sz w:val="16"/>
          <w:szCs w:val="16"/>
        </w:rPr>
        <w:t xml:space="preserve"> Jacobs also gives her a maternal role stressing that she was a “local divinity”, who in the story returns as “a Guardian Spirit to her descendants”, a “supernatural ancestress, w</w:t>
      </w:r>
      <w:r w:rsidR="00301D30" w:rsidRPr="00481D18">
        <w:rPr>
          <w:sz w:val="16"/>
          <w:szCs w:val="16"/>
        </w:rPr>
        <w:t>ho taught them their craf</w:t>
      </w:r>
      <w:r w:rsidR="00481D18">
        <w:rPr>
          <w:sz w:val="16"/>
          <w:szCs w:val="16"/>
        </w:rPr>
        <w:t xml:space="preserve">t”. </w:t>
      </w:r>
      <w:r w:rsidR="00301D30" w:rsidRPr="00481D18">
        <w:rPr>
          <w:sz w:val="16"/>
          <w:szCs w:val="16"/>
        </w:rPr>
        <w:t xml:space="preserve">J. </w:t>
      </w:r>
      <w:r w:rsidR="0056499D" w:rsidRPr="00481D18">
        <w:rPr>
          <w:sz w:val="16"/>
          <w:szCs w:val="16"/>
        </w:rPr>
        <w:t xml:space="preserve">Jacobs, (ed.) </w:t>
      </w:r>
      <w:r w:rsidR="0056499D" w:rsidRPr="00481D18">
        <w:rPr>
          <w:i/>
          <w:sz w:val="16"/>
          <w:szCs w:val="16"/>
        </w:rPr>
        <w:t>Celtic Fairy Tales</w:t>
      </w:r>
      <w:r w:rsidR="0056499D" w:rsidRPr="00481D18">
        <w:rPr>
          <w:sz w:val="16"/>
          <w:szCs w:val="16"/>
        </w:rPr>
        <w:t xml:space="preserve"> (London, 1892), p. 249. </w:t>
      </w:r>
    </w:p>
  </w:footnote>
  <w:footnote w:id="45">
    <w:p w:rsidR="00EA0C05" w:rsidRPr="00481D18" w:rsidRDefault="00EA0C05" w:rsidP="00911478">
      <w:pPr>
        <w:tabs>
          <w:tab w:val="left" w:pos="142"/>
          <w:tab w:val="left" w:pos="851"/>
        </w:tabs>
        <w:jc w:val="both"/>
        <w:rPr>
          <w:sz w:val="16"/>
          <w:szCs w:val="16"/>
        </w:rPr>
      </w:pPr>
      <w:r w:rsidRPr="00911478">
        <w:rPr>
          <w:rStyle w:val="FootnoteReference"/>
          <w:sz w:val="16"/>
          <w:szCs w:val="16"/>
        </w:rPr>
        <w:footnoteRef/>
      </w:r>
      <w:r w:rsidRPr="00911478">
        <w:rPr>
          <w:sz w:val="16"/>
          <w:szCs w:val="16"/>
          <w:vertAlign w:val="superscript"/>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329.</w:t>
      </w:r>
    </w:p>
  </w:footnote>
  <w:footnote w:id="46">
    <w:p w:rsidR="00EA0C05" w:rsidRPr="00481D18" w:rsidRDefault="00EA0C05" w:rsidP="00911478">
      <w:pPr>
        <w:tabs>
          <w:tab w:val="left" w:pos="851"/>
        </w:tabs>
        <w:jc w:val="both"/>
        <w:rPr>
          <w:sz w:val="16"/>
          <w:szCs w:val="16"/>
        </w:rPr>
      </w:pPr>
      <w:r w:rsidRPr="00911478">
        <w:rPr>
          <w:rStyle w:val="FootnoteReference"/>
          <w:sz w:val="16"/>
          <w:szCs w:val="16"/>
        </w:rPr>
        <w:footnoteRef/>
      </w:r>
      <w:r w:rsidR="00911478">
        <w:rPr>
          <w:sz w:val="16"/>
          <w:szCs w:val="16"/>
          <w:vertAlign w:val="superscript"/>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279.</w:t>
      </w:r>
    </w:p>
  </w:footnote>
  <w:footnote w:id="47">
    <w:p w:rsidR="00EA0C05" w:rsidRPr="00481D18" w:rsidRDefault="00EA0C05" w:rsidP="00911478">
      <w:pPr>
        <w:tabs>
          <w:tab w:val="left" w:pos="851"/>
        </w:tabs>
        <w:jc w:val="both"/>
        <w:rPr>
          <w:sz w:val="16"/>
          <w:szCs w:val="16"/>
        </w:rPr>
      </w:pPr>
      <w:r w:rsidRPr="0091147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279.</w:t>
      </w:r>
    </w:p>
  </w:footnote>
  <w:footnote w:id="48">
    <w:p w:rsidR="00EA0C05" w:rsidRPr="00481D18" w:rsidRDefault="00EA0C05" w:rsidP="00911478">
      <w:pPr>
        <w:pStyle w:val="FootnoteText"/>
        <w:jc w:val="both"/>
        <w:rPr>
          <w:sz w:val="16"/>
          <w:szCs w:val="16"/>
        </w:rPr>
      </w:pPr>
      <w:r w:rsidRPr="00911478">
        <w:rPr>
          <w:rStyle w:val="FootnoteReference"/>
          <w:sz w:val="16"/>
          <w:szCs w:val="16"/>
        </w:rPr>
        <w:footnoteRef/>
      </w:r>
      <w:r w:rsidRPr="00481D18">
        <w:rPr>
          <w:sz w:val="16"/>
          <w:szCs w:val="16"/>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Pr="00481D18">
        <w:rPr>
          <w:sz w:val="16"/>
          <w:szCs w:val="16"/>
        </w:rPr>
        <w:t>327</w:t>
      </w:r>
      <w:r w:rsidR="0056499D" w:rsidRPr="00481D18">
        <w:rPr>
          <w:sz w:val="16"/>
          <w:szCs w:val="16"/>
        </w:rPr>
        <w:t>.</w:t>
      </w:r>
    </w:p>
  </w:footnote>
  <w:footnote w:id="49">
    <w:p w:rsidR="00EA0C05" w:rsidRPr="00481D18" w:rsidRDefault="00EA0C05" w:rsidP="00911478">
      <w:pPr>
        <w:jc w:val="both"/>
        <w:rPr>
          <w:sz w:val="16"/>
          <w:szCs w:val="16"/>
        </w:rPr>
      </w:pPr>
      <w:r w:rsidRPr="00911478">
        <w:rPr>
          <w:rStyle w:val="FootnoteReference"/>
          <w:sz w:val="16"/>
          <w:szCs w:val="16"/>
        </w:rPr>
        <w:footnoteRef/>
      </w:r>
      <w:r w:rsidRPr="00911478">
        <w:rPr>
          <w:sz w:val="16"/>
          <w:szCs w:val="16"/>
          <w:vertAlign w:val="superscript"/>
        </w:rPr>
        <w:t xml:space="preserve"> </w:t>
      </w:r>
      <w:r w:rsidR="0056499D" w:rsidRPr="00481D18">
        <w:rPr>
          <w:sz w:val="16"/>
          <w:szCs w:val="16"/>
        </w:rPr>
        <w:t xml:space="preserve">Hartland, </w:t>
      </w:r>
      <w:r w:rsidR="0056499D" w:rsidRPr="00481D18">
        <w:rPr>
          <w:i/>
          <w:sz w:val="16"/>
          <w:szCs w:val="16"/>
        </w:rPr>
        <w:t>Fairy Tales</w:t>
      </w:r>
      <w:r w:rsidR="0056499D" w:rsidRPr="00481D18">
        <w:rPr>
          <w:sz w:val="16"/>
          <w:szCs w:val="16"/>
        </w:rPr>
        <w:t>, p.</w:t>
      </w:r>
      <w:r w:rsidR="00481D18">
        <w:rPr>
          <w:sz w:val="16"/>
          <w:szCs w:val="16"/>
        </w:rPr>
        <w:t xml:space="preserve"> </w:t>
      </w:r>
      <w:r w:rsidR="0056499D" w:rsidRPr="00481D18">
        <w:rPr>
          <w:sz w:val="16"/>
          <w:szCs w:val="16"/>
        </w:rPr>
        <w:t>327</w:t>
      </w:r>
      <w:r w:rsidR="00481D18" w:rsidRPr="00481D18">
        <w:rPr>
          <w:sz w:val="16"/>
          <w:szCs w:val="16"/>
        </w:rPr>
        <w:t xml:space="preserve">; </w:t>
      </w:r>
      <w:r w:rsidR="00481D18" w:rsidRPr="00481D18">
        <w:rPr>
          <w:rFonts w:eastAsiaTheme="minorHAnsi"/>
          <w:sz w:val="16"/>
          <w:szCs w:val="16"/>
          <w:lang w:eastAsia="en-US"/>
        </w:rPr>
        <w:t>Rhŷs</w:t>
      </w:r>
      <w:r w:rsidRPr="00481D18">
        <w:rPr>
          <w:sz w:val="16"/>
          <w:szCs w:val="16"/>
        </w:rPr>
        <w:t xml:space="preserve"> includes a similar example in </w:t>
      </w:r>
      <w:r w:rsidRPr="00481D18">
        <w:rPr>
          <w:i/>
          <w:sz w:val="16"/>
          <w:szCs w:val="16"/>
        </w:rPr>
        <w:t>Celtic Folklore</w:t>
      </w:r>
      <w:r w:rsidR="00481D18" w:rsidRPr="00481D18">
        <w:rPr>
          <w:sz w:val="16"/>
          <w:szCs w:val="16"/>
        </w:rPr>
        <w:t xml:space="preserve"> </w:t>
      </w:r>
      <w:r w:rsidR="00911478">
        <w:rPr>
          <w:sz w:val="16"/>
          <w:szCs w:val="16"/>
        </w:rPr>
        <w:t>of the fairy Belenë</w:t>
      </w:r>
      <w:r w:rsidRPr="00481D18">
        <w:rPr>
          <w:sz w:val="16"/>
          <w:szCs w:val="16"/>
        </w:rPr>
        <w:t xml:space="preserve"> who leaves her husband after he strikes her with iron but is drawn by “the feelings of a mother” to come to the window and chant the same verse. </w:t>
      </w:r>
      <w:r w:rsidR="00B80CC4" w:rsidRPr="00481D18">
        <w:rPr>
          <w:rFonts w:eastAsiaTheme="minorHAnsi"/>
          <w:sz w:val="16"/>
          <w:szCs w:val="16"/>
          <w:lang w:eastAsia="en-US"/>
        </w:rPr>
        <w:t xml:space="preserve">Rhŷs, </w:t>
      </w:r>
      <w:r w:rsidR="00B80CC4" w:rsidRPr="00481D18">
        <w:rPr>
          <w:rFonts w:eastAsiaTheme="minorHAnsi"/>
          <w:i/>
          <w:sz w:val="16"/>
          <w:szCs w:val="16"/>
          <w:lang w:eastAsia="en-US"/>
        </w:rPr>
        <w:t xml:space="preserve">Celtic Folklore, </w:t>
      </w:r>
      <w:r w:rsidR="00B80CC4" w:rsidRPr="00481D18">
        <w:rPr>
          <w:rFonts w:eastAsiaTheme="minorHAnsi"/>
          <w:sz w:val="16"/>
          <w:szCs w:val="16"/>
          <w:lang w:eastAsia="en-US"/>
        </w:rPr>
        <w:t>Vol. 1, p</w:t>
      </w:r>
      <w:r w:rsidR="00B80CC4" w:rsidRPr="00481D18">
        <w:rPr>
          <w:sz w:val="16"/>
          <w:szCs w:val="16"/>
        </w:rPr>
        <w:t>. 55.</w:t>
      </w:r>
    </w:p>
  </w:footnote>
  <w:footnote w:id="50">
    <w:p w:rsidR="00EA0C05" w:rsidRPr="00481D18" w:rsidRDefault="00EA0C05" w:rsidP="00911478">
      <w:pPr>
        <w:jc w:val="both"/>
        <w:rPr>
          <w:sz w:val="16"/>
          <w:szCs w:val="16"/>
          <w:shd w:val="clear" w:color="auto" w:fill="CCCCDD"/>
        </w:rPr>
      </w:pPr>
      <w:r w:rsidRPr="00911478">
        <w:rPr>
          <w:rStyle w:val="FootnoteReference"/>
          <w:sz w:val="16"/>
          <w:szCs w:val="16"/>
        </w:rPr>
        <w:footnoteRef/>
      </w:r>
      <w:r w:rsidRPr="00481D18">
        <w:rPr>
          <w:sz w:val="16"/>
          <w:szCs w:val="16"/>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103.</w:t>
      </w:r>
    </w:p>
  </w:footnote>
  <w:footnote w:id="51">
    <w:p w:rsidR="00EA0C05" w:rsidRPr="00481D18" w:rsidRDefault="00EA0C05" w:rsidP="00911478">
      <w:pPr>
        <w:jc w:val="both"/>
        <w:rPr>
          <w:sz w:val="16"/>
          <w:szCs w:val="16"/>
        </w:rPr>
      </w:pPr>
      <w:r w:rsidRPr="00911478">
        <w:rPr>
          <w:rStyle w:val="FootnoteReference"/>
          <w:sz w:val="16"/>
          <w:szCs w:val="16"/>
        </w:rPr>
        <w:footnoteRef/>
      </w:r>
      <w:r w:rsidRPr="00481D18">
        <w:rPr>
          <w:sz w:val="16"/>
          <w:szCs w:val="16"/>
        </w:rPr>
        <w:t xml:space="preserve"> </w:t>
      </w:r>
      <w:r w:rsidR="00301D30" w:rsidRPr="00481D18">
        <w:rPr>
          <w:color w:val="000000"/>
          <w:sz w:val="16"/>
          <w:szCs w:val="16"/>
        </w:rPr>
        <w:t xml:space="preserve">B. F. Leavy, </w:t>
      </w:r>
      <w:r w:rsidR="00301D30" w:rsidRPr="00481D18">
        <w:rPr>
          <w:i/>
          <w:color w:val="000000"/>
          <w:sz w:val="16"/>
          <w:szCs w:val="16"/>
        </w:rPr>
        <w:t>In Search of the Swan Maiden</w:t>
      </w:r>
      <w:r w:rsidR="00301D30" w:rsidRPr="00481D18">
        <w:rPr>
          <w:color w:val="000000"/>
          <w:sz w:val="16"/>
          <w:szCs w:val="16"/>
        </w:rPr>
        <w:t>:</w:t>
      </w:r>
      <w:r w:rsidR="00301D30" w:rsidRPr="00481D18">
        <w:rPr>
          <w:i/>
          <w:color w:val="000000"/>
          <w:sz w:val="16"/>
          <w:szCs w:val="16"/>
        </w:rPr>
        <w:t xml:space="preserve"> A Narrative on Folklore and Gender</w:t>
      </w:r>
      <w:r w:rsidR="00301D30" w:rsidRPr="00481D18">
        <w:rPr>
          <w:color w:val="000000"/>
          <w:sz w:val="16"/>
          <w:szCs w:val="16"/>
        </w:rPr>
        <w:t xml:space="preserve"> (New York, 1994), p. 12. </w:t>
      </w:r>
    </w:p>
  </w:footnote>
  <w:footnote w:id="52">
    <w:p w:rsidR="00EA0C05" w:rsidRPr="00481D18" w:rsidRDefault="00EA0C05" w:rsidP="00911478">
      <w:pPr>
        <w:jc w:val="both"/>
        <w:rPr>
          <w:sz w:val="16"/>
          <w:szCs w:val="16"/>
          <w:shd w:val="clear" w:color="auto" w:fill="CCCCDD"/>
        </w:rPr>
      </w:pPr>
      <w:r w:rsidRPr="00911478">
        <w:rPr>
          <w:rStyle w:val="FootnoteReference"/>
          <w:sz w:val="16"/>
          <w:szCs w:val="16"/>
        </w:rPr>
        <w:footnoteRef/>
      </w:r>
      <w:r w:rsidRPr="00911478">
        <w:rPr>
          <w:sz w:val="16"/>
          <w:szCs w:val="16"/>
          <w:vertAlign w:val="superscript"/>
        </w:rPr>
        <w:t xml:space="preserve"> </w:t>
      </w:r>
      <w:r w:rsidR="00B80CC4" w:rsidRPr="00481D18">
        <w:rPr>
          <w:sz w:val="16"/>
          <w:szCs w:val="16"/>
        </w:rPr>
        <w:t xml:space="preserve">Silver, </w:t>
      </w:r>
      <w:r w:rsidR="00B80CC4" w:rsidRPr="00481D18">
        <w:rPr>
          <w:i/>
          <w:sz w:val="16"/>
          <w:szCs w:val="16"/>
        </w:rPr>
        <w:t>Secret Peoples</w:t>
      </w:r>
      <w:r w:rsidR="00B80CC4" w:rsidRPr="00481D18">
        <w:rPr>
          <w:sz w:val="16"/>
          <w:szCs w:val="16"/>
        </w:rPr>
        <w:t>, p.</w:t>
      </w:r>
      <w:r w:rsidR="00481D18">
        <w:rPr>
          <w:sz w:val="16"/>
          <w:szCs w:val="16"/>
        </w:rPr>
        <w:t xml:space="preserve"> </w:t>
      </w:r>
      <w:r w:rsidR="00B80CC4" w:rsidRPr="00481D18">
        <w:rPr>
          <w:sz w:val="16"/>
          <w:szCs w:val="16"/>
        </w:rPr>
        <w:t>105.</w:t>
      </w:r>
    </w:p>
  </w:footnote>
  <w:footnote w:id="53">
    <w:p w:rsidR="00EA0C05" w:rsidRPr="00481D18" w:rsidRDefault="00EA0C05" w:rsidP="00911478">
      <w:pPr>
        <w:jc w:val="both"/>
        <w:rPr>
          <w:sz w:val="16"/>
          <w:szCs w:val="16"/>
        </w:rPr>
      </w:pPr>
      <w:r w:rsidRPr="00911478">
        <w:rPr>
          <w:rStyle w:val="FootnoteReference"/>
          <w:sz w:val="16"/>
          <w:szCs w:val="16"/>
        </w:rPr>
        <w:footnoteRef/>
      </w:r>
      <w:r w:rsidRPr="00481D18">
        <w:rPr>
          <w:sz w:val="16"/>
          <w:szCs w:val="16"/>
        </w:rPr>
        <w:t xml:space="preserve"> </w:t>
      </w:r>
      <w:r w:rsidR="00301D30" w:rsidRPr="00481D18">
        <w:rPr>
          <w:sz w:val="16"/>
          <w:szCs w:val="16"/>
        </w:rPr>
        <w:t xml:space="preserve">S. R. Wakefield, </w:t>
      </w:r>
      <w:r w:rsidR="00301D30" w:rsidRPr="00481D18">
        <w:rPr>
          <w:i/>
          <w:sz w:val="16"/>
          <w:szCs w:val="16"/>
        </w:rPr>
        <w:t>Folklore in British Literature: Naming and Narrating in Women's Fiction, 1750-1880</w:t>
      </w:r>
      <w:r w:rsidR="00301D30" w:rsidRPr="00481D18">
        <w:rPr>
          <w:sz w:val="16"/>
          <w:szCs w:val="16"/>
        </w:rPr>
        <w:t xml:space="preserve"> (New York, 2006), p.</w:t>
      </w:r>
      <w:r w:rsidR="00911478">
        <w:rPr>
          <w:sz w:val="16"/>
          <w:szCs w:val="16"/>
        </w:rPr>
        <w:t xml:space="preserve"> </w:t>
      </w:r>
      <w:r w:rsidR="00301D30" w:rsidRPr="00481D18">
        <w:rPr>
          <w:sz w:val="16"/>
          <w:szCs w:val="16"/>
        </w:rPr>
        <w:t>11.</w:t>
      </w:r>
    </w:p>
  </w:footnote>
  <w:footnote w:id="54">
    <w:p w:rsidR="00EA0C05" w:rsidRPr="00481D18" w:rsidRDefault="00EA0C05" w:rsidP="00911478">
      <w:pPr>
        <w:autoSpaceDE w:val="0"/>
        <w:autoSpaceDN w:val="0"/>
        <w:adjustRightInd w:val="0"/>
        <w:jc w:val="both"/>
        <w:rPr>
          <w:sz w:val="16"/>
          <w:szCs w:val="16"/>
        </w:rPr>
      </w:pPr>
      <w:r w:rsidRPr="00911478">
        <w:rPr>
          <w:rStyle w:val="FootnoteReference"/>
          <w:sz w:val="16"/>
          <w:szCs w:val="16"/>
        </w:rPr>
        <w:footnoteRef/>
      </w:r>
      <w:r w:rsidRPr="00481D18">
        <w:rPr>
          <w:sz w:val="16"/>
          <w:szCs w:val="16"/>
        </w:rPr>
        <w:t xml:space="preserve"> </w:t>
      </w:r>
      <w:r w:rsidR="00301D30" w:rsidRPr="00481D18">
        <w:rPr>
          <w:sz w:val="16"/>
          <w:szCs w:val="16"/>
        </w:rPr>
        <w:t xml:space="preserve">Wakefield, </w:t>
      </w:r>
      <w:r w:rsidR="00301D30" w:rsidRPr="00481D18">
        <w:rPr>
          <w:i/>
          <w:sz w:val="16"/>
          <w:szCs w:val="16"/>
        </w:rPr>
        <w:t xml:space="preserve">Folklore in British Literature, </w:t>
      </w:r>
      <w:r w:rsidR="00301D30" w:rsidRPr="00481D18">
        <w:rPr>
          <w:sz w:val="16"/>
          <w:szCs w:val="16"/>
        </w:rPr>
        <w:t>p.</w:t>
      </w:r>
      <w:r w:rsidR="00911478">
        <w:rPr>
          <w:sz w:val="16"/>
          <w:szCs w:val="16"/>
        </w:rPr>
        <w:t xml:space="preserve"> </w:t>
      </w:r>
      <w:r w:rsidR="00301D30" w:rsidRPr="00481D18">
        <w:rPr>
          <w:sz w:val="16"/>
          <w:szCs w:val="16"/>
        </w:rPr>
        <w:t xml:space="preserve">3. </w:t>
      </w:r>
    </w:p>
  </w:footnote>
  <w:footnote w:id="55">
    <w:p w:rsidR="00EA0C05" w:rsidRPr="00481D18" w:rsidRDefault="00EA0C05" w:rsidP="00911478">
      <w:pPr>
        <w:autoSpaceDE w:val="0"/>
        <w:autoSpaceDN w:val="0"/>
        <w:adjustRightInd w:val="0"/>
        <w:jc w:val="both"/>
        <w:rPr>
          <w:sz w:val="16"/>
          <w:szCs w:val="16"/>
        </w:rPr>
      </w:pPr>
      <w:r w:rsidRPr="00911478">
        <w:rPr>
          <w:rStyle w:val="FootnoteReference"/>
          <w:sz w:val="16"/>
          <w:szCs w:val="16"/>
        </w:rPr>
        <w:footnoteRef/>
      </w:r>
      <w:r w:rsidR="00911478">
        <w:rPr>
          <w:sz w:val="16"/>
          <w:szCs w:val="16"/>
        </w:rPr>
        <w:t xml:space="preserve"> </w:t>
      </w:r>
      <w:r w:rsidR="00301D30" w:rsidRPr="00481D18">
        <w:rPr>
          <w:sz w:val="16"/>
          <w:szCs w:val="16"/>
        </w:rPr>
        <w:t xml:space="preserve">Wakefield, </w:t>
      </w:r>
      <w:r w:rsidR="00301D30" w:rsidRPr="00481D18">
        <w:rPr>
          <w:i/>
          <w:sz w:val="16"/>
          <w:szCs w:val="16"/>
        </w:rPr>
        <w:t xml:space="preserve">Folklore in British Literature, </w:t>
      </w:r>
      <w:r w:rsidR="00301D30" w:rsidRPr="00481D18">
        <w:rPr>
          <w:sz w:val="16"/>
          <w:szCs w:val="16"/>
        </w:rPr>
        <w:t>p.</w:t>
      </w:r>
      <w:r w:rsidR="00911478">
        <w:rPr>
          <w:sz w:val="16"/>
          <w:szCs w:val="16"/>
        </w:rPr>
        <w:t xml:space="preserve"> </w:t>
      </w:r>
      <w:r w:rsidR="00301D30" w:rsidRPr="00481D18">
        <w:rPr>
          <w:sz w:val="16"/>
          <w:szCs w:val="16"/>
        </w:rPr>
        <w:t>9.</w:t>
      </w:r>
    </w:p>
  </w:footnote>
  <w:footnote w:id="56">
    <w:p w:rsidR="00EA0C05" w:rsidRPr="00481D18" w:rsidRDefault="00EA0C05" w:rsidP="00911478">
      <w:pPr>
        <w:autoSpaceDE w:val="0"/>
        <w:autoSpaceDN w:val="0"/>
        <w:adjustRightInd w:val="0"/>
        <w:jc w:val="both"/>
        <w:rPr>
          <w:sz w:val="16"/>
          <w:szCs w:val="16"/>
        </w:rPr>
      </w:pPr>
      <w:r w:rsidRPr="00911478">
        <w:rPr>
          <w:rStyle w:val="FootnoteReference"/>
          <w:sz w:val="16"/>
          <w:szCs w:val="16"/>
        </w:rPr>
        <w:footnoteRef/>
      </w:r>
      <w:r w:rsidRPr="00481D18">
        <w:rPr>
          <w:sz w:val="16"/>
          <w:szCs w:val="16"/>
        </w:rPr>
        <w:t xml:space="preserve"> </w:t>
      </w:r>
      <w:r w:rsidR="00301D30" w:rsidRPr="00481D18">
        <w:rPr>
          <w:sz w:val="16"/>
          <w:szCs w:val="16"/>
        </w:rPr>
        <w:t xml:space="preserve">Wakefield, </w:t>
      </w:r>
      <w:r w:rsidR="00301D30" w:rsidRPr="00481D18">
        <w:rPr>
          <w:i/>
          <w:sz w:val="16"/>
          <w:szCs w:val="16"/>
        </w:rPr>
        <w:t xml:space="preserve">Folklore in British Literature, </w:t>
      </w:r>
      <w:r w:rsidR="00301D30" w:rsidRPr="00481D18">
        <w:rPr>
          <w:sz w:val="16"/>
          <w:szCs w:val="16"/>
        </w:rPr>
        <w:t>p.</w:t>
      </w:r>
      <w:r w:rsidR="00911478">
        <w:rPr>
          <w:sz w:val="16"/>
          <w:szCs w:val="16"/>
        </w:rPr>
        <w:t xml:space="preserve"> </w:t>
      </w:r>
      <w:r w:rsidR="00301D30" w:rsidRPr="00481D18">
        <w:rPr>
          <w:sz w:val="16"/>
          <w:szCs w:val="16"/>
        </w:rPr>
        <w:t>13.</w:t>
      </w:r>
    </w:p>
  </w:footnote>
  <w:footnote w:id="57">
    <w:p w:rsidR="00EA0C05" w:rsidRPr="00481D18" w:rsidRDefault="00EA0C05" w:rsidP="00911478">
      <w:pPr>
        <w:jc w:val="both"/>
        <w:rPr>
          <w:sz w:val="16"/>
          <w:szCs w:val="16"/>
        </w:rPr>
      </w:pPr>
      <w:r w:rsidRPr="00911478">
        <w:rPr>
          <w:rStyle w:val="FootnoteReference"/>
          <w:sz w:val="16"/>
          <w:szCs w:val="16"/>
        </w:rPr>
        <w:footnoteRef/>
      </w:r>
      <w:r w:rsidRPr="00481D18">
        <w:rPr>
          <w:sz w:val="16"/>
          <w:szCs w:val="16"/>
        </w:rPr>
        <w:t xml:space="preserve"> </w:t>
      </w:r>
      <w:r w:rsidR="003924A3" w:rsidRPr="00481D18">
        <w:rPr>
          <w:sz w:val="16"/>
          <w:szCs w:val="16"/>
        </w:rPr>
        <w:t xml:space="preserve">Harrison, </w:t>
      </w:r>
      <w:r w:rsidR="003924A3" w:rsidRPr="00481D18">
        <w:rPr>
          <w:i/>
          <w:sz w:val="16"/>
          <w:szCs w:val="16"/>
        </w:rPr>
        <w:t xml:space="preserve">Late Victorian Britain, </w:t>
      </w:r>
      <w:r w:rsidR="003924A3" w:rsidRPr="00481D18">
        <w:rPr>
          <w:sz w:val="16"/>
          <w:szCs w:val="16"/>
        </w:rPr>
        <w:t>p. 176.</w:t>
      </w:r>
    </w:p>
  </w:footnote>
  <w:footnote w:id="58">
    <w:p w:rsidR="00EA0C05" w:rsidRPr="00481D18" w:rsidRDefault="00EA0C05" w:rsidP="00911478">
      <w:pPr>
        <w:jc w:val="both"/>
        <w:rPr>
          <w:sz w:val="16"/>
          <w:szCs w:val="16"/>
        </w:rPr>
      </w:pPr>
      <w:r w:rsidRPr="00911478">
        <w:rPr>
          <w:rStyle w:val="FootnoteReference"/>
          <w:sz w:val="16"/>
          <w:szCs w:val="16"/>
        </w:rPr>
        <w:footnoteRef/>
      </w:r>
      <w:r w:rsidRPr="00481D18">
        <w:rPr>
          <w:sz w:val="16"/>
          <w:szCs w:val="16"/>
        </w:rPr>
        <w:t xml:space="preserve"> </w:t>
      </w:r>
      <w:r w:rsidR="003924A3" w:rsidRPr="00481D18">
        <w:rPr>
          <w:sz w:val="16"/>
          <w:szCs w:val="16"/>
        </w:rPr>
        <w:t xml:space="preserve">Harrison, </w:t>
      </w:r>
      <w:r w:rsidR="003924A3" w:rsidRPr="00481D18">
        <w:rPr>
          <w:i/>
          <w:sz w:val="16"/>
          <w:szCs w:val="16"/>
        </w:rPr>
        <w:t xml:space="preserve">Late Victorian Britain, </w:t>
      </w:r>
      <w:r w:rsidR="003924A3" w:rsidRPr="00481D18">
        <w:rPr>
          <w:sz w:val="16"/>
          <w:szCs w:val="16"/>
        </w:rPr>
        <w:t>p. 158.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E9"/>
    <w:rsid w:val="00005E3F"/>
    <w:rsid w:val="00083E33"/>
    <w:rsid w:val="002B552F"/>
    <w:rsid w:val="002E023F"/>
    <w:rsid w:val="00301D30"/>
    <w:rsid w:val="003924A3"/>
    <w:rsid w:val="00426436"/>
    <w:rsid w:val="00481D18"/>
    <w:rsid w:val="00544EB3"/>
    <w:rsid w:val="0056499D"/>
    <w:rsid w:val="006030C9"/>
    <w:rsid w:val="007103A2"/>
    <w:rsid w:val="007311DA"/>
    <w:rsid w:val="00911478"/>
    <w:rsid w:val="009815E8"/>
    <w:rsid w:val="009E2310"/>
    <w:rsid w:val="00A67BD2"/>
    <w:rsid w:val="00A845FF"/>
    <w:rsid w:val="00AB0B40"/>
    <w:rsid w:val="00B64FEA"/>
    <w:rsid w:val="00B80CC4"/>
    <w:rsid w:val="00BE6EE9"/>
    <w:rsid w:val="00CB0519"/>
    <w:rsid w:val="00E37A1A"/>
    <w:rsid w:val="00EA0129"/>
    <w:rsid w:val="00EA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401D74-2221-4242-AB61-BB679B71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E6E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EE9"/>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unhideWhenUsed/>
    <w:qFormat/>
    <w:rsid w:val="00EA0C05"/>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EE9"/>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rsid w:val="00BE6EE9"/>
    <w:rPr>
      <w:sz w:val="20"/>
      <w:szCs w:val="20"/>
    </w:rPr>
  </w:style>
  <w:style w:type="character" w:customStyle="1" w:styleId="FootnoteTextChar">
    <w:name w:val="Footnote Text Char"/>
    <w:basedOn w:val="DefaultParagraphFont"/>
    <w:link w:val="FootnoteText"/>
    <w:uiPriority w:val="99"/>
    <w:rsid w:val="00BE6EE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BE6EE9"/>
    <w:rPr>
      <w:vertAlign w:val="superscript"/>
    </w:rPr>
  </w:style>
  <w:style w:type="paragraph" w:customStyle="1" w:styleId="Default">
    <w:name w:val="Default"/>
    <w:rsid w:val="00BE6EE9"/>
    <w:pPr>
      <w:autoSpaceDE w:val="0"/>
      <w:autoSpaceDN w:val="0"/>
      <w:adjustRightInd w:val="0"/>
      <w:spacing w:after="0" w:line="240" w:lineRule="auto"/>
    </w:pPr>
    <w:rPr>
      <w:rFonts w:ascii="Code" w:eastAsia="Times New Roman" w:hAnsi="Code" w:cs="Code"/>
      <w:color w:val="000000"/>
      <w:sz w:val="24"/>
      <w:szCs w:val="24"/>
      <w:lang w:eastAsia="en-GB"/>
    </w:rPr>
  </w:style>
  <w:style w:type="paragraph" w:styleId="NormalWeb">
    <w:name w:val="Normal (Web)"/>
    <w:basedOn w:val="Normal"/>
    <w:uiPriority w:val="99"/>
    <w:unhideWhenUsed/>
    <w:rsid w:val="00BE6EE9"/>
    <w:pPr>
      <w:spacing w:before="100" w:beforeAutospacing="1" w:after="100" w:afterAutospacing="1"/>
    </w:pPr>
  </w:style>
  <w:style w:type="character" w:customStyle="1" w:styleId="apple-converted-space">
    <w:name w:val="apple-converted-space"/>
    <w:basedOn w:val="DefaultParagraphFont"/>
    <w:rsid w:val="00BE6EE9"/>
  </w:style>
  <w:style w:type="character" w:customStyle="1" w:styleId="Heading1Char">
    <w:name w:val="Heading 1 Char"/>
    <w:basedOn w:val="DefaultParagraphFont"/>
    <w:link w:val="Heading1"/>
    <w:uiPriority w:val="9"/>
    <w:rsid w:val="00BE6EE9"/>
    <w:rPr>
      <w:rFonts w:asciiTheme="majorHAnsi" w:eastAsiaTheme="majorEastAsia" w:hAnsiTheme="majorHAnsi" w:cstheme="majorBidi"/>
      <w:color w:val="2E74B5" w:themeColor="accent1" w:themeShade="BF"/>
      <w:sz w:val="32"/>
      <w:szCs w:val="32"/>
      <w:lang w:eastAsia="en-GB"/>
    </w:rPr>
  </w:style>
  <w:style w:type="character" w:customStyle="1" w:styleId="key">
    <w:name w:val="key"/>
    <w:basedOn w:val="DefaultParagraphFont"/>
    <w:rsid w:val="00BE6EE9"/>
  </w:style>
  <w:style w:type="character" w:customStyle="1" w:styleId="value">
    <w:name w:val="value"/>
    <w:basedOn w:val="DefaultParagraphFont"/>
    <w:rsid w:val="00BE6EE9"/>
  </w:style>
  <w:style w:type="character" w:styleId="Hyperlink">
    <w:name w:val="Hyperlink"/>
    <w:basedOn w:val="DefaultParagraphFont"/>
    <w:uiPriority w:val="99"/>
    <w:semiHidden/>
    <w:unhideWhenUsed/>
    <w:rsid w:val="00BE6EE9"/>
    <w:rPr>
      <w:color w:val="0000FF"/>
      <w:u w:val="single"/>
    </w:rPr>
  </w:style>
  <w:style w:type="character" w:customStyle="1" w:styleId="Heading3Char">
    <w:name w:val="Heading 3 Char"/>
    <w:basedOn w:val="DefaultParagraphFont"/>
    <w:link w:val="Heading3"/>
    <w:uiPriority w:val="9"/>
    <w:rsid w:val="00EA0C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94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7738">
          <w:marLeft w:val="0"/>
          <w:marRight w:val="0"/>
          <w:marTop w:val="0"/>
          <w:marBottom w:val="0"/>
          <w:divBdr>
            <w:top w:val="none" w:sz="0" w:space="0" w:color="auto"/>
            <w:left w:val="none" w:sz="0" w:space="0" w:color="auto"/>
            <w:bottom w:val="none" w:sz="0" w:space="0" w:color="auto"/>
            <w:right w:val="none" w:sz="0" w:space="0" w:color="auto"/>
          </w:divBdr>
          <w:divsChild>
            <w:div w:id="1050374628">
              <w:marLeft w:val="0"/>
              <w:marRight w:val="0"/>
              <w:marTop w:val="0"/>
              <w:marBottom w:val="0"/>
              <w:divBdr>
                <w:top w:val="none" w:sz="0" w:space="0" w:color="auto"/>
                <w:left w:val="none" w:sz="0" w:space="0" w:color="auto"/>
                <w:bottom w:val="none" w:sz="0" w:space="0" w:color="auto"/>
                <w:right w:val="none" w:sz="0" w:space="0" w:color="auto"/>
              </w:divBdr>
              <w:divsChild>
                <w:div w:id="2080785534">
                  <w:marLeft w:val="-225"/>
                  <w:marRight w:val="-225"/>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sChild>
                        <w:div w:id="655230803">
                          <w:marLeft w:val="0"/>
                          <w:marRight w:val="0"/>
                          <w:marTop w:val="0"/>
                          <w:marBottom w:val="0"/>
                          <w:divBdr>
                            <w:top w:val="none" w:sz="0" w:space="0" w:color="auto"/>
                            <w:left w:val="none" w:sz="0" w:space="0" w:color="auto"/>
                            <w:bottom w:val="none" w:sz="0" w:space="0" w:color="auto"/>
                            <w:right w:val="none" w:sz="0" w:space="0" w:color="auto"/>
                          </w:divBdr>
                          <w:divsChild>
                            <w:div w:id="5677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83752">
          <w:marLeft w:val="0"/>
          <w:marRight w:val="0"/>
          <w:marTop w:val="0"/>
          <w:marBottom w:val="0"/>
          <w:divBdr>
            <w:top w:val="none" w:sz="0" w:space="0" w:color="auto"/>
            <w:left w:val="none" w:sz="0" w:space="0" w:color="auto"/>
            <w:bottom w:val="none" w:sz="0" w:space="0" w:color="auto"/>
            <w:right w:val="none" w:sz="0" w:space="0" w:color="auto"/>
          </w:divBdr>
          <w:divsChild>
            <w:div w:id="1403410531">
              <w:marLeft w:val="0"/>
              <w:marRight w:val="0"/>
              <w:marTop w:val="0"/>
              <w:marBottom w:val="0"/>
              <w:divBdr>
                <w:top w:val="none" w:sz="0" w:space="0" w:color="auto"/>
                <w:left w:val="none" w:sz="0" w:space="0" w:color="auto"/>
                <w:bottom w:val="none" w:sz="0" w:space="0" w:color="auto"/>
                <w:right w:val="none" w:sz="0" w:space="0" w:color="auto"/>
              </w:divBdr>
              <w:divsChild>
                <w:div w:id="889069502">
                  <w:marLeft w:val="-225"/>
                  <w:marRight w:val="-225"/>
                  <w:marTop w:val="0"/>
                  <w:marBottom w:val="0"/>
                  <w:divBdr>
                    <w:top w:val="none" w:sz="0" w:space="0" w:color="auto"/>
                    <w:left w:val="none" w:sz="0" w:space="0" w:color="auto"/>
                    <w:bottom w:val="none" w:sz="0" w:space="0" w:color="auto"/>
                    <w:right w:val="none" w:sz="0" w:space="0" w:color="auto"/>
                  </w:divBdr>
                  <w:divsChild>
                    <w:div w:id="1619409061">
                      <w:marLeft w:val="0"/>
                      <w:marRight w:val="0"/>
                      <w:marTop w:val="0"/>
                      <w:marBottom w:val="0"/>
                      <w:divBdr>
                        <w:top w:val="none" w:sz="0" w:space="0" w:color="auto"/>
                        <w:left w:val="none" w:sz="0" w:space="0" w:color="auto"/>
                        <w:bottom w:val="none" w:sz="0" w:space="0" w:color="auto"/>
                        <w:right w:val="none" w:sz="0" w:space="0" w:color="auto"/>
                      </w:divBdr>
                      <w:divsChild>
                        <w:div w:id="1223834931">
                          <w:marLeft w:val="0"/>
                          <w:marRight w:val="0"/>
                          <w:marTop w:val="0"/>
                          <w:marBottom w:val="0"/>
                          <w:divBdr>
                            <w:top w:val="none" w:sz="0" w:space="0" w:color="auto"/>
                            <w:left w:val="none" w:sz="0" w:space="0" w:color="auto"/>
                            <w:bottom w:val="none" w:sz="0" w:space="0" w:color="auto"/>
                            <w:right w:val="none" w:sz="0" w:space="0" w:color="auto"/>
                          </w:divBdr>
                        </w:div>
                        <w:div w:id="16439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A5EC-F9B3-4421-BB68-DC53DE9A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11966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Angela Roberts</cp:lastModifiedBy>
  <cp:revision>2</cp:revision>
  <dcterms:created xsi:type="dcterms:W3CDTF">2019-05-23T16:07:00Z</dcterms:created>
  <dcterms:modified xsi:type="dcterms:W3CDTF">2019-05-23T16:07:00Z</dcterms:modified>
</cp:coreProperties>
</file>