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0B958" w14:textId="77777777" w:rsidR="00583355" w:rsidRPr="004B465B" w:rsidRDefault="00583355" w:rsidP="00583355"/>
    <w:p w14:paraId="4221A751" w14:textId="77777777" w:rsidR="008D5B52" w:rsidRDefault="008D5B52" w:rsidP="008D5B52">
      <w:pPr>
        <w:pStyle w:val="TitleOfPaperCover"/>
        <w:outlineLvl w:val="0"/>
        <w:rPr>
          <w:b/>
        </w:rPr>
      </w:pPr>
    </w:p>
    <w:p w14:paraId="201CA439" w14:textId="77777777" w:rsidR="008D5B52" w:rsidRPr="00900A9F" w:rsidRDefault="008D5B52" w:rsidP="008D5B52">
      <w:pPr>
        <w:pStyle w:val="TitleOfPaperCover"/>
        <w:outlineLvl w:val="0"/>
        <w:rPr>
          <w:b/>
        </w:rPr>
      </w:pPr>
      <w:r w:rsidRPr="00900A9F">
        <w:rPr>
          <w:b/>
        </w:rPr>
        <w:t>Technical Notation as a Tool for Basic Research in Relational Frame Theory</w:t>
      </w:r>
    </w:p>
    <w:p w14:paraId="05D4D15D" w14:textId="77777777" w:rsidR="008D5B52" w:rsidRDefault="008D5B52" w:rsidP="008D5B52">
      <w:pPr>
        <w:pStyle w:val="AuthorInfo"/>
      </w:pPr>
    </w:p>
    <w:p w14:paraId="5070882B" w14:textId="77777777" w:rsidR="008D5B52" w:rsidRDefault="008D5B52" w:rsidP="008D5B52">
      <w:pPr>
        <w:pStyle w:val="AuthorInfo"/>
        <w:outlineLvl w:val="0"/>
      </w:pPr>
      <w:r>
        <w:t>Shane McLoughlin</w:t>
      </w:r>
      <w:r>
        <w:rPr>
          <w:vertAlign w:val="superscript"/>
        </w:rPr>
        <w:t>2</w:t>
      </w:r>
    </w:p>
    <w:p w14:paraId="0824B9FC" w14:textId="77777777" w:rsidR="008D5B52" w:rsidRDefault="008D5B52" w:rsidP="008D5B52">
      <w:pPr>
        <w:pStyle w:val="AuthorInfo"/>
      </w:pPr>
      <w:r>
        <w:t>Ian Tyndall</w:t>
      </w:r>
      <w:r w:rsidRPr="00F96F8E">
        <w:rPr>
          <w:vertAlign w:val="superscript"/>
        </w:rPr>
        <w:t>1</w:t>
      </w:r>
    </w:p>
    <w:p w14:paraId="03FF9C4B" w14:textId="77777777" w:rsidR="008D5B52" w:rsidRDefault="008D5B52" w:rsidP="008D5B52">
      <w:pPr>
        <w:pStyle w:val="AuthorInfo"/>
      </w:pPr>
      <w:r>
        <w:t>Teresa Mulhern</w:t>
      </w:r>
      <w:r w:rsidRPr="00F96F8E">
        <w:rPr>
          <w:vertAlign w:val="superscript"/>
        </w:rPr>
        <w:t>2</w:t>
      </w:r>
    </w:p>
    <w:p w14:paraId="001B8F04" w14:textId="77777777" w:rsidR="008D5B52" w:rsidRDefault="008D5B52" w:rsidP="008D5B52">
      <w:pPr>
        <w:pStyle w:val="AuthorInfo"/>
      </w:pPr>
      <w:r>
        <w:t>Sam Ashcroft</w:t>
      </w:r>
      <w:r>
        <w:rPr>
          <w:vertAlign w:val="superscript"/>
        </w:rPr>
        <w:t>2</w:t>
      </w:r>
    </w:p>
    <w:p w14:paraId="3C4A2E8C" w14:textId="77777777" w:rsidR="008D5B52" w:rsidRPr="00EF2C46" w:rsidRDefault="008D5B52" w:rsidP="008D5B52">
      <w:pPr>
        <w:pStyle w:val="AuthorInfo"/>
      </w:pPr>
    </w:p>
    <w:p w14:paraId="04E87D24" w14:textId="77777777" w:rsidR="008D5B52" w:rsidRDefault="008D5B52" w:rsidP="008D5B52">
      <w:pPr>
        <w:pStyle w:val="AuthorInfo"/>
        <w:outlineLvl w:val="0"/>
      </w:pPr>
      <w:r w:rsidRPr="00F96F8E">
        <w:rPr>
          <w:vertAlign w:val="superscript"/>
        </w:rPr>
        <w:t>1</w:t>
      </w:r>
      <w:r>
        <w:rPr>
          <w:vertAlign w:val="superscript"/>
        </w:rPr>
        <w:t xml:space="preserve"> </w:t>
      </w:r>
      <w:r>
        <w:t>Department of Psychology, University of Chichester, UK</w:t>
      </w:r>
    </w:p>
    <w:p w14:paraId="66158C7E" w14:textId="77777777" w:rsidR="008D5B52" w:rsidRDefault="008D5B52" w:rsidP="008D5B52">
      <w:pPr>
        <w:pStyle w:val="AuthorInfo"/>
      </w:pPr>
      <w:r>
        <w:rPr>
          <w:vertAlign w:val="superscript"/>
        </w:rPr>
        <w:t xml:space="preserve">2 </w:t>
      </w:r>
      <w:r>
        <w:t>Department of Psychology, University of Chester, UK</w:t>
      </w:r>
    </w:p>
    <w:p w14:paraId="63BBA360" w14:textId="77777777" w:rsidR="008D5B52" w:rsidRPr="00F63B49" w:rsidRDefault="008D5B52" w:rsidP="008D5B52">
      <w:pPr>
        <w:pStyle w:val="AuthorInfo"/>
      </w:pPr>
    </w:p>
    <w:p w14:paraId="30777F67" w14:textId="77777777" w:rsidR="008D5B52" w:rsidRPr="00A366C0" w:rsidRDefault="008D5B52" w:rsidP="008D5B52">
      <w:pPr>
        <w:pStyle w:val="AuthorInfo"/>
        <w:rPr>
          <w:color w:val="FF0000"/>
        </w:rPr>
      </w:pPr>
    </w:p>
    <w:p w14:paraId="2F7E0981" w14:textId="504C009D" w:rsidR="008D5B52" w:rsidRPr="00A366C0" w:rsidRDefault="008D5B52" w:rsidP="008D5B52">
      <w:pPr>
        <w:pStyle w:val="StyleRight05"/>
        <w:rPr>
          <w:rFonts w:ascii="Times New Roman" w:hAnsi="Times New Roman"/>
          <w:color w:val="FF0000"/>
        </w:rPr>
      </w:pPr>
      <w:bookmarkStart w:id="0" w:name="_GoBack"/>
      <w:bookmarkEnd w:id="0"/>
    </w:p>
    <w:p w14:paraId="113F55E2" w14:textId="77777777" w:rsidR="008D5B52" w:rsidRPr="00A366C0" w:rsidRDefault="008D5B52" w:rsidP="008D5B52">
      <w:pPr>
        <w:pStyle w:val="StyleRight05"/>
        <w:rPr>
          <w:rFonts w:ascii="Times New Roman" w:hAnsi="Times New Roman"/>
          <w:color w:val="FF0000"/>
        </w:rPr>
      </w:pPr>
    </w:p>
    <w:p w14:paraId="45CE8589" w14:textId="77777777" w:rsidR="008D5B52" w:rsidRDefault="008D5B52" w:rsidP="008D5B52">
      <w:r w:rsidRPr="00ED4F34">
        <w:rPr>
          <w:b/>
        </w:rPr>
        <w:t>Corresponding Author</w:t>
      </w:r>
      <w:r>
        <w:t xml:space="preserve">: Dr. Ian Tyndall, Department of Psychology, University of Chichester, West Sussex, PO196PE, UK. Email: </w:t>
      </w:r>
      <w:hyperlink r:id="rId8" w:history="1">
        <w:r w:rsidRPr="00367D15">
          <w:rPr>
            <w:rStyle w:val="Hyperlink"/>
          </w:rPr>
          <w:t>I.Tyndall@chi.ac.uk</w:t>
        </w:r>
      </w:hyperlink>
      <w:r>
        <w:t>. Ph: 0044-1243-816421</w:t>
      </w:r>
    </w:p>
    <w:p w14:paraId="744B60A5" w14:textId="77777777" w:rsidR="00F96F8E" w:rsidRPr="004B465B" w:rsidRDefault="00F96F8E" w:rsidP="00583355">
      <w:pPr>
        <w:pStyle w:val="AuthorInfo"/>
      </w:pPr>
    </w:p>
    <w:p w14:paraId="0AC790EE" w14:textId="77777777" w:rsidR="00583355" w:rsidRPr="004B465B" w:rsidRDefault="00583355" w:rsidP="00C01AC6">
      <w:pPr>
        <w:pStyle w:val="SectionHeading"/>
        <w:outlineLvl w:val="0"/>
        <w:rPr>
          <w:rFonts w:ascii="Times New Roman" w:hAnsi="Times New Roman"/>
          <w:b/>
        </w:rPr>
      </w:pPr>
      <w:bookmarkStart w:id="1" w:name="_Toc498243632"/>
      <w:r w:rsidRPr="004B465B">
        <w:rPr>
          <w:rFonts w:ascii="Times New Roman" w:hAnsi="Times New Roman"/>
          <w:b/>
        </w:rPr>
        <w:lastRenderedPageBreak/>
        <w:t>Abstract</w:t>
      </w:r>
      <w:bookmarkEnd w:id="1"/>
    </w:p>
    <w:p w14:paraId="250FBF06" w14:textId="486AF7A3" w:rsidR="00583355" w:rsidRPr="004B465B" w:rsidRDefault="00C10F75" w:rsidP="00583355">
      <w:pPr>
        <w:pStyle w:val="AbstractText"/>
        <w:rPr>
          <w:lang w:val="en-US"/>
        </w:rPr>
      </w:pPr>
      <w:r w:rsidRPr="004B465B">
        <w:rPr>
          <w:lang w:val="en-US"/>
        </w:rPr>
        <w:t xml:space="preserve">A core overarching aim of </w:t>
      </w:r>
      <w:r w:rsidR="007934AC" w:rsidRPr="004B465B">
        <w:rPr>
          <w:lang w:val="en-US"/>
        </w:rPr>
        <w:t xml:space="preserve">Relational Frame Theory </w:t>
      </w:r>
      <w:r w:rsidR="004F6F3B" w:rsidRPr="004B465B">
        <w:rPr>
          <w:lang w:val="en-US"/>
        </w:rPr>
        <w:t xml:space="preserve">(RFT) </w:t>
      </w:r>
      <w:r w:rsidRPr="004B465B">
        <w:rPr>
          <w:lang w:val="en-US"/>
        </w:rPr>
        <w:t xml:space="preserve">research on language and cognition is </w:t>
      </w:r>
      <w:r w:rsidR="007934AC" w:rsidRPr="004B465B">
        <w:rPr>
          <w:lang w:val="en-US"/>
        </w:rPr>
        <w:t xml:space="preserve">the prediction and influence of human </w:t>
      </w:r>
      <w:r w:rsidR="00716BB0" w:rsidRPr="004B465B">
        <w:rPr>
          <w:lang w:val="en-US"/>
        </w:rPr>
        <w:t>behavior</w:t>
      </w:r>
      <w:r w:rsidR="007934AC" w:rsidRPr="004B465B">
        <w:rPr>
          <w:lang w:val="en-US"/>
        </w:rPr>
        <w:t xml:space="preserve"> with precision, scope, and depth. However, the </w:t>
      </w:r>
      <w:r w:rsidR="004B465B">
        <w:rPr>
          <w:lang w:val="en-US"/>
        </w:rPr>
        <w:t>conceptualization</w:t>
      </w:r>
      <w:r w:rsidR="00330CDE" w:rsidRPr="004B465B">
        <w:rPr>
          <w:lang w:val="en-US"/>
        </w:rPr>
        <w:t xml:space="preserve"> and delineation of empirical investigations of higher-order language and cognition from a relational framing theoretical standpoint </w:t>
      </w:r>
      <w:r w:rsidR="007934AC" w:rsidRPr="004B465B">
        <w:rPr>
          <w:lang w:val="en-US"/>
        </w:rPr>
        <w:t xml:space="preserve">is a challenging task that requires </w:t>
      </w:r>
      <w:r w:rsidR="004F6F3B" w:rsidRPr="004B465B">
        <w:rPr>
          <w:lang w:val="en-US"/>
        </w:rPr>
        <w:t xml:space="preserve">a high degree of abstract reasoning and creativity. To that end, we propose using symbolic notation as seen in early RFT experimental literature as a possible </w:t>
      </w:r>
      <w:r w:rsidR="00330CDE" w:rsidRPr="004B465B">
        <w:rPr>
          <w:lang w:val="en-US"/>
        </w:rPr>
        <w:t xml:space="preserve">functional-analytical </w:t>
      </w:r>
      <w:r w:rsidR="004F6F3B" w:rsidRPr="004B465B">
        <w:rPr>
          <w:lang w:val="en-US"/>
        </w:rPr>
        <w:t>tool to aid in the</w:t>
      </w:r>
      <w:r w:rsidR="0095692D" w:rsidRPr="004B465B">
        <w:rPr>
          <w:lang w:val="en-US"/>
        </w:rPr>
        <w:t xml:space="preserve"> articulation of hypotheses and</w:t>
      </w:r>
      <w:r w:rsidR="004F6F3B" w:rsidRPr="004B465B">
        <w:rPr>
          <w:lang w:val="en-US"/>
        </w:rPr>
        <w:t xml:space="preserve"> design of </w:t>
      </w:r>
      <w:r w:rsidR="00330CDE" w:rsidRPr="004B465B">
        <w:rPr>
          <w:lang w:val="en-US"/>
        </w:rPr>
        <w:t xml:space="preserve">such </w:t>
      </w:r>
      <w:r w:rsidR="004F6F3B" w:rsidRPr="004B465B">
        <w:rPr>
          <w:lang w:val="en-US"/>
        </w:rPr>
        <w:t xml:space="preserve">experiments. In this </w:t>
      </w:r>
      <w:r w:rsidR="00FF10D5">
        <w:rPr>
          <w:lang w:val="en-US"/>
        </w:rPr>
        <w:t>article,</w:t>
      </w:r>
      <w:r w:rsidR="004F6F3B" w:rsidRPr="004B465B">
        <w:rPr>
          <w:lang w:val="en-US"/>
        </w:rPr>
        <w:t xml:space="preserve"> we provide examples of aspects of cognition previously identified in RFT literature and how they can be articulated </w:t>
      </w:r>
      <w:r w:rsidR="00330CDE" w:rsidRPr="004B465B">
        <w:rPr>
          <w:lang w:val="en-US"/>
        </w:rPr>
        <w:t>rather</w:t>
      </w:r>
      <w:r w:rsidR="007F452C" w:rsidRPr="004B465B">
        <w:rPr>
          <w:lang w:val="en-US"/>
        </w:rPr>
        <w:t xml:space="preserve"> </w:t>
      </w:r>
      <w:r w:rsidR="006812F3" w:rsidRPr="004B465B">
        <w:rPr>
          <w:lang w:val="en-US"/>
        </w:rPr>
        <w:t>more concisely using</w:t>
      </w:r>
      <w:r w:rsidR="004F6F3B" w:rsidRPr="004B465B">
        <w:rPr>
          <w:lang w:val="en-US"/>
        </w:rPr>
        <w:t xml:space="preserve"> </w:t>
      </w:r>
      <w:r w:rsidR="00B570B8" w:rsidRPr="004B465B">
        <w:rPr>
          <w:lang w:val="en-US"/>
        </w:rPr>
        <w:t xml:space="preserve">technical </w:t>
      </w:r>
      <w:r w:rsidR="004F6F3B" w:rsidRPr="004B465B">
        <w:rPr>
          <w:lang w:val="en-US"/>
        </w:rPr>
        <w:t>notation</w:t>
      </w:r>
      <w:r w:rsidR="006812F3" w:rsidRPr="004B465B">
        <w:rPr>
          <w:lang w:val="en-US"/>
        </w:rPr>
        <w:t xml:space="preserve"> than in-text illustration</w:t>
      </w:r>
      <w:r w:rsidR="004F6F3B" w:rsidRPr="004B465B">
        <w:rPr>
          <w:lang w:val="en-US"/>
        </w:rPr>
        <w:t xml:space="preserve">. We then provide </w:t>
      </w:r>
      <w:r w:rsidRPr="004B465B">
        <w:rPr>
          <w:lang w:val="en-US"/>
        </w:rPr>
        <w:t xml:space="preserve">a brief </w:t>
      </w:r>
      <w:r w:rsidR="006812F3" w:rsidRPr="004B465B">
        <w:rPr>
          <w:lang w:val="en-US"/>
        </w:rPr>
        <w:t>demonstration of the utility of notation by offering</w:t>
      </w:r>
      <w:r w:rsidR="006812F3" w:rsidRPr="004B465B" w:rsidDel="006812F3">
        <w:rPr>
          <w:lang w:val="en-US"/>
        </w:rPr>
        <w:t xml:space="preserve"> </w:t>
      </w:r>
      <w:r w:rsidR="004F6F3B" w:rsidRPr="004B465B">
        <w:rPr>
          <w:lang w:val="en-US"/>
        </w:rPr>
        <w:t>examples of</w:t>
      </w:r>
      <w:r w:rsidR="0095692D" w:rsidRPr="004B465B">
        <w:rPr>
          <w:lang w:val="en-US"/>
        </w:rPr>
        <w:t xml:space="preserve"> </w:t>
      </w:r>
      <w:r w:rsidR="006812F3" w:rsidRPr="004B465B">
        <w:rPr>
          <w:lang w:val="en-US"/>
        </w:rPr>
        <w:t xml:space="preserve">several novel </w:t>
      </w:r>
      <w:r w:rsidR="004F6F3B" w:rsidRPr="004B465B">
        <w:rPr>
          <w:lang w:val="en-US"/>
        </w:rPr>
        <w:t xml:space="preserve">experiments </w:t>
      </w:r>
      <w:r w:rsidR="006812F3" w:rsidRPr="004B465B">
        <w:rPr>
          <w:lang w:val="en-US"/>
        </w:rPr>
        <w:t>and hypotheses in notation format</w:t>
      </w:r>
      <w:r w:rsidR="004F6F3B" w:rsidRPr="004B465B">
        <w:rPr>
          <w:lang w:val="en-US"/>
        </w:rPr>
        <w:t xml:space="preserve">. In two tables, we provide a “key” for understanding the </w:t>
      </w:r>
      <w:r w:rsidR="00B570B8" w:rsidRPr="004B465B">
        <w:rPr>
          <w:lang w:val="en-US"/>
        </w:rPr>
        <w:t>technical</w:t>
      </w:r>
      <w:r w:rsidR="004F6F3B" w:rsidRPr="004B465B">
        <w:rPr>
          <w:lang w:val="en-US"/>
        </w:rPr>
        <w:t xml:space="preserve"> notation written</w:t>
      </w:r>
      <w:r w:rsidR="00262FF9" w:rsidRPr="004B465B">
        <w:rPr>
          <w:lang w:val="en-US"/>
        </w:rPr>
        <w:t xml:space="preserve"> herein</w:t>
      </w:r>
      <w:r w:rsidR="00C92DB7" w:rsidRPr="004B465B">
        <w:rPr>
          <w:lang w:val="en-US"/>
        </w:rPr>
        <w:t xml:space="preserve">, which </w:t>
      </w:r>
      <w:r w:rsidR="00F70DAE" w:rsidRPr="004B465B">
        <w:rPr>
          <w:lang w:val="en-US"/>
        </w:rPr>
        <w:t xml:space="preserve">other basic-science </w:t>
      </w:r>
      <w:r w:rsidR="00C92DB7" w:rsidRPr="004B465B">
        <w:rPr>
          <w:lang w:val="en-US"/>
        </w:rPr>
        <w:t>researchers may decide to draw on in future</w:t>
      </w:r>
      <w:r w:rsidR="004F6F3B" w:rsidRPr="004B465B">
        <w:rPr>
          <w:lang w:val="en-US"/>
        </w:rPr>
        <w:t>.</w:t>
      </w:r>
      <w:r w:rsidR="00262FF9" w:rsidRPr="004B465B">
        <w:rPr>
          <w:lang w:val="en-US"/>
        </w:rPr>
        <w:t xml:space="preserve"> </w:t>
      </w:r>
      <w:r w:rsidR="001B4335" w:rsidRPr="004B465B">
        <w:rPr>
          <w:lang w:val="en-US"/>
        </w:rPr>
        <w:t>To conclude, t</w:t>
      </w:r>
      <w:r w:rsidR="00262FF9" w:rsidRPr="004B465B">
        <w:rPr>
          <w:lang w:val="en-US"/>
        </w:rPr>
        <w:t xml:space="preserve">his </w:t>
      </w:r>
      <w:r w:rsidR="00FF10D5">
        <w:rPr>
          <w:lang w:val="en-US"/>
        </w:rPr>
        <w:t>article</w:t>
      </w:r>
      <w:r w:rsidR="00262FF9" w:rsidRPr="004B465B">
        <w:rPr>
          <w:lang w:val="en-US"/>
        </w:rPr>
        <w:t xml:space="preserve"> is intended to be a useful resource </w:t>
      </w:r>
      <w:r w:rsidRPr="004B465B">
        <w:rPr>
          <w:lang w:val="en-US"/>
        </w:rPr>
        <w:t xml:space="preserve">to those </w:t>
      </w:r>
      <w:r w:rsidR="00262FF9" w:rsidRPr="004B465B">
        <w:rPr>
          <w:lang w:val="en-US"/>
        </w:rPr>
        <w:t>who wish to carry out basic RFT research</w:t>
      </w:r>
      <w:r w:rsidR="0095692D" w:rsidRPr="004B465B">
        <w:rPr>
          <w:lang w:val="en-US"/>
        </w:rPr>
        <w:t xml:space="preserve"> </w:t>
      </w:r>
      <w:r w:rsidRPr="004B465B">
        <w:rPr>
          <w:lang w:val="en-US"/>
        </w:rPr>
        <w:t>on complex language and cognition with greater technical clarity, precision, and broad scope.</w:t>
      </w:r>
    </w:p>
    <w:p w14:paraId="6820045F" w14:textId="77777777" w:rsidR="0084244C" w:rsidRPr="004B465B" w:rsidRDefault="00143BD7" w:rsidP="00583355">
      <w:pPr>
        <w:pStyle w:val="AbstractText"/>
        <w:rPr>
          <w:lang w:val="en-US"/>
        </w:rPr>
      </w:pPr>
      <w:r w:rsidRPr="004B465B">
        <w:rPr>
          <w:i/>
          <w:lang w:val="en-US"/>
        </w:rPr>
        <w:t xml:space="preserve"> </w:t>
      </w:r>
      <w:r w:rsidR="0084244C" w:rsidRPr="004B465B">
        <w:rPr>
          <w:i/>
          <w:lang w:val="en-US"/>
        </w:rPr>
        <w:t>Keywords:</w:t>
      </w:r>
      <w:r w:rsidR="00F63B49" w:rsidRPr="004B465B">
        <w:rPr>
          <w:lang w:val="en-US"/>
        </w:rPr>
        <w:t xml:space="preserve"> </w:t>
      </w:r>
      <w:r w:rsidR="007934AC" w:rsidRPr="004B465B">
        <w:rPr>
          <w:lang w:val="en-US"/>
        </w:rPr>
        <w:t>relational frame theory</w:t>
      </w:r>
      <w:r w:rsidR="0084244C" w:rsidRPr="004B465B">
        <w:rPr>
          <w:lang w:val="en-US"/>
        </w:rPr>
        <w:t xml:space="preserve">, </w:t>
      </w:r>
      <w:r w:rsidR="007934AC" w:rsidRPr="004B465B">
        <w:rPr>
          <w:lang w:val="en-US"/>
        </w:rPr>
        <w:t>basic research</w:t>
      </w:r>
      <w:r w:rsidR="0084244C" w:rsidRPr="004B465B">
        <w:rPr>
          <w:lang w:val="en-US"/>
        </w:rPr>
        <w:t xml:space="preserve">, </w:t>
      </w:r>
      <w:r w:rsidR="007934AC" w:rsidRPr="004B465B">
        <w:rPr>
          <w:lang w:val="en-US"/>
        </w:rPr>
        <w:t>notation</w:t>
      </w:r>
      <w:r w:rsidR="007147F8" w:rsidRPr="004B465B">
        <w:rPr>
          <w:lang w:val="en-US"/>
        </w:rPr>
        <w:t>, experimentation, precision, future research</w:t>
      </w:r>
    </w:p>
    <w:p w14:paraId="2F549D62" w14:textId="77777777" w:rsidR="00583355" w:rsidRPr="004B465B" w:rsidRDefault="00653556" w:rsidP="00CE2D85">
      <w:pPr>
        <w:pStyle w:val="SectionHeading"/>
        <w:outlineLvl w:val="0"/>
        <w:rPr>
          <w:rFonts w:ascii="Times New Roman" w:hAnsi="Times New Roman"/>
          <w:b/>
        </w:rPr>
      </w:pPr>
      <w:r w:rsidRPr="004B465B">
        <w:rPr>
          <w:rFonts w:ascii="Times New Roman" w:hAnsi="Times New Roman"/>
          <w:b/>
        </w:rPr>
        <w:lastRenderedPageBreak/>
        <w:t>Technical Notation as a Tool for Basic Research in Relational Frame Theory</w:t>
      </w:r>
    </w:p>
    <w:p w14:paraId="5C268F84" w14:textId="273EFB96" w:rsidR="00075CBD" w:rsidRPr="004B465B" w:rsidRDefault="00075CBD" w:rsidP="00075CBD">
      <w:pPr>
        <w:pStyle w:val="BodyText"/>
        <w:tabs>
          <w:tab w:val="clear" w:pos="8640"/>
        </w:tabs>
        <w:rPr>
          <w:lang w:val="en-US"/>
        </w:rPr>
      </w:pPr>
      <w:r w:rsidRPr="004B465B">
        <w:rPr>
          <w:lang w:val="en-US"/>
        </w:rPr>
        <w:t xml:space="preserve">We are at an </w:t>
      </w:r>
      <w:r w:rsidRPr="004B465B">
        <w:rPr>
          <w:noProof/>
          <w:lang w:val="en-US"/>
        </w:rPr>
        <w:t>interesting</w:t>
      </w:r>
      <w:r w:rsidRPr="004B465B">
        <w:rPr>
          <w:lang w:val="en-US"/>
        </w:rPr>
        <w:t xml:space="preserve"> juncture in our capacity to provide </w:t>
      </w:r>
      <w:r w:rsidR="001B4335" w:rsidRPr="004B465B">
        <w:rPr>
          <w:lang w:val="en-US"/>
        </w:rPr>
        <w:t xml:space="preserve">parsimonious </w:t>
      </w:r>
      <w:r w:rsidRPr="004B465B">
        <w:rPr>
          <w:lang w:val="en-US"/>
        </w:rPr>
        <w:t xml:space="preserve">yet fruitful </w:t>
      </w:r>
      <w:r w:rsidRPr="004B465B">
        <w:rPr>
          <w:noProof/>
          <w:lang w:val="en-US"/>
        </w:rPr>
        <w:t>behavior-analytic</w:t>
      </w:r>
      <w:r w:rsidRPr="004B465B">
        <w:rPr>
          <w:lang w:val="en-US"/>
        </w:rPr>
        <w:t xml:space="preserve"> accounts of verbal or symbolic </w:t>
      </w:r>
      <w:r w:rsidRPr="004B465B">
        <w:rPr>
          <w:noProof/>
          <w:lang w:val="en-US"/>
        </w:rPr>
        <w:t>behavior</w:t>
      </w:r>
      <w:r w:rsidRPr="004B465B">
        <w:rPr>
          <w:lang w:val="en-US"/>
        </w:rPr>
        <w:t xml:space="preserve">. </w:t>
      </w:r>
      <w:r w:rsidR="008130A3" w:rsidRPr="004B465B">
        <w:rPr>
          <w:noProof/>
          <w:lang w:val="en-US"/>
        </w:rPr>
        <w:t xml:space="preserve">In the present </w:t>
      </w:r>
      <w:r w:rsidR="00FF10D5">
        <w:rPr>
          <w:noProof/>
          <w:lang w:val="en-US"/>
        </w:rPr>
        <w:t>article</w:t>
      </w:r>
      <w:r w:rsidR="008130A3" w:rsidRPr="004B465B">
        <w:rPr>
          <w:noProof/>
          <w:lang w:val="en-US"/>
        </w:rPr>
        <w:t>, we</w:t>
      </w:r>
      <w:r w:rsidRPr="004B465B">
        <w:rPr>
          <w:noProof/>
          <w:lang w:val="en-US"/>
        </w:rPr>
        <w:t xml:space="preserve"> highlight a</w:t>
      </w:r>
      <w:r w:rsidR="001B4335" w:rsidRPr="004B465B">
        <w:rPr>
          <w:noProof/>
          <w:lang w:val="en-US"/>
        </w:rPr>
        <w:t xml:space="preserve"> somewhat neglected </w:t>
      </w:r>
      <w:r w:rsidR="008130A3" w:rsidRPr="004B465B">
        <w:rPr>
          <w:noProof/>
          <w:lang w:val="en-US"/>
        </w:rPr>
        <w:t xml:space="preserve">but </w:t>
      </w:r>
      <w:r w:rsidR="001B4335" w:rsidRPr="004B465B">
        <w:rPr>
          <w:noProof/>
          <w:lang w:val="en-US"/>
        </w:rPr>
        <w:t>highly pragmatic</w:t>
      </w:r>
      <w:r w:rsidR="007F452C" w:rsidRPr="004B465B">
        <w:rPr>
          <w:noProof/>
          <w:lang w:val="en-US"/>
        </w:rPr>
        <w:t xml:space="preserve"> </w:t>
      </w:r>
      <w:r w:rsidR="001B4335" w:rsidRPr="004B465B">
        <w:rPr>
          <w:noProof/>
          <w:lang w:val="en-US"/>
        </w:rPr>
        <w:t>Relational Frame Theory (RFT</w:t>
      </w:r>
      <w:r w:rsidR="000E4E02" w:rsidRPr="004B465B">
        <w:rPr>
          <w:noProof/>
          <w:lang w:val="en-US"/>
        </w:rPr>
        <w:t>;</w:t>
      </w:r>
      <w:r w:rsidR="001B4335" w:rsidRPr="004B465B">
        <w:rPr>
          <w:noProof/>
          <w:lang w:val="en-US"/>
        </w:rPr>
        <w:t xml:space="preserve"> Hayes, Barnes-Holmes, &amp; Roche, 2001) technical </w:t>
      </w:r>
      <w:r w:rsidRPr="004B465B">
        <w:rPr>
          <w:noProof/>
          <w:lang w:val="en-US"/>
        </w:rPr>
        <w:t>notation that may help interested researchers in the field</w:t>
      </w:r>
      <w:r w:rsidR="00C01AC6" w:rsidRPr="004B465B">
        <w:rPr>
          <w:noProof/>
          <w:lang w:val="en-US"/>
        </w:rPr>
        <w:t xml:space="preserve"> </w:t>
      </w:r>
      <w:r w:rsidRPr="004B465B">
        <w:rPr>
          <w:noProof/>
          <w:lang w:val="en-US"/>
        </w:rPr>
        <w:t xml:space="preserve">to </w:t>
      </w:r>
      <w:r w:rsidR="008130A3" w:rsidRPr="004B465B">
        <w:rPr>
          <w:noProof/>
          <w:lang w:val="en-US"/>
        </w:rPr>
        <w:t>(</w:t>
      </w:r>
      <w:r w:rsidR="00FF10D5">
        <w:rPr>
          <w:noProof/>
          <w:lang w:val="en-US"/>
        </w:rPr>
        <w:t>1</w:t>
      </w:r>
      <w:r w:rsidR="008130A3" w:rsidRPr="004B465B">
        <w:rPr>
          <w:noProof/>
          <w:lang w:val="en-US"/>
        </w:rPr>
        <w:t xml:space="preserve">) </w:t>
      </w:r>
      <w:r w:rsidRPr="004B465B">
        <w:rPr>
          <w:noProof/>
          <w:lang w:val="en-US"/>
        </w:rPr>
        <w:t xml:space="preserve">formulate </w:t>
      </w:r>
      <w:r w:rsidR="008130A3" w:rsidRPr="004B465B">
        <w:rPr>
          <w:noProof/>
          <w:lang w:val="en-US"/>
        </w:rPr>
        <w:t xml:space="preserve">precise </w:t>
      </w:r>
      <w:r w:rsidRPr="004B465B">
        <w:rPr>
          <w:noProof/>
          <w:lang w:val="en-US"/>
        </w:rPr>
        <w:t>research questions and empirical designs</w:t>
      </w:r>
      <w:r w:rsidR="00C01AC6" w:rsidRPr="004B465B">
        <w:rPr>
          <w:noProof/>
          <w:lang w:val="en-US"/>
        </w:rPr>
        <w:t>,</w:t>
      </w:r>
      <w:r w:rsidRPr="004B465B">
        <w:rPr>
          <w:noProof/>
          <w:lang w:val="en-US"/>
        </w:rPr>
        <w:t xml:space="preserve"> </w:t>
      </w:r>
      <w:r w:rsidR="008130A3" w:rsidRPr="004B465B">
        <w:rPr>
          <w:noProof/>
          <w:lang w:val="en-US"/>
        </w:rPr>
        <w:t>and (</w:t>
      </w:r>
      <w:r w:rsidR="00FF10D5">
        <w:rPr>
          <w:noProof/>
          <w:lang w:val="en-US"/>
        </w:rPr>
        <w:t>2</w:t>
      </w:r>
      <w:r w:rsidR="008130A3" w:rsidRPr="004B465B">
        <w:rPr>
          <w:noProof/>
          <w:lang w:val="en-US"/>
        </w:rPr>
        <w:t>) to avoid mid</w:t>
      </w:r>
      <w:r w:rsidR="009926EF" w:rsidRPr="004B465B">
        <w:rPr>
          <w:noProof/>
          <w:lang w:val="en-US"/>
        </w:rPr>
        <w:t>dle</w:t>
      </w:r>
      <w:r w:rsidR="008130A3" w:rsidRPr="004B465B">
        <w:rPr>
          <w:noProof/>
          <w:lang w:val="en-US"/>
        </w:rPr>
        <w:t>-level terms while conducting basic research.</w:t>
      </w:r>
      <w:r w:rsidR="008130A3" w:rsidRPr="004B465B">
        <w:rPr>
          <w:lang w:val="en-US"/>
        </w:rPr>
        <w:t xml:space="preserve"> </w:t>
      </w:r>
      <w:r w:rsidR="00B570B8" w:rsidRPr="004B465B">
        <w:rPr>
          <w:lang w:val="en-US"/>
        </w:rPr>
        <w:t xml:space="preserve">We </w:t>
      </w:r>
      <w:r w:rsidR="00777583" w:rsidRPr="004B465B">
        <w:rPr>
          <w:lang w:val="en-US"/>
        </w:rPr>
        <w:t xml:space="preserve">then </w:t>
      </w:r>
      <w:r w:rsidR="00B570B8" w:rsidRPr="004B465B">
        <w:rPr>
          <w:lang w:val="en-US"/>
        </w:rPr>
        <w:t xml:space="preserve">develop this notation to allow </w:t>
      </w:r>
      <w:r w:rsidR="008130A3" w:rsidRPr="004B465B">
        <w:rPr>
          <w:lang w:val="en-US"/>
        </w:rPr>
        <w:t>researchers to use it to (</w:t>
      </w:r>
      <w:r w:rsidR="00FF10D5">
        <w:rPr>
          <w:lang w:val="en-US"/>
        </w:rPr>
        <w:t>1</w:t>
      </w:r>
      <w:r w:rsidR="008130A3" w:rsidRPr="004B465B">
        <w:rPr>
          <w:lang w:val="en-US"/>
        </w:rPr>
        <w:t>) formulate testable hypotheses with precision</w:t>
      </w:r>
      <w:r w:rsidR="00355645" w:rsidRPr="004B465B">
        <w:rPr>
          <w:lang w:val="en-US"/>
        </w:rPr>
        <w:t>,</w:t>
      </w:r>
      <w:r w:rsidR="008130A3" w:rsidRPr="004B465B">
        <w:rPr>
          <w:lang w:val="en-US"/>
        </w:rPr>
        <w:t xml:space="preserve"> and (</w:t>
      </w:r>
      <w:r w:rsidR="00FF10D5">
        <w:rPr>
          <w:lang w:val="en-US"/>
        </w:rPr>
        <w:t>2</w:t>
      </w:r>
      <w:r w:rsidR="008130A3" w:rsidRPr="004B465B">
        <w:rPr>
          <w:lang w:val="en-US"/>
        </w:rPr>
        <w:t>) to design studies of complex cognition that are logical extensions of existing theory, but are</w:t>
      </w:r>
      <w:r w:rsidR="00296238" w:rsidRPr="004B465B">
        <w:rPr>
          <w:lang w:val="en-US"/>
        </w:rPr>
        <w:t xml:space="preserve"> </w:t>
      </w:r>
      <w:r w:rsidR="001B4335" w:rsidRPr="004B465B">
        <w:rPr>
          <w:lang w:val="en-US"/>
        </w:rPr>
        <w:t xml:space="preserve">difficult to </w:t>
      </w:r>
      <w:r w:rsidR="001B4335" w:rsidRPr="004B465B">
        <w:rPr>
          <w:noProof/>
          <w:lang w:val="en-US"/>
        </w:rPr>
        <w:t>clearly</w:t>
      </w:r>
      <w:r w:rsidR="001B4335" w:rsidRPr="004B465B">
        <w:rPr>
          <w:lang w:val="en-US"/>
        </w:rPr>
        <w:t xml:space="preserve"> articulate </w:t>
      </w:r>
      <w:r w:rsidR="008130A3" w:rsidRPr="004B465B">
        <w:rPr>
          <w:lang w:val="en-US"/>
        </w:rPr>
        <w:t>in colloquial terms</w:t>
      </w:r>
      <w:r w:rsidR="00355645" w:rsidRPr="004B465B">
        <w:rPr>
          <w:lang w:val="en-US"/>
        </w:rPr>
        <w:t>.</w:t>
      </w:r>
      <w:r w:rsidR="008130A3" w:rsidRPr="004B465B">
        <w:rPr>
          <w:lang w:val="en-US"/>
        </w:rPr>
        <w:t xml:space="preserve"> </w:t>
      </w:r>
      <w:r w:rsidR="00B570B8" w:rsidRPr="004B465B">
        <w:rPr>
          <w:lang w:val="en-US"/>
        </w:rPr>
        <w:t>Finally, we offer several</w:t>
      </w:r>
      <w:r w:rsidR="00296238" w:rsidRPr="004B465B">
        <w:rPr>
          <w:lang w:val="en-US"/>
        </w:rPr>
        <w:t xml:space="preserve"> concise</w:t>
      </w:r>
      <w:r w:rsidR="00B570B8" w:rsidRPr="004B465B">
        <w:rPr>
          <w:lang w:val="en-US"/>
        </w:rPr>
        <w:t xml:space="preserve"> novel hypotheses using this not</w:t>
      </w:r>
      <w:r w:rsidR="006812F3" w:rsidRPr="004B465B">
        <w:rPr>
          <w:lang w:val="en-US"/>
        </w:rPr>
        <w:t>a</w:t>
      </w:r>
      <w:r w:rsidR="00B570B8" w:rsidRPr="004B465B">
        <w:rPr>
          <w:lang w:val="en-US"/>
        </w:rPr>
        <w:t>tion.</w:t>
      </w:r>
      <w:r w:rsidR="00777583" w:rsidRPr="004B465B">
        <w:rPr>
          <w:lang w:val="en-US"/>
        </w:rPr>
        <w:t xml:space="preserve"> This </w:t>
      </w:r>
      <w:r w:rsidR="00FF10D5">
        <w:rPr>
          <w:lang w:val="en-US"/>
        </w:rPr>
        <w:t>article</w:t>
      </w:r>
      <w:r w:rsidR="00777583" w:rsidRPr="004B465B">
        <w:rPr>
          <w:lang w:val="en-US"/>
        </w:rPr>
        <w:t xml:space="preserve"> </w:t>
      </w:r>
      <w:r w:rsidR="00777583" w:rsidRPr="004B465B">
        <w:rPr>
          <w:noProof/>
          <w:lang w:val="en-US"/>
        </w:rPr>
        <w:t>is aimed</w:t>
      </w:r>
      <w:r w:rsidR="00777583" w:rsidRPr="004B465B">
        <w:rPr>
          <w:lang w:val="en-US"/>
        </w:rPr>
        <w:t xml:space="preserve"> at experimental researchers who program and run </w:t>
      </w:r>
      <w:r w:rsidR="00F562D3" w:rsidRPr="004B465B">
        <w:rPr>
          <w:lang w:val="en-US"/>
        </w:rPr>
        <w:t xml:space="preserve">basic-science </w:t>
      </w:r>
      <w:r w:rsidR="00777583" w:rsidRPr="004B465B">
        <w:rPr>
          <w:lang w:val="en-US"/>
        </w:rPr>
        <w:t>experiments</w:t>
      </w:r>
      <w:r w:rsidR="00F562D3" w:rsidRPr="004B465B">
        <w:rPr>
          <w:lang w:val="en-US"/>
        </w:rPr>
        <w:t xml:space="preserve"> rather than applied researchers concerned with testing “mid</w:t>
      </w:r>
      <w:r w:rsidR="009926EF" w:rsidRPr="004B465B">
        <w:rPr>
          <w:lang w:val="en-US"/>
        </w:rPr>
        <w:t>dle</w:t>
      </w:r>
      <w:r w:rsidR="00F562D3" w:rsidRPr="004B465B">
        <w:rPr>
          <w:lang w:val="en-US"/>
        </w:rPr>
        <w:t>-level” applications of R</w:t>
      </w:r>
      <w:r w:rsidR="001B4335" w:rsidRPr="004B465B">
        <w:rPr>
          <w:lang w:val="en-US"/>
        </w:rPr>
        <w:t>FT.</w:t>
      </w:r>
      <w:r w:rsidR="00F562D3" w:rsidRPr="004B465B">
        <w:rPr>
          <w:lang w:val="en-US"/>
        </w:rPr>
        <w:t xml:space="preserve"> </w:t>
      </w:r>
      <w:r w:rsidR="006812F3" w:rsidRPr="004B465B">
        <w:rPr>
          <w:lang w:val="en-US"/>
        </w:rPr>
        <w:t xml:space="preserve">We anticipate that the use of this notation </w:t>
      </w:r>
      <w:r w:rsidR="00355645" w:rsidRPr="004B465B">
        <w:rPr>
          <w:lang w:val="en-US"/>
        </w:rPr>
        <w:t>could</w:t>
      </w:r>
      <w:r w:rsidR="006812F3" w:rsidRPr="004B465B">
        <w:rPr>
          <w:lang w:val="en-US"/>
        </w:rPr>
        <w:t xml:space="preserve"> increase the efficiency of </w:t>
      </w:r>
      <w:r w:rsidR="00355645" w:rsidRPr="004B465B">
        <w:rPr>
          <w:lang w:val="en-US"/>
        </w:rPr>
        <w:t xml:space="preserve">scientific </w:t>
      </w:r>
      <w:r w:rsidR="006812F3" w:rsidRPr="004B465B">
        <w:rPr>
          <w:lang w:val="en-US"/>
        </w:rPr>
        <w:t>research communication and decrease the encroachment of mid</w:t>
      </w:r>
      <w:r w:rsidR="009926EF" w:rsidRPr="004B465B">
        <w:rPr>
          <w:lang w:val="en-US"/>
        </w:rPr>
        <w:t>dle</w:t>
      </w:r>
      <w:r w:rsidR="006812F3" w:rsidRPr="004B465B">
        <w:rPr>
          <w:lang w:val="en-US"/>
        </w:rPr>
        <w:t>-level terms within RFT laboratories</w:t>
      </w:r>
      <w:r w:rsidR="00C0355C" w:rsidRPr="004B465B">
        <w:rPr>
          <w:lang w:val="en-US"/>
        </w:rPr>
        <w:t xml:space="preserve"> when working out fundamental principles upon which therapies are based</w:t>
      </w:r>
      <w:r w:rsidR="006812F3" w:rsidRPr="004B465B">
        <w:rPr>
          <w:lang w:val="en-US"/>
        </w:rPr>
        <w:t>.</w:t>
      </w:r>
    </w:p>
    <w:p w14:paraId="4E5CAFC4" w14:textId="77777777" w:rsidR="00075CBD" w:rsidRPr="004B465B" w:rsidRDefault="00CD4E54" w:rsidP="005412BB">
      <w:pPr>
        <w:pStyle w:val="BodyText"/>
        <w:tabs>
          <w:tab w:val="clear" w:pos="8640"/>
        </w:tabs>
        <w:rPr>
          <w:lang w:val="en-US"/>
        </w:rPr>
      </w:pPr>
      <w:r w:rsidRPr="004B465B">
        <w:rPr>
          <w:lang w:val="en-US"/>
        </w:rPr>
        <w:t xml:space="preserve">Language generativity and symbolism remain difficult challenges for </w:t>
      </w:r>
      <w:r w:rsidRPr="004B465B">
        <w:rPr>
          <w:noProof/>
          <w:lang w:val="en-US"/>
        </w:rPr>
        <w:t>behavior</w:t>
      </w:r>
      <w:r w:rsidRPr="004B465B">
        <w:rPr>
          <w:lang w:val="en-US"/>
        </w:rPr>
        <w:t xml:space="preserve"> analys</w:t>
      </w:r>
      <w:r w:rsidR="001B4335" w:rsidRPr="004B465B">
        <w:rPr>
          <w:lang w:val="en-US"/>
        </w:rPr>
        <w:t>ts</w:t>
      </w:r>
      <w:r w:rsidRPr="004B465B">
        <w:rPr>
          <w:lang w:val="en-US"/>
        </w:rPr>
        <w:t xml:space="preserve"> </w:t>
      </w:r>
      <w:r w:rsidRPr="004B465B">
        <w:rPr>
          <w:noProof/>
          <w:lang w:val="en-US"/>
        </w:rPr>
        <w:t>to satisfactorily explain with traditional accounts</w:t>
      </w:r>
      <w:r w:rsidRPr="004B465B">
        <w:rPr>
          <w:lang w:val="en-US"/>
        </w:rPr>
        <w:t xml:space="preserve"> (see Malott, 2003; Stewart, McElwee, &amp; Ming, 2013). However, stimulus equivalence (SE; Sidman, 1971, 1994) and derived relational responding (</w:t>
      </w:r>
      <w:r w:rsidR="00777583" w:rsidRPr="004B465B">
        <w:rPr>
          <w:lang w:val="en-US"/>
        </w:rPr>
        <w:t>e</w:t>
      </w:r>
      <w:r w:rsidRPr="004B465B">
        <w:rPr>
          <w:lang w:val="en-US"/>
        </w:rPr>
        <w:t xml:space="preserve">.g., RFT) have significantly contributed to </w:t>
      </w:r>
      <w:r w:rsidR="0005118B" w:rsidRPr="004B465B">
        <w:rPr>
          <w:noProof/>
          <w:lang w:val="en-US"/>
        </w:rPr>
        <w:t xml:space="preserve">our </w:t>
      </w:r>
      <w:r w:rsidRPr="004B465B">
        <w:rPr>
          <w:noProof/>
          <w:lang w:val="en-US"/>
        </w:rPr>
        <w:t>ability</w:t>
      </w:r>
      <w:r w:rsidRPr="004B465B">
        <w:rPr>
          <w:lang w:val="en-US"/>
        </w:rPr>
        <w:t xml:space="preserve"> to understand, explain, predict, and influence higher-order cognition</w:t>
      </w:r>
      <w:r w:rsidR="00F562D3" w:rsidRPr="004B465B">
        <w:rPr>
          <w:lang w:val="en-US"/>
        </w:rPr>
        <w:t xml:space="preserve"> (see Dymond &amp; Roche, 2013 for a book-length review)</w:t>
      </w:r>
      <w:r w:rsidRPr="004B465B">
        <w:rPr>
          <w:lang w:val="en-US"/>
        </w:rPr>
        <w:t xml:space="preserve">. </w:t>
      </w:r>
      <w:r w:rsidR="00832BED" w:rsidRPr="004B465B">
        <w:rPr>
          <w:lang w:val="en-US"/>
        </w:rPr>
        <w:t xml:space="preserve">Within RFT, derived relational responding has occasionally </w:t>
      </w:r>
      <w:r w:rsidR="00832BED" w:rsidRPr="004B465B">
        <w:rPr>
          <w:noProof/>
          <w:lang w:val="en-US"/>
        </w:rPr>
        <w:t>been termed</w:t>
      </w:r>
      <w:r w:rsidR="00832BED" w:rsidRPr="004B465B">
        <w:rPr>
          <w:lang w:val="en-US"/>
        </w:rPr>
        <w:t xml:space="preserve"> arbitrarily applicable relational responding (AARR). </w:t>
      </w:r>
      <w:r w:rsidR="00075CBD" w:rsidRPr="004B465B">
        <w:rPr>
          <w:lang w:val="en-US"/>
        </w:rPr>
        <w:t xml:space="preserve">An apparent link between </w:t>
      </w:r>
      <w:r w:rsidR="00777583" w:rsidRPr="004B465B">
        <w:rPr>
          <w:lang w:val="en-US"/>
        </w:rPr>
        <w:t xml:space="preserve">AARR </w:t>
      </w:r>
      <w:r w:rsidR="00075CBD" w:rsidRPr="004B465B">
        <w:rPr>
          <w:lang w:val="en-US"/>
        </w:rPr>
        <w:t xml:space="preserve">and language (e.g., Devany, Hayes &amp; Nelson, 1986; Dickins et al., 2001) </w:t>
      </w:r>
      <w:r w:rsidR="00777583" w:rsidRPr="004B465B">
        <w:rPr>
          <w:lang w:val="en-US"/>
        </w:rPr>
        <w:t xml:space="preserve">provides </w:t>
      </w:r>
      <w:r w:rsidR="00075CBD" w:rsidRPr="004B465B">
        <w:rPr>
          <w:lang w:val="en-US"/>
        </w:rPr>
        <w:t xml:space="preserve">evidence that symmetrical, </w:t>
      </w:r>
      <w:r w:rsidR="00075CBD" w:rsidRPr="004B465B">
        <w:rPr>
          <w:lang w:val="en-US"/>
        </w:rPr>
        <w:lastRenderedPageBreak/>
        <w:t xml:space="preserve">reflexive and transitive responding </w:t>
      </w:r>
      <w:r w:rsidR="00777583" w:rsidRPr="004B465B">
        <w:rPr>
          <w:lang w:val="en-US"/>
        </w:rPr>
        <w:t xml:space="preserve">are </w:t>
      </w:r>
      <w:r w:rsidR="00075CBD" w:rsidRPr="004B465B">
        <w:rPr>
          <w:lang w:val="en-US"/>
        </w:rPr>
        <w:t>features of language underlying its generativity</w:t>
      </w:r>
      <w:r w:rsidR="006633C2" w:rsidRPr="004B465B">
        <w:rPr>
          <w:lang w:val="en-US"/>
        </w:rPr>
        <w:t xml:space="preserve"> and complexity</w:t>
      </w:r>
      <w:r w:rsidR="00075CBD" w:rsidRPr="004B465B">
        <w:rPr>
          <w:lang w:val="en-US"/>
        </w:rPr>
        <w:t>.</w:t>
      </w:r>
      <w:r w:rsidR="00F562D3" w:rsidRPr="004B465B">
        <w:rPr>
          <w:lang w:val="en-US"/>
        </w:rPr>
        <w:t xml:space="preserve"> </w:t>
      </w:r>
      <w:r w:rsidR="008F4D13" w:rsidRPr="004B465B">
        <w:rPr>
          <w:lang w:val="en-US"/>
        </w:rPr>
        <w:t>RFT has there</w:t>
      </w:r>
      <w:r w:rsidR="006633C2" w:rsidRPr="004B465B">
        <w:rPr>
          <w:lang w:val="en-US"/>
        </w:rPr>
        <w:t>by</w:t>
      </w:r>
      <w:r w:rsidR="008F4D13" w:rsidRPr="004B465B">
        <w:rPr>
          <w:lang w:val="en-US"/>
        </w:rPr>
        <w:t xml:space="preserve"> allowed researchers to concisely define some of the most complex processes </w:t>
      </w:r>
      <w:r w:rsidR="0005118B" w:rsidRPr="004B465B">
        <w:rPr>
          <w:noProof/>
          <w:lang w:val="en-US"/>
        </w:rPr>
        <w:t>by</w:t>
      </w:r>
      <w:r w:rsidR="008F4D13" w:rsidRPr="004B465B">
        <w:rPr>
          <w:lang w:val="en-US"/>
        </w:rPr>
        <w:t xml:space="preserve"> which organisms adapt to their environments</w:t>
      </w:r>
      <w:r w:rsidR="00F852E7" w:rsidRPr="004B465B">
        <w:rPr>
          <w:lang w:val="en-US"/>
        </w:rPr>
        <w:t>, thanks to</w:t>
      </w:r>
      <w:r w:rsidR="008F4D13" w:rsidRPr="004B465B">
        <w:rPr>
          <w:lang w:val="en-US"/>
        </w:rPr>
        <w:t xml:space="preserve"> the operational precision of </w:t>
      </w:r>
      <w:r w:rsidR="008F4D13" w:rsidRPr="004B465B">
        <w:rPr>
          <w:noProof/>
          <w:lang w:val="en-US"/>
        </w:rPr>
        <w:t>behavior-analytic</w:t>
      </w:r>
      <w:r w:rsidR="008F4D13" w:rsidRPr="004B465B">
        <w:rPr>
          <w:lang w:val="en-US"/>
        </w:rPr>
        <w:t xml:space="preserve"> research.</w:t>
      </w:r>
    </w:p>
    <w:p w14:paraId="54CFD2DC" w14:textId="77777777" w:rsidR="00075CBD" w:rsidRPr="004B465B" w:rsidRDefault="00075CBD" w:rsidP="00CE2D85">
      <w:pPr>
        <w:pStyle w:val="BodyText"/>
        <w:tabs>
          <w:tab w:val="clear" w:pos="8640"/>
        </w:tabs>
        <w:ind w:firstLine="0"/>
        <w:jc w:val="center"/>
        <w:outlineLvl w:val="0"/>
        <w:rPr>
          <w:b/>
          <w:lang w:val="en-US"/>
        </w:rPr>
      </w:pPr>
      <w:r w:rsidRPr="004B465B">
        <w:rPr>
          <w:b/>
          <w:lang w:val="en-US"/>
        </w:rPr>
        <w:t>The Need for More Basic Research</w:t>
      </w:r>
    </w:p>
    <w:p w14:paraId="43D927E6" w14:textId="306ADFCF" w:rsidR="00611C93" w:rsidRPr="004B465B" w:rsidRDefault="00075CBD" w:rsidP="00143BD7">
      <w:pPr>
        <w:pStyle w:val="BodyText"/>
        <w:tabs>
          <w:tab w:val="clear" w:pos="8640"/>
        </w:tabs>
        <w:rPr>
          <w:lang w:val="en-US"/>
        </w:rPr>
      </w:pPr>
      <w:r w:rsidRPr="004B465B">
        <w:rPr>
          <w:lang w:val="en-US"/>
        </w:rPr>
        <w:t>To date, both basic and applied AARR</w:t>
      </w:r>
      <w:r w:rsidR="002B060D" w:rsidRPr="004B465B">
        <w:rPr>
          <w:lang w:val="en-US"/>
        </w:rPr>
        <w:t xml:space="preserve"> research ha</w:t>
      </w:r>
      <w:r w:rsidR="00832BED" w:rsidRPr="004B465B">
        <w:rPr>
          <w:lang w:val="en-US"/>
        </w:rPr>
        <w:t>s</w:t>
      </w:r>
      <w:r w:rsidR="002B060D" w:rsidRPr="004B465B">
        <w:rPr>
          <w:lang w:val="en-US"/>
        </w:rPr>
        <w:t xml:space="preserve"> advanced our understanding of language and cognition in numerous ways. </w:t>
      </w:r>
      <w:r w:rsidR="002B060D" w:rsidRPr="004B465B">
        <w:rPr>
          <w:noProof/>
          <w:lang w:val="en-US"/>
        </w:rPr>
        <w:t>However, despite the acknowledged link between AARR and phenomena of practical interest</w:t>
      </w:r>
      <w:r w:rsidR="00DF3311" w:rsidRPr="004B465B">
        <w:rPr>
          <w:noProof/>
          <w:lang w:val="en-US"/>
        </w:rPr>
        <w:t xml:space="preserve"> (see Barnes-Holmes, Hussey, McEnteggart, Barnes-Holmes, &amp; Foody, 2016</w:t>
      </w:r>
      <w:r w:rsidR="007349C1" w:rsidRPr="004B465B">
        <w:rPr>
          <w:noProof/>
          <w:lang w:val="en-US"/>
        </w:rPr>
        <w:t>; Cassidy</w:t>
      </w:r>
      <w:r w:rsidR="00355645" w:rsidRPr="004B465B">
        <w:rPr>
          <w:noProof/>
          <w:lang w:val="en-US"/>
        </w:rPr>
        <w:t>, Roche, Colbert, Stewart, &amp; Grey</w:t>
      </w:r>
      <w:r w:rsidR="007349C1" w:rsidRPr="004B465B">
        <w:rPr>
          <w:noProof/>
          <w:lang w:val="en-US"/>
        </w:rPr>
        <w:t>, 2016</w:t>
      </w:r>
      <w:r w:rsidR="00DF3311" w:rsidRPr="004B465B">
        <w:rPr>
          <w:noProof/>
          <w:lang w:val="en-US"/>
        </w:rPr>
        <w:t>)</w:t>
      </w:r>
      <w:r w:rsidR="002B060D" w:rsidRPr="004B465B">
        <w:rPr>
          <w:noProof/>
          <w:lang w:val="en-US"/>
        </w:rPr>
        <w:t>,</w:t>
      </w:r>
      <w:r w:rsidRPr="004B465B">
        <w:rPr>
          <w:noProof/>
          <w:lang w:val="en-US"/>
        </w:rPr>
        <w:t xml:space="preserve"> </w:t>
      </w:r>
      <w:r w:rsidR="00832BED" w:rsidRPr="004B465B">
        <w:rPr>
          <w:noProof/>
          <w:lang w:val="en-US"/>
        </w:rPr>
        <w:t xml:space="preserve">it is increasingly apparent that our understanding of AARR is far from complete and </w:t>
      </w:r>
      <w:r w:rsidR="002B060D" w:rsidRPr="004B465B">
        <w:rPr>
          <w:noProof/>
          <w:lang w:val="en-US"/>
        </w:rPr>
        <w:t xml:space="preserve">it </w:t>
      </w:r>
      <w:r w:rsidRPr="004B465B">
        <w:rPr>
          <w:noProof/>
          <w:lang w:val="en-US"/>
        </w:rPr>
        <w:t xml:space="preserve">is necessary to </w:t>
      </w:r>
      <w:r w:rsidR="00832BED" w:rsidRPr="004B465B">
        <w:rPr>
          <w:noProof/>
          <w:lang w:val="en-US"/>
        </w:rPr>
        <w:t>elucidate</w:t>
      </w:r>
      <w:r w:rsidR="00355645" w:rsidRPr="004B465B">
        <w:rPr>
          <w:noProof/>
          <w:lang w:val="en-US"/>
        </w:rPr>
        <w:t xml:space="preserve"> </w:t>
      </w:r>
      <w:r w:rsidRPr="004B465B">
        <w:rPr>
          <w:noProof/>
          <w:lang w:val="en-US"/>
        </w:rPr>
        <w:t>the fundamental features and utility of AARR</w:t>
      </w:r>
      <w:r w:rsidR="0005118B" w:rsidRPr="004B465B">
        <w:rPr>
          <w:noProof/>
          <w:lang w:val="en-US"/>
        </w:rPr>
        <w:t xml:space="preserve"> further</w:t>
      </w:r>
      <w:r w:rsidR="002B060D" w:rsidRPr="004B465B">
        <w:rPr>
          <w:noProof/>
          <w:lang w:val="en-US"/>
        </w:rPr>
        <w:t xml:space="preserve"> (</w:t>
      </w:r>
      <w:r w:rsidR="00DF3311" w:rsidRPr="004B465B">
        <w:rPr>
          <w:noProof/>
          <w:lang w:val="en-US"/>
        </w:rPr>
        <w:t xml:space="preserve">see </w:t>
      </w:r>
      <w:r w:rsidR="002B060D" w:rsidRPr="004B465B">
        <w:rPr>
          <w:noProof/>
          <w:lang w:val="en-US"/>
        </w:rPr>
        <w:t>Dymond, Roche, &amp; Bennett, 2013)</w:t>
      </w:r>
      <w:r w:rsidRPr="004B465B">
        <w:rPr>
          <w:noProof/>
          <w:lang w:val="en-US"/>
        </w:rPr>
        <w:t>.</w:t>
      </w:r>
      <w:r w:rsidRPr="004B465B">
        <w:rPr>
          <w:lang w:val="en-US"/>
        </w:rPr>
        <w:t xml:space="preserve"> The need for </w:t>
      </w:r>
      <w:r w:rsidR="00A05556" w:rsidRPr="004B465B">
        <w:rPr>
          <w:lang w:val="en-US"/>
        </w:rPr>
        <w:t xml:space="preserve">further </w:t>
      </w:r>
      <w:r w:rsidRPr="004B465B">
        <w:rPr>
          <w:lang w:val="en-US"/>
        </w:rPr>
        <w:t xml:space="preserve">research is particularly acute for proponents of Acceptance and Commitment Therapy (ACT; Hayes, Strosahl, &amp; Wilson, 1999) who regularly refer to the </w:t>
      </w:r>
      <w:r w:rsidR="0005118B" w:rsidRPr="004B465B">
        <w:rPr>
          <w:noProof/>
          <w:lang w:val="en-US"/>
        </w:rPr>
        <w:t>critical</w:t>
      </w:r>
      <w:r w:rsidRPr="004B465B">
        <w:rPr>
          <w:lang w:val="en-US"/>
        </w:rPr>
        <w:t xml:space="preserve"> link between RFT and ACT</w:t>
      </w:r>
      <w:r w:rsidR="00E9349C" w:rsidRPr="004B465B">
        <w:rPr>
          <w:lang w:val="en-US"/>
        </w:rPr>
        <w:t xml:space="preserve"> (see Barnes-Holmes et al., 2016)</w:t>
      </w:r>
      <w:r w:rsidRPr="004B465B">
        <w:rPr>
          <w:lang w:val="en-US"/>
        </w:rPr>
        <w:t xml:space="preserve">. </w:t>
      </w:r>
      <w:r w:rsidR="00832BED" w:rsidRPr="004B465B">
        <w:rPr>
          <w:noProof/>
          <w:lang w:val="en-US"/>
        </w:rPr>
        <w:t xml:space="preserve">It is proposed that </w:t>
      </w:r>
      <w:r w:rsidRPr="004B465B">
        <w:rPr>
          <w:noProof/>
          <w:lang w:val="en-US"/>
        </w:rPr>
        <w:t>RFT accounts for a number of core techniques or strategies employed by ACT therapists (e.g., heav</w:t>
      </w:r>
      <w:r w:rsidR="00334AB2" w:rsidRPr="004B465B">
        <w:rPr>
          <w:noProof/>
          <w:lang w:val="en-US"/>
        </w:rPr>
        <w:t>y</w:t>
      </w:r>
      <w:r w:rsidRPr="004B465B">
        <w:rPr>
          <w:noProof/>
          <w:lang w:val="en-US"/>
        </w:rPr>
        <w:t xml:space="preserve"> relian</w:t>
      </w:r>
      <w:r w:rsidR="00334AB2" w:rsidRPr="004B465B">
        <w:rPr>
          <w:noProof/>
          <w:lang w:val="en-US"/>
        </w:rPr>
        <w:t>ce</w:t>
      </w:r>
      <w:r w:rsidRPr="004B465B">
        <w:rPr>
          <w:noProof/>
          <w:lang w:val="en-US"/>
        </w:rPr>
        <w:t xml:space="preserve"> on the use of analogies and metaphors</w:t>
      </w:r>
      <w:r w:rsidR="00832BED" w:rsidRPr="004B465B">
        <w:rPr>
          <w:noProof/>
          <w:lang w:val="en-US"/>
        </w:rPr>
        <w:t>; loosening rigid stimulus functions with cognitive defusion techniques</w:t>
      </w:r>
      <w:r w:rsidRPr="004B465B">
        <w:rPr>
          <w:noProof/>
          <w:lang w:val="en-US"/>
        </w:rPr>
        <w:t>)</w:t>
      </w:r>
      <w:r w:rsidR="0005118B" w:rsidRPr="004B465B">
        <w:rPr>
          <w:noProof/>
          <w:lang w:val="en-US"/>
        </w:rPr>
        <w:t>.</w:t>
      </w:r>
      <w:r w:rsidRPr="004B465B">
        <w:rPr>
          <w:noProof/>
          <w:lang w:val="en-US"/>
        </w:rPr>
        <w:t xml:space="preserve"> </w:t>
      </w:r>
      <w:r w:rsidR="0005118B" w:rsidRPr="004B465B">
        <w:rPr>
          <w:noProof/>
          <w:lang w:val="en-US"/>
        </w:rPr>
        <w:t>This link allows therapists</w:t>
      </w:r>
      <w:r w:rsidRPr="004B465B">
        <w:rPr>
          <w:noProof/>
          <w:lang w:val="en-US"/>
        </w:rPr>
        <w:t xml:space="preserve"> to facilitate an expansion of a client’s </w:t>
      </w:r>
      <w:r w:rsidR="00FF10D5">
        <w:rPr>
          <w:noProof/>
          <w:lang w:val="en-US"/>
        </w:rPr>
        <w:t>“</w:t>
      </w:r>
      <w:r w:rsidRPr="004B465B">
        <w:rPr>
          <w:noProof/>
          <w:lang w:val="en-US"/>
        </w:rPr>
        <w:t>psychological flexibility</w:t>
      </w:r>
      <w:r w:rsidR="00FF10D5">
        <w:rPr>
          <w:noProof/>
          <w:lang w:val="en-US"/>
        </w:rPr>
        <w:t>”</w:t>
      </w:r>
      <w:r w:rsidRPr="004B465B">
        <w:rPr>
          <w:noProof/>
          <w:lang w:val="en-US"/>
        </w:rPr>
        <w:t xml:space="preserve"> or behavioral repertoire (see Blackledge &amp; Drake, 2013).</w:t>
      </w:r>
      <w:r w:rsidRPr="004B465B">
        <w:rPr>
          <w:lang w:val="en-US"/>
        </w:rPr>
        <w:t xml:space="preserve"> Indeed, there are putative claims that a therapy </w:t>
      </w:r>
      <w:r w:rsidR="0005118B" w:rsidRPr="004B465B">
        <w:rPr>
          <w:noProof/>
          <w:lang w:val="en-US"/>
        </w:rPr>
        <w:t>mainly based</w:t>
      </w:r>
      <w:r w:rsidRPr="004B465B">
        <w:rPr>
          <w:lang w:val="en-US"/>
        </w:rPr>
        <w:t xml:space="preserve"> on RFT</w:t>
      </w:r>
      <w:r w:rsidR="002B3D5B">
        <w:rPr>
          <w:lang w:val="en-US"/>
        </w:rPr>
        <w:t xml:space="preserve">, </w:t>
      </w:r>
      <w:r w:rsidR="006071FE">
        <w:rPr>
          <w:lang w:val="en-US"/>
        </w:rPr>
        <w:t>k</w:t>
      </w:r>
      <w:r w:rsidR="002B3D5B">
        <w:rPr>
          <w:lang w:val="en-US"/>
        </w:rPr>
        <w:t>nown as Relational Frame Therapy</w:t>
      </w:r>
      <w:r w:rsidRPr="004B465B">
        <w:rPr>
          <w:lang w:val="en-US"/>
        </w:rPr>
        <w:t xml:space="preserve"> (</w:t>
      </w:r>
      <w:r w:rsidR="00F556AE" w:rsidRPr="004B465B">
        <w:rPr>
          <w:lang w:val="en-US"/>
        </w:rPr>
        <w:t>Törneke</w:t>
      </w:r>
      <w:r w:rsidRPr="004B465B">
        <w:rPr>
          <w:lang w:val="en-US"/>
        </w:rPr>
        <w:t>, 2010; Villatte, Villatte,</w:t>
      </w:r>
      <w:r w:rsidR="002D6F4D" w:rsidRPr="004B465B">
        <w:rPr>
          <w:lang w:val="en-US"/>
        </w:rPr>
        <w:t xml:space="preserve"> &amp; Hayes,</w:t>
      </w:r>
      <w:r w:rsidRPr="004B465B">
        <w:rPr>
          <w:lang w:val="en-US"/>
        </w:rPr>
        <w:t xml:space="preserve"> 2015), might feasibly be developed. </w:t>
      </w:r>
      <w:r w:rsidR="00A05556" w:rsidRPr="004B465B">
        <w:rPr>
          <w:noProof/>
          <w:lang w:val="en-US"/>
        </w:rPr>
        <w:t xml:space="preserve">Accordingly, </w:t>
      </w:r>
      <w:r w:rsidRPr="004B465B">
        <w:rPr>
          <w:noProof/>
          <w:lang w:val="en-US"/>
        </w:rPr>
        <w:t xml:space="preserve">ACT </w:t>
      </w:r>
      <w:r w:rsidR="00832BED" w:rsidRPr="004B465B">
        <w:rPr>
          <w:noProof/>
          <w:lang w:val="en-US"/>
        </w:rPr>
        <w:t xml:space="preserve">(which, admittedly continues to grow in strength and popularity regardless) </w:t>
      </w:r>
      <w:r w:rsidRPr="004B465B">
        <w:rPr>
          <w:noProof/>
          <w:lang w:val="en-US"/>
        </w:rPr>
        <w:t xml:space="preserve">and </w:t>
      </w:r>
      <w:r w:rsidR="002B3D5B">
        <w:rPr>
          <w:noProof/>
          <w:lang w:val="en-US"/>
        </w:rPr>
        <w:t xml:space="preserve">Relational Frame Therapy </w:t>
      </w:r>
      <w:r w:rsidRPr="004B465B">
        <w:rPr>
          <w:noProof/>
          <w:lang w:val="en-US"/>
        </w:rPr>
        <w:t xml:space="preserve"> would benefit from a </w:t>
      </w:r>
      <w:r w:rsidR="005646D2" w:rsidRPr="004B465B">
        <w:rPr>
          <w:noProof/>
          <w:lang w:val="en-US"/>
        </w:rPr>
        <w:t>similarly strong</w:t>
      </w:r>
      <w:r w:rsidRPr="004B465B">
        <w:rPr>
          <w:noProof/>
          <w:lang w:val="en-US"/>
        </w:rPr>
        <w:t xml:space="preserve"> empirical base of basic and </w:t>
      </w:r>
      <w:r w:rsidRPr="004B465B">
        <w:rPr>
          <w:noProof/>
          <w:lang w:val="en-US"/>
        </w:rPr>
        <w:lastRenderedPageBreak/>
        <w:t>applied research</w:t>
      </w:r>
      <w:r w:rsidR="00A05556" w:rsidRPr="004B465B">
        <w:rPr>
          <w:noProof/>
          <w:lang w:val="en-US"/>
        </w:rPr>
        <w:t xml:space="preserve"> as that found in traditional behavior therapy</w:t>
      </w:r>
      <w:r w:rsidRPr="004B465B">
        <w:rPr>
          <w:noProof/>
          <w:lang w:val="en-US"/>
        </w:rPr>
        <w:t xml:space="preserve"> (Blackledge &amp; Drake, 2013; Dymond</w:t>
      </w:r>
      <w:r w:rsidR="00832BED" w:rsidRPr="004B465B">
        <w:rPr>
          <w:noProof/>
          <w:lang w:val="en-US"/>
        </w:rPr>
        <w:t xml:space="preserve"> et al.</w:t>
      </w:r>
      <w:r w:rsidRPr="004B465B">
        <w:rPr>
          <w:noProof/>
          <w:lang w:val="en-US"/>
        </w:rPr>
        <w:t>, 2013; Guinther &amp; Dougher, 2015).</w:t>
      </w:r>
    </w:p>
    <w:p w14:paraId="7CDC848F" w14:textId="0F18D83A" w:rsidR="00611C93" w:rsidRPr="004B465B" w:rsidRDefault="00611C93" w:rsidP="00330CDE">
      <w:pPr>
        <w:pStyle w:val="BodyText"/>
        <w:tabs>
          <w:tab w:val="clear" w:pos="8640"/>
        </w:tabs>
        <w:ind w:firstLine="0"/>
        <w:jc w:val="center"/>
        <w:outlineLvl w:val="0"/>
        <w:rPr>
          <w:b/>
          <w:lang w:val="en-US"/>
        </w:rPr>
      </w:pPr>
      <w:r w:rsidRPr="004B465B">
        <w:rPr>
          <w:b/>
          <w:lang w:val="en-US"/>
        </w:rPr>
        <w:t>Mid</w:t>
      </w:r>
      <w:r w:rsidR="00832BED" w:rsidRPr="004B465B">
        <w:rPr>
          <w:b/>
          <w:lang w:val="en-US"/>
        </w:rPr>
        <w:t>dle</w:t>
      </w:r>
      <w:r w:rsidRPr="004B465B">
        <w:rPr>
          <w:b/>
          <w:lang w:val="en-US"/>
        </w:rPr>
        <w:t>-</w:t>
      </w:r>
      <w:r w:rsidR="00FF10D5">
        <w:rPr>
          <w:b/>
          <w:lang w:val="en-US"/>
        </w:rPr>
        <w:t>Level</w:t>
      </w:r>
      <w:r w:rsidRPr="004B465B">
        <w:rPr>
          <w:b/>
          <w:lang w:val="en-US"/>
        </w:rPr>
        <w:t xml:space="preserve"> Terms</w:t>
      </w:r>
    </w:p>
    <w:p w14:paraId="32D65245" w14:textId="50BBE50E" w:rsidR="00984D45" w:rsidRPr="004B465B" w:rsidRDefault="00832BED" w:rsidP="007F452C">
      <w:pPr>
        <w:pStyle w:val="BodyText"/>
        <w:rPr>
          <w:lang w:val="en-US"/>
        </w:rPr>
      </w:pPr>
      <w:r w:rsidRPr="004B465B">
        <w:rPr>
          <w:lang w:val="en-US"/>
        </w:rPr>
        <w:t>Middle-level terms (</w:t>
      </w:r>
      <w:r w:rsidR="00FF10D5">
        <w:rPr>
          <w:lang w:val="en-US"/>
        </w:rPr>
        <w:t>i.e.,</w:t>
      </w:r>
      <w:r w:rsidRPr="004B465B">
        <w:rPr>
          <w:lang w:val="en-US"/>
        </w:rPr>
        <w:t xml:space="preserve"> mid-level terms) are terms that appear to have face validity on the surface as technical operationally defined scientific terms in the clinical literature</w:t>
      </w:r>
      <w:r w:rsidR="00355645" w:rsidRPr="004B465B">
        <w:rPr>
          <w:lang w:val="en-US"/>
        </w:rPr>
        <w:t>,</w:t>
      </w:r>
      <w:r w:rsidRPr="004B465B">
        <w:rPr>
          <w:lang w:val="en-US"/>
        </w:rPr>
        <w:t xml:space="preserve"> but in fact are </w:t>
      </w:r>
      <w:r w:rsidR="00FF10D5">
        <w:rPr>
          <w:lang w:val="en-US"/>
        </w:rPr>
        <w:t>nontechnical</w:t>
      </w:r>
      <w:r w:rsidR="007407B8" w:rsidRPr="004B465B">
        <w:rPr>
          <w:lang w:val="en-US"/>
        </w:rPr>
        <w:t xml:space="preserve"> terms </w:t>
      </w:r>
      <w:r w:rsidR="001E2CE8" w:rsidRPr="004B465B">
        <w:rPr>
          <w:lang w:val="en-US"/>
        </w:rPr>
        <w:t>(</w:t>
      </w:r>
      <w:r w:rsidR="00B702A3" w:rsidRPr="004B465B">
        <w:rPr>
          <w:lang w:val="en-US"/>
        </w:rPr>
        <w:t xml:space="preserve">see </w:t>
      </w:r>
      <w:r w:rsidR="001E2CE8" w:rsidRPr="004B465B">
        <w:rPr>
          <w:lang w:val="en-US"/>
        </w:rPr>
        <w:t>Barnes-Holmes et al., 2016</w:t>
      </w:r>
      <w:r w:rsidR="00B702A3" w:rsidRPr="004B465B">
        <w:rPr>
          <w:lang w:val="en-US"/>
        </w:rPr>
        <w:t>, for a thorough overview</w:t>
      </w:r>
      <w:r w:rsidR="001E2CE8" w:rsidRPr="004B465B">
        <w:rPr>
          <w:lang w:val="en-US"/>
        </w:rPr>
        <w:t xml:space="preserve">) </w:t>
      </w:r>
      <w:r w:rsidR="00FF10D5">
        <w:rPr>
          <w:lang w:val="en-US"/>
        </w:rPr>
        <w:t>because</w:t>
      </w:r>
      <w:r w:rsidR="007407B8" w:rsidRPr="004B465B">
        <w:rPr>
          <w:lang w:val="en-US"/>
        </w:rPr>
        <w:t xml:space="preserve"> they do not help provide a precise functional account of clinical problems. </w:t>
      </w:r>
      <w:r w:rsidR="001678CA" w:rsidRPr="004B465B">
        <w:rPr>
          <w:lang w:val="en-US"/>
        </w:rPr>
        <w:t xml:space="preserve">In other words, middle-level terms might appear to be based in solid theoretical grounding, but they are regarded as </w:t>
      </w:r>
      <w:r w:rsidR="00FF10D5">
        <w:rPr>
          <w:lang w:val="en-US"/>
        </w:rPr>
        <w:t>nontechnical</w:t>
      </w:r>
      <w:r w:rsidR="001678CA" w:rsidRPr="004B465B">
        <w:rPr>
          <w:lang w:val="en-US"/>
        </w:rPr>
        <w:t xml:space="preserve"> as they did not emerge, or were generated, from basic empirical research. Barnes-Holmes et al. helpfully provided examples of what might be considered a </w:t>
      </w:r>
      <w:r w:rsidR="00FF10D5">
        <w:rPr>
          <w:lang w:val="en-US"/>
        </w:rPr>
        <w:t>“</w:t>
      </w:r>
      <w:r w:rsidR="001678CA" w:rsidRPr="004B465B">
        <w:rPr>
          <w:lang w:val="en-US"/>
        </w:rPr>
        <w:t>low-level</w:t>
      </w:r>
      <w:r w:rsidR="00FF10D5">
        <w:rPr>
          <w:lang w:val="en-US"/>
        </w:rPr>
        <w:t>”</w:t>
      </w:r>
      <w:r w:rsidR="001678CA" w:rsidRPr="004B465B">
        <w:rPr>
          <w:lang w:val="en-US"/>
        </w:rPr>
        <w:t xml:space="preserve"> term that emerged directly from basic scientific data (e.g., reinforcement) and a </w:t>
      </w:r>
      <w:r w:rsidR="00FF10D5">
        <w:rPr>
          <w:lang w:val="en-US"/>
        </w:rPr>
        <w:t>“</w:t>
      </w:r>
      <w:r w:rsidR="001678CA" w:rsidRPr="004B465B">
        <w:rPr>
          <w:lang w:val="en-US"/>
        </w:rPr>
        <w:t>high level</w:t>
      </w:r>
      <w:r w:rsidR="00FF10D5">
        <w:rPr>
          <w:lang w:val="en-US"/>
        </w:rPr>
        <w:t>”</w:t>
      </w:r>
      <w:r w:rsidR="001678CA" w:rsidRPr="004B465B">
        <w:rPr>
          <w:lang w:val="en-US"/>
        </w:rPr>
        <w:t xml:space="preserve"> term that is somewhat abstract and atheoretical (e.g., attention). Middle-level terms in ACT include the six components of psychological flexibility (acceptance, cognitive defusion, self-as-context, present-moment awareness, values clarification, and committed action)</w:t>
      </w:r>
      <w:r w:rsidR="00BB41D4" w:rsidRPr="004B465B">
        <w:rPr>
          <w:lang w:val="en-US"/>
        </w:rPr>
        <w:t>, and the broad overarching consrtruct of psychological flexibility itself</w:t>
      </w:r>
      <w:r w:rsidR="001678CA" w:rsidRPr="004B465B">
        <w:rPr>
          <w:lang w:val="en-US"/>
        </w:rPr>
        <w:t>.</w:t>
      </w:r>
      <w:r w:rsidR="00BB41D4" w:rsidRPr="004B465B">
        <w:rPr>
          <w:lang w:val="en-US"/>
        </w:rPr>
        <w:t xml:space="preserve"> The clinical literature typically treats the components of psychological flexibility and their interactions as functional behavioral processes (Barnes-Holmes et al., 2016).</w:t>
      </w:r>
      <w:r w:rsidR="001678CA" w:rsidRPr="004B465B">
        <w:rPr>
          <w:lang w:val="en-US"/>
        </w:rPr>
        <w:t xml:space="preserve"> </w:t>
      </w:r>
      <w:r w:rsidR="009926EF" w:rsidRPr="004B465B">
        <w:rPr>
          <w:lang w:val="en-US"/>
        </w:rPr>
        <w:t>However, t</w:t>
      </w:r>
      <w:r w:rsidR="007407B8" w:rsidRPr="004B465B">
        <w:rPr>
          <w:lang w:val="en-US"/>
        </w:rPr>
        <w:t xml:space="preserve">he use of such terminology in </w:t>
      </w:r>
      <w:r w:rsidR="007407B8" w:rsidRPr="004B465B">
        <w:rPr>
          <w:noProof/>
          <w:lang w:val="en-US"/>
        </w:rPr>
        <w:t>ACT</w:t>
      </w:r>
      <w:r w:rsidR="007407B8" w:rsidRPr="004B465B">
        <w:rPr>
          <w:lang w:val="en-US"/>
        </w:rPr>
        <w:t xml:space="preserve"> and putative </w:t>
      </w:r>
      <w:r w:rsidR="00FF10D5">
        <w:rPr>
          <w:lang w:val="en-US"/>
        </w:rPr>
        <w:t>RFT</w:t>
      </w:r>
      <w:r w:rsidR="007407B8" w:rsidRPr="004B465B">
        <w:rPr>
          <w:lang w:val="en-US"/>
        </w:rPr>
        <w:t xml:space="preserve"> accounts of problematic clinical </w:t>
      </w:r>
      <w:r w:rsidR="007407B8" w:rsidRPr="004B465B">
        <w:rPr>
          <w:noProof/>
          <w:lang w:val="en-US"/>
        </w:rPr>
        <w:t>behavior</w:t>
      </w:r>
      <w:r w:rsidR="007407B8" w:rsidRPr="004B465B">
        <w:rPr>
          <w:lang w:val="en-US"/>
        </w:rPr>
        <w:t xml:space="preserve"> is an issue that is of curren</w:t>
      </w:r>
      <w:r w:rsidR="00C01AC6" w:rsidRPr="004B465B">
        <w:rPr>
          <w:lang w:val="en-US"/>
        </w:rPr>
        <w:t xml:space="preserve">t concern and debate </w:t>
      </w:r>
      <w:r w:rsidR="007407B8" w:rsidRPr="004B465B">
        <w:rPr>
          <w:lang w:val="en-US"/>
        </w:rPr>
        <w:t>(e.g., see Barnes-Holmes et al., 201</w:t>
      </w:r>
      <w:r w:rsidR="002B3D5B">
        <w:rPr>
          <w:lang w:val="en-US"/>
        </w:rPr>
        <w:t>8</w:t>
      </w:r>
      <w:r w:rsidR="007407B8" w:rsidRPr="004B465B">
        <w:rPr>
          <w:lang w:val="en-US"/>
        </w:rPr>
        <w:t>; Villatte</w:t>
      </w:r>
      <w:r w:rsidR="00355645" w:rsidRPr="004B465B">
        <w:rPr>
          <w:lang w:val="en-US"/>
        </w:rPr>
        <w:t xml:space="preserve"> et al.</w:t>
      </w:r>
      <w:r w:rsidR="007407B8" w:rsidRPr="004B465B">
        <w:rPr>
          <w:lang w:val="en-US"/>
        </w:rPr>
        <w:t xml:space="preserve">, 2015). </w:t>
      </w:r>
      <w:r w:rsidR="007407B8" w:rsidRPr="004B465B">
        <w:rPr>
          <w:noProof/>
          <w:lang w:val="en-US"/>
        </w:rPr>
        <w:t>Indeed, in a review of Villatte et al.’s (2015) d</w:t>
      </w:r>
      <w:r w:rsidR="00C01AC6" w:rsidRPr="004B465B">
        <w:rPr>
          <w:noProof/>
          <w:lang w:val="en-US"/>
        </w:rPr>
        <w:t>epiction of the relationship between</w:t>
      </w:r>
      <w:r w:rsidR="007407B8" w:rsidRPr="004B465B">
        <w:rPr>
          <w:noProof/>
          <w:lang w:val="en-US"/>
        </w:rPr>
        <w:t xml:space="preserve"> ACT and RFT, Barnes-Holmes et al. (201</w:t>
      </w:r>
      <w:r w:rsidR="002B3D5B">
        <w:rPr>
          <w:noProof/>
          <w:lang w:val="en-US"/>
        </w:rPr>
        <w:t>8</w:t>
      </w:r>
      <w:r w:rsidR="007407B8" w:rsidRPr="004B465B">
        <w:rPr>
          <w:noProof/>
          <w:lang w:val="en-US"/>
        </w:rPr>
        <w:t xml:space="preserve">) highlighted their concerns with mixing technical and </w:t>
      </w:r>
      <w:r w:rsidR="00FF10D5">
        <w:rPr>
          <w:noProof/>
          <w:lang w:val="en-US"/>
        </w:rPr>
        <w:t>nontechnical</w:t>
      </w:r>
      <w:r w:rsidR="007407B8" w:rsidRPr="004B465B">
        <w:rPr>
          <w:noProof/>
          <w:lang w:val="en-US"/>
        </w:rPr>
        <w:t xml:space="preserve"> terms in attempting to </w:t>
      </w:r>
      <w:r w:rsidR="002D6F4D" w:rsidRPr="004B465B">
        <w:rPr>
          <w:noProof/>
          <w:lang w:val="en-US"/>
        </w:rPr>
        <w:t xml:space="preserve">account for </w:t>
      </w:r>
      <w:r w:rsidR="007407B8" w:rsidRPr="004B465B">
        <w:rPr>
          <w:noProof/>
          <w:lang w:val="en-US"/>
        </w:rPr>
        <w:t>clinical phenomena</w:t>
      </w:r>
      <w:r w:rsidR="0005118B" w:rsidRPr="004B465B">
        <w:rPr>
          <w:noProof/>
          <w:lang w:val="en-US"/>
        </w:rPr>
        <w:t xml:space="preserve">. Mixing technical and </w:t>
      </w:r>
      <w:r w:rsidR="00FF10D5">
        <w:rPr>
          <w:noProof/>
          <w:lang w:val="en-US"/>
        </w:rPr>
        <w:t>nontechnical</w:t>
      </w:r>
      <w:r w:rsidR="0005118B" w:rsidRPr="004B465B">
        <w:rPr>
          <w:noProof/>
          <w:lang w:val="en-US"/>
        </w:rPr>
        <w:t xml:space="preserve"> terms may give a false impression that all of the terms used have been operationally defined through experimentation.</w:t>
      </w:r>
      <w:r w:rsidR="001678CA" w:rsidRPr="004B465B">
        <w:rPr>
          <w:noProof/>
          <w:lang w:val="en-US"/>
        </w:rPr>
        <w:t xml:space="preserve"> It should be </w:t>
      </w:r>
      <w:r w:rsidR="001678CA" w:rsidRPr="004B465B">
        <w:rPr>
          <w:noProof/>
          <w:lang w:val="en-US"/>
        </w:rPr>
        <w:lastRenderedPageBreak/>
        <w:t>noted</w:t>
      </w:r>
      <w:r w:rsidR="00BB41D4" w:rsidRPr="004B465B">
        <w:rPr>
          <w:noProof/>
          <w:lang w:val="en-US"/>
        </w:rPr>
        <w:t xml:space="preserve"> here</w:t>
      </w:r>
      <w:r w:rsidR="009926EF" w:rsidRPr="004B465B">
        <w:rPr>
          <w:noProof/>
          <w:lang w:val="en-US"/>
        </w:rPr>
        <w:t>, however,</w:t>
      </w:r>
      <w:r w:rsidR="00BB41D4" w:rsidRPr="004B465B">
        <w:rPr>
          <w:noProof/>
          <w:lang w:val="en-US"/>
        </w:rPr>
        <w:t xml:space="preserve"> that Hayes, Barnes-Holmes, and Wilson (2012</w:t>
      </w:r>
      <w:r w:rsidR="001678CA" w:rsidRPr="004B465B">
        <w:rPr>
          <w:noProof/>
          <w:lang w:val="en-US"/>
        </w:rPr>
        <w:t xml:space="preserve">) </w:t>
      </w:r>
      <w:r w:rsidR="00BB41D4" w:rsidRPr="004B465B">
        <w:rPr>
          <w:noProof/>
          <w:lang w:val="en-US"/>
        </w:rPr>
        <w:t>have openly acknowledged the difficulty for ACT’s middle-level terms to ever truly become, or be considered, basic functional technical terms, “</w:t>
      </w:r>
      <w:r w:rsidR="00FF10D5">
        <w:rPr>
          <w:noProof/>
          <w:lang w:val="en-US"/>
        </w:rPr>
        <w:t xml:space="preserve">. . . </w:t>
      </w:r>
      <w:r w:rsidR="00BB41D4" w:rsidRPr="004B465B">
        <w:rPr>
          <w:noProof/>
          <w:lang w:val="en-US"/>
        </w:rPr>
        <w:t>none of these are technical terms; none have the same degree of precision, scope, and depth of classical behavioral principles such as ‘reinforcement’, nor of theorertical RFT concepts such as the ‘transformation of stimulus functions</w:t>
      </w:r>
      <w:r w:rsidR="00FF10D5">
        <w:rPr>
          <w:noProof/>
          <w:lang w:val="en-US"/>
        </w:rPr>
        <w:t>. . .’</w:t>
      </w:r>
      <w:r w:rsidR="00BB41D4" w:rsidRPr="004B465B">
        <w:rPr>
          <w:noProof/>
          <w:lang w:val="en-US"/>
        </w:rPr>
        <w:t>” (p.</w:t>
      </w:r>
      <w:r w:rsidR="00A75FDE" w:rsidRPr="004B465B">
        <w:rPr>
          <w:noProof/>
          <w:lang w:val="en-US"/>
        </w:rPr>
        <w:t xml:space="preserve"> </w:t>
      </w:r>
      <w:r w:rsidR="00BB41D4" w:rsidRPr="004B465B">
        <w:rPr>
          <w:noProof/>
          <w:lang w:val="en-US"/>
        </w:rPr>
        <w:t>7; see also Barnes-Holmes et al., 2016).</w:t>
      </w:r>
    </w:p>
    <w:p w14:paraId="631EDF54" w14:textId="77777777" w:rsidR="00611C93" w:rsidRPr="004B465B" w:rsidRDefault="00611C93" w:rsidP="00330CDE">
      <w:pPr>
        <w:pStyle w:val="BodyText"/>
        <w:tabs>
          <w:tab w:val="clear" w:pos="8640"/>
        </w:tabs>
        <w:ind w:firstLine="0"/>
        <w:jc w:val="center"/>
        <w:outlineLvl w:val="0"/>
        <w:rPr>
          <w:b/>
          <w:lang w:val="en-US"/>
        </w:rPr>
      </w:pPr>
      <w:r w:rsidRPr="004B465B">
        <w:rPr>
          <w:b/>
          <w:lang w:val="en-US"/>
        </w:rPr>
        <w:t>Technical Notation</w:t>
      </w:r>
    </w:p>
    <w:p w14:paraId="326A978C" w14:textId="3EB3EC6E" w:rsidR="00075CBD" w:rsidRPr="004B465B" w:rsidRDefault="00075CBD" w:rsidP="00330CDE">
      <w:pPr>
        <w:pStyle w:val="BodyText"/>
        <w:rPr>
          <w:lang w:val="en-US"/>
        </w:rPr>
      </w:pPr>
      <w:r w:rsidRPr="004B465B">
        <w:rPr>
          <w:lang w:val="en-US"/>
        </w:rPr>
        <w:t xml:space="preserve">One </w:t>
      </w:r>
      <w:r w:rsidR="00943A0B" w:rsidRPr="004B465B">
        <w:rPr>
          <w:lang w:val="en-US"/>
        </w:rPr>
        <w:t xml:space="preserve">tool </w:t>
      </w:r>
      <w:r w:rsidRPr="004B465B">
        <w:rPr>
          <w:lang w:val="en-US"/>
        </w:rPr>
        <w:t xml:space="preserve">presented in early RFT research </w:t>
      </w:r>
      <w:r w:rsidR="00F74F1E" w:rsidRPr="004B465B">
        <w:rPr>
          <w:lang w:val="en-US"/>
        </w:rPr>
        <w:t xml:space="preserve">(e.g., Steele &amp; Hayes, 1991) </w:t>
      </w:r>
      <w:r w:rsidRPr="004B465B">
        <w:rPr>
          <w:lang w:val="en-US"/>
        </w:rPr>
        <w:t>that might be useful to</w:t>
      </w:r>
      <w:r w:rsidR="00943A0B" w:rsidRPr="004B465B">
        <w:rPr>
          <w:lang w:val="en-US"/>
        </w:rPr>
        <w:t xml:space="preserve"> revisit and</w:t>
      </w:r>
      <w:r w:rsidRPr="004B465B">
        <w:rPr>
          <w:lang w:val="en-US"/>
        </w:rPr>
        <w:t xml:space="preserve"> revise</w:t>
      </w:r>
      <w:r w:rsidR="00943A0B" w:rsidRPr="004B465B">
        <w:rPr>
          <w:lang w:val="en-US"/>
        </w:rPr>
        <w:t>,</w:t>
      </w:r>
      <w:r w:rsidRPr="004B465B">
        <w:rPr>
          <w:lang w:val="en-US"/>
        </w:rPr>
        <w:t xml:space="preserve"> </w:t>
      </w:r>
      <w:r w:rsidR="00943A0B" w:rsidRPr="004B465B">
        <w:rPr>
          <w:lang w:val="en-US"/>
        </w:rPr>
        <w:t xml:space="preserve">due </w:t>
      </w:r>
      <w:r w:rsidR="00A520E7" w:rsidRPr="004B465B">
        <w:rPr>
          <w:lang w:val="en-US"/>
        </w:rPr>
        <w:t xml:space="preserve">to </w:t>
      </w:r>
      <w:r w:rsidR="00943A0B" w:rsidRPr="004B465B">
        <w:rPr>
          <w:lang w:val="en-US"/>
        </w:rPr>
        <w:t xml:space="preserve">its </w:t>
      </w:r>
      <w:r w:rsidR="00355645" w:rsidRPr="004B465B">
        <w:rPr>
          <w:lang w:val="en-US"/>
        </w:rPr>
        <w:t xml:space="preserve">potential </w:t>
      </w:r>
      <w:r w:rsidR="00943A0B" w:rsidRPr="004B465B">
        <w:rPr>
          <w:lang w:val="en-US"/>
        </w:rPr>
        <w:t xml:space="preserve">benefit in helping </w:t>
      </w:r>
      <w:r w:rsidR="00943A0B" w:rsidRPr="004B465B">
        <w:rPr>
          <w:noProof/>
          <w:lang w:val="en-US"/>
        </w:rPr>
        <w:t>research</w:t>
      </w:r>
      <w:r w:rsidR="007B5981" w:rsidRPr="004B465B">
        <w:rPr>
          <w:noProof/>
          <w:lang w:val="en-US"/>
        </w:rPr>
        <w:t>ers</w:t>
      </w:r>
      <w:r w:rsidR="00943A0B" w:rsidRPr="004B465B">
        <w:rPr>
          <w:lang w:val="en-US"/>
        </w:rPr>
        <w:t xml:space="preserve"> to become more precise and technical, </w:t>
      </w:r>
      <w:r w:rsidRPr="004B465B">
        <w:rPr>
          <w:lang w:val="en-US"/>
        </w:rPr>
        <w:t xml:space="preserve">is </w:t>
      </w:r>
      <w:r w:rsidR="00A523FF" w:rsidRPr="004B465B">
        <w:rPr>
          <w:noProof/>
          <w:lang w:val="en-US"/>
        </w:rPr>
        <w:t>technical</w:t>
      </w:r>
      <w:r w:rsidR="00A523FF" w:rsidRPr="004B465B">
        <w:rPr>
          <w:lang w:val="en-US"/>
        </w:rPr>
        <w:t xml:space="preserve"> </w:t>
      </w:r>
      <w:r w:rsidRPr="004B465B">
        <w:rPr>
          <w:lang w:val="en-US"/>
        </w:rPr>
        <w:t xml:space="preserve">notation. </w:t>
      </w:r>
      <w:r w:rsidR="00724387" w:rsidRPr="004B465B">
        <w:rPr>
          <w:noProof/>
          <w:lang w:val="en-US"/>
        </w:rPr>
        <w:t>Technical</w:t>
      </w:r>
      <w:r w:rsidR="00724387" w:rsidRPr="004B465B">
        <w:rPr>
          <w:lang w:val="en-US"/>
        </w:rPr>
        <w:t xml:space="preserve"> notation is used to achieve </w:t>
      </w:r>
      <w:r w:rsidR="00E036D4" w:rsidRPr="004B465B">
        <w:rPr>
          <w:lang w:val="en-US"/>
        </w:rPr>
        <w:t xml:space="preserve">logical </w:t>
      </w:r>
      <w:r w:rsidR="00724387" w:rsidRPr="004B465B">
        <w:rPr>
          <w:lang w:val="en-US"/>
        </w:rPr>
        <w:t>precision and clearer communication in subjects such as mathematics (see Peltomäki &amp; Salakoski, 2004), computer science (Patern</w:t>
      </w:r>
      <w:r w:rsidR="00A75FDE" w:rsidRPr="004B465B">
        <w:rPr>
          <w:lang w:val="en-US"/>
        </w:rPr>
        <w:t>ò</w:t>
      </w:r>
      <w:r w:rsidR="00724387" w:rsidRPr="004B465B">
        <w:rPr>
          <w:lang w:val="en-US"/>
        </w:rPr>
        <w:t>, Mancini, &amp; Meniconi, 1997)</w:t>
      </w:r>
      <w:r w:rsidR="00FF10D5">
        <w:rPr>
          <w:lang w:val="en-US"/>
        </w:rPr>
        <w:t>,</w:t>
      </w:r>
      <w:r w:rsidR="00724387" w:rsidRPr="004B465B">
        <w:rPr>
          <w:lang w:val="en-US"/>
        </w:rPr>
        <w:t xml:space="preserve"> and </w:t>
      </w:r>
      <w:r w:rsidR="00E036D4" w:rsidRPr="004B465B">
        <w:rPr>
          <w:lang w:val="en-US"/>
        </w:rPr>
        <w:t>even nanotechnology research (Leisner, Bleris, Lohmeuller, Xie, &amp; Benenson, 2010)</w:t>
      </w:r>
      <w:r w:rsidR="00724387" w:rsidRPr="004B465B">
        <w:rPr>
          <w:lang w:val="en-US"/>
        </w:rPr>
        <w:t xml:space="preserve">. </w:t>
      </w:r>
      <w:r w:rsidRPr="004B465B">
        <w:rPr>
          <w:lang w:val="en-US"/>
        </w:rPr>
        <w:t>Notation appeared in some early texts presenting the core tenets of RFT, notably Hayes et al. (2001)</w:t>
      </w:r>
      <w:r w:rsidR="00E036D4" w:rsidRPr="004B465B">
        <w:rPr>
          <w:lang w:val="en-US"/>
        </w:rPr>
        <w:t xml:space="preserve"> and Steele and Hayes (1991)</w:t>
      </w:r>
      <w:r w:rsidR="00355645" w:rsidRPr="004B465B">
        <w:rPr>
          <w:lang w:val="en-US"/>
        </w:rPr>
        <w:t xml:space="preserve">, demonstrating that early founders of RFT </w:t>
      </w:r>
      <w:r w:rsidR="00716D73" w:rsidRPr="004B465B">
        <w:rPr>
          <w:lang w:val="en-US"/>
        </w:rPr>
        <w:t xml:space="preserve">supported the utility of </w:t>
      </w:r>
      <w:r w:rsidR="00716D73" w:rsidRPr="004B465B">
        <w:rPr>
          <w:noProof/>
          <w:lang w:val="en-US"/>
        </w:rPr>
        <w:t>technical</w:t>
      </w:r>
      <w:r w:rsidR="00716D73" w:rsidRPr="004B465B">
        <w:rPr>
          <w:lang w:val="en-US"/>
        </w:rPr>
        <w:t xml:space="preserve"> notation</w:t>
      </w:r>
      <w:r w:rsidRPr="004B465B">
        <w:rPr>
          <w:lang w:val="en-US"/>
        </w:rPr>
        <w:t xml:space="preserve">. RFT notation is used to highlight contexts which might be used to predict </w:t>
      </w:r>
      <w:r w:rsidRPr="004B465B">
        <w:rPr>
          <w:i/>
          <w:lang w:val="en-US"/>
        </w:rPr>
        <w:t>and influence</w:t>
      </w:r>
      <w:r w:rsidRPr="004B465B">
        <w:rPr>
          <w:lang w:val="en-US"/>
        </w:rPr>
        <w:t xml:space="preserve"> </w:t>
      </w:r>
      <w:r w:rsidRPr="004B465B">
        <w:rPr>
          <w:noProof/>
          <w:lang w:val="en-US"/>
        </w:rPr>
        <w:t>behavior</w:t>
      </w:r>
      <w:r w:rsidRPr="004B465B">
        <w:rPr>
          <w:lang w:val="en-US"/>
        </w:rPr>
        <w:t xml:space="preserve"> with precision, scope, and depth. </w:t>
      </w:r>
      <w:r w:rsidR="00E036D4" w:rsidRPr="004B465B">
        <w:rPr>
          <w:lang w:val="en-US"/>
        </w:rPr>
        <w:t>P</w:t>
      </w:r>
      <w:r w:rsidR="006042B1" w:rsidRPr="004B465B">
        <w:rPr>
          <w:lang w:val="en-US"/>
        </w:rPr>
        <w:t xml:space="preserve">revious appearances of this </w:t>
      </w:r>
      <w:r w:rsidR="006042B1" w:rsidRPr="004B465B">
        <w:rPr>
          <w:noProof/>
          <w:lang w:val="en-US"/>
        </w:rPr>
        <w:t>technical</w:t>
      </w:r>
      <w:r w:rsidR="006042B1" w:rsidRPr="004B465B">
        <w:rPr>
          <w:lang w:val="en-US"/>
        </w:rPr>
        <w:t xml:space="preserve"> notation (e.g., Hayes et al., 2001; Steele &amp; Hayes, 1991) may have appeared </w:t>
      </w:r>
      <w:r w:rsidR="00E036D4" w:rsidRPr="004B465B">
        <w:rPr>
          <w:lang w:val="en-US"/>
        </w:rPr>
        <w:t xml:space="preserve">to be more </w:t>
      </w:r>
      <w:r w:rsidR="006042B1" w:rsidRPr="004B465B">
        <w:rPr>
          <w:lang w:val="en-US"/>
        </w:rPr>
        <w:t>arcane</w:t>
      </w:r>
      <w:r w:rsidR="00E036D4" w:rsidRPr="004B465B">
        <w:rPr>
          <w:lang w:val="en-US"/>
        </w:rPr>
        <w:t xml:space="preserve"> than functional</w:t>
      </w:r>
      <w:r w:rsidR="006042B1" w:rsidRPr="004B465B">
        <w:rPr>
          <w:lang w:val="en-US"/>
        </w:rPr>
        <w:t xml:space="preserve">. </w:t>
      </w:r>
      <w:r w:rsidR="00E036D4" w:rsidRPr="004B465B">
        <w:rPr>
          <w:lang w:val="en-US"/>
        </w:rPr>
        <w:t xml:space="preserve">In recent years, it has not appeared in many publications as a result. </w:t>
      </w:r>
      <w:r w:rsidR="006042B1" w:rsidRPr="004B465B">
        <w:rPr>
          <w:lang w:val="en-US"/>
        </w:rPr>
        <w:t>However, now that researchers are investigating increasingly complex domains within basic RFT</w:t>
      </w:r>
      <w:r w:rsidR="00716D73" w:rsidRPr="004B465B">
        <w:rPr>
          <w:lang w:val="en-US"/>
        </w:rPr>
        <w:t xml:space="preserve"> (e.g., Perez, Fidalgo, Kovac, &amp; Nico, 2015),</w:t>
      </w:r>
      <w:r w:rsidR="00F74F1E" w:rsidRPr="004B465B">
        <w:rPr>
          <w:lang w:val="en-US"/>
        </w:rPr>
        <w:t xml:space="preserve"> such as analogy</w:t>
      </w:r>
      <w:r w:rsidR="006042B1" w:rsidRPr="004B465B">
        <w:rPr>
          <w:lang w:val="en-US"/>
        </w:rPr>
        <w:t xml:space="preserve"> (e.g., McLoughlin &amp; Stewart, </w:t>
      </w:r>
      <w:r w:rsidR="00611C93" w:rsidRPr="004B465B">
        <w:rPr>
          <w:lang w:val="en-US"/>
        </w:rPr>
        <w:t>2017</w:t>
      </w:r>
      <w:r w:rsidR="006042B1" w:rsidRPr="004B465B">
        <w:rPr>
          <w:lang w:val="en-US"/>
        </w:rPr>
        <w:t xml:space="preserve">), </w:t>
      </w:r>
      <w:r w:rsidR="006042B1" w:rsidRPr="004B465B">
        <w:rPr>
          <w:noProof/>
          <w:lang w:val="en-US"/>
        </w:rPr>
        <w:t>technical</w:t>
      </w:r>
      <w:r w:rsidR="006042B1" w:rsidRPr="004B465B">
        <w:rPr>
          <w:lang w:val="en-US"/>
        </w:rPr>
        <w:t xml:space="preserve"> notation may help researchers to </w:t>
      </w:r>
      <w:r w:rsidR="006042B1" w:rsidRPr="004B465B">
        <w:rPr>
          <w:noProof/>
          <w:lang w:val="en-US"/>
        </w:rPr>
        <w:t>hypothesize</w:t>
      </w:r>
      <w:r w:rsidR="006042B1" w:rsidRPr="004B465B">
        <w:rPr>
          <w:lang w:val="en-US"/>
        </w:rPr>
        <w:t xml:space="preserve"> about</w:t>
      </w:r>
      <w:r w:rsidR="00A523FF" w:rsidRPr="004B465B">
        <w:rPr>
          <w:lang w:val="en-US"/>
        </w:rPr>
        <w:t>, explain</w:t>
      </w:r>
      <w:r w:rsidR="00FF10D5">
        <w:rPr>
          <w:lang w:val="en-US"/>
        </w:rPr>
        <w:t>,</w:t>
      </w:r>
      <w:r w:rsidR="00A523FF" w:rsidRPr="004B465B">
        <w:rPr>
          <w:lang w:val="en-US"/>
        </w:rPr>
        <w:t xml:space="preserve"> and explore</w:t>
      </w:r>
      <w:r w:rsidR="006042B1" w:rsidRPr="004B465B">
        <w:rPr>
          <w:lang w:val="en-US"/>
        </w:rPr>
        <w:t xml:space="preserve"> </w:t>
      </w:r>
      <w:r w:rsidR="00716D73" w:rsidRPr="004B465B">
        <w:rPr>
          <w:lang w:val="en-US"/>
        </w:rPr>
        <w:t xml:space="preserve">such </w:t>
      </w:r>
      <w:r w:rsidR="006042B1" w:rsidRPr="004B465B">
        <w:rPr>
          <w:lang w:val="en-US"/>
        </w:rPr>
        <w:t xml:space="preserve">complex </w:t>
      </w:r>
      <w:r w:rsidR="00F74F1E" w:rsidRPr="004B465B">
        <w:rPr>
          <w:lang w:val="en-US"/>
        </w:rPr>
        <w:lastRenderedPageBreak/>
        <w:t>AARR</w:t>
      </w:r>
      <w:r w:rsidR="00716D73" w:rsidRPr="004B465B">
        <w:rPr>
          <w:lang w:val="en-US"/>
        </w:rPr>
        <w:t xml:space="preserve"> </w:t>
      </w:r>
      <w:r w:rsidR="006042B1" w:rsidRPr="004B465B">
        <w:rPr>
          <w:lang w:val="en-US"/>
        </w:rPr>
        <w:t xml:space="preserve">with </w:t>
      </w:r>
      <w:r w:rsidR="00B72C5F" w:rsidRPr="004B465B">
        <w:rPr>
          <w:lang w:val="en-US"/>
        </w:rPr>
        <w:t xml:space="preserve">increased </w:t>
      </w:r>
      <w:r w:rsidR="006042B1" w:rsidRPr="004B465B">
        <w:rPr>
          <w:lang w:val="en-US"/>
        </w:rPr>
        <w:t xml:space="preserve">precision. </w:t>
      </w:r>
      <w:r w:rsidRPr="004B465B">
        <w:rPr>
          <w:lang w:val="en-US"/>
        </w:rPr>
        <w:t xml:space="preserve">A compilation of key </w:t>
      </w:r>
      <w:r w:rsidR="006042B1" w:rsidRPr="004B465B">
        <w:rPr>
          <w:lang w:val="en-US"/>
        </w:rPr>
        <w:t xml:space="preserve">notation </w:t>
      </w:r>
      <w:r w:rsidRPr="004B465B">
        <w:rPr>
          <w:lang w:val="en-US"/>
        </w:rPr>
        <w:t xml:space="preserve">that may be of use to both experimenters and theorists within the field of RFT </w:t>
      </w:r>
      <w:r w:rsidR="007B5981" w:rsidRPr="004B465B">
        <w:rPr>
          <w:noProof/>
          <w:lang w:val="en-US"/>
        </w:rPr>
        <w:t xml:space="preserve">can be </w:t>
      </w:r>
      <w:r w:rsidRPr="004B465B">
        <w:rPr>
          <w:noProof/>
          <w:lang w:val="en-US"/>
        </w:rPr>
        <w:t>found</w:t>
      </w:r>
      <w:r w:rsidRPr="004B465B">
        <w:rPr>
          <w:lang w:val="en-US"/>
        </w:rPr>
        <w:t xml:space="preserve"> in Table 1.</w:t>
      </w:r>
    </w:p>
    <w:p w14:paraId="3E449D44" w14:textId="756A4633" w:rsidR="00075CBD" w:rsidRPr="0033325C" w:rsidRDefault="00A75FDE" w:rsidP="00CE2D85">
      <w:pPr>
        <w:pStyle w:val="BodyText"/>
        <w:tabs>
          <w:tab w:val="clear" w:pos="8640"/>
        </w:tabs>
        <w:ind w:firstLine="0"/>
        <w:jc w:val="center"/>
        <w:outlineLvl w:val="0"/>
        <w:rPr>
          <w:b/>
          <w:lang w:val="en-US"/>
        </w:rPr>
      </w:pPr>
      <w:r w:rsidRPr="0033325C">
        <w:rPr>
          <w:b/>
          <w:lang w:val="en-US"/>
        </w:rPr>
        <w:t>[</w:t>
      </w:r>
      <w:r w:rsidR="00FF10D5" w:rsidRPr="004B465B">
        <w:rPr>
          <w:b/>
          <w:lang w:val="en-US"/>
        </w:rPr>
        <w:t>Table</w:t>
      </w:r>
      <w:r w:rsidR="00075CBD" w:rsidRPr="0033325C">
        <w:rPr>
          <w:b/>
          <w:lang w:val="en-US"/>
        </w:rPr>
        <w:t xml:space="preserve"> 1</w:t>
      </w:r>
      <w:r w:rsidRPr="0033325C">
        <w:rPr>
          <w:b/>
          <w:lang w:val="en-US"/>
        </w:rPr>
        <w:t xml:space="preserve"> here]</w:t>
      </w:r>
    </w:p>
    <w:p w14:paraId="69521783" w14:textId="77777777" w:rsidR="00075CBD" w:rsidRPr="004B465B" w:rsidRDefault="00075CBD" w:rsidP="00075CBD">
      <w:pPr>
        <w:pStyle w:val="BodyText"/>
        <w:tabs>
          <w:tab w:val="clear" w:pos="8640"/>
        </w:tabs>
        <w:rPr>
          <w:lang w:val="en-US"/>
        </w:rPr>
      </w:pPr>
      <w:r w:rsidRPr="004B465B">
        <w:rPr>
          <w:lang w:val="en-US"/>
        </w:rPr>
        <w:t xml:space="preserve">Given that research has indicated that cognition is relational </w:t>
      </w:r>
      <w:r w:rsidRPr="004B465B">
        <w:rPr>
          <w:noProof/>
          <w:lang w:val="en-US"/>
        </w:rPr>
        <w:t>in nature</w:t>
      </w:r>
      <w:r w:rsidR="00A523FF" w:rsidRPr="004B465B">
        <w:rPr>
          <w:lang w:val="en-US"/>
        </w:rPr>
        <w:t xml:space="preserve"> (</w:t>
      </w:r>
      <w:r w:rsidR="00F74F1E" w:rsidRPr="004B465B">
        <w:rPr>
          <w:lang w:val="en-US"/>
        </w:rPr>
        <w:t>e.g</w:t>
      </w:r>
      <w:r w:rsidR="00716D73" w:rsidRPr="004B465B">
        <w:rPr>
          <w:lang w:val="en-US"/>
        </w:rPr>
        <w:t>.</w:t>
      </w:r>
      <w:r w:rsidR="00F74F1E" w:rsidRPr="004B465B">
        <w:rPr>
          <w:lang w:val="en-US"/>
        </w:rPr>
        <w:t>, Cassidy</w:t>
      </w:r>
      <w:r w:rsidR="00716D73" w:rsidRPr="004B465B">
        <w:rPr>
          <w:lang w:val="en-US"/>
        </w:rPr>
        <w:t>, Roche, &amp; Hayes</w:t>
      </w:r>
      <w:r w:rsidR="00F74F1E" w:rsidRPr="004B465B">
        <w:rPr>
          <w:lang w:val="en-US"/>
        </w:rPr>
        <w:t>, 201</w:t>
      </w:r>
      <w:r w:rsidR="00716D73" w:rsidRPr="004B465B">
        <w:rPr>
          <w:lang w:val="en-US"/>
        </w:rPr>
        <w:t>1; O’Hora et al., 2008</w:t>
      </w:r>
      <w:r w:rsidR="00A523FF" w:rsidRPr="004B465B">
        <w:rPr>
          <w:lang w:val="en-US"/>
        </w:rPr>
        <w:t>)</w:t>
      </w:r>
      <w:r w:rsidRPr="004B465B">
        <w:rPr>
          <w:lang w:val="en-US"/>
        </w:rPr>
        <w:t xml:space="preserve">, this notation syntax allows for a concise articulation of key concepts and hypotheses </w:t>
      </w:r>
      <w:r w:rsidR="007B5981" w:rsidRPr="004B465B">
        <w:rPr>
          <w:noProof/>
          <w:lang w:val="en-US"/>
        </w:rPr>
        <w:t>about</w:t>
      </w:r>
      <w:r w:rsidRPr="004B465B">
        <w:rPr>
          <w:lang w:val="en-US"/>
        </w:rPr>
        <w:t xml:space="preserve"> AARR. Below, we describe some of the core features of language and cognition using notation.</w:t>
      </w:r>
    </w:p>
    <w:p w14:paraId="0D5CE651" w14:textId="77777777" w:rsidR="00075CBD" w:rsidRPr="004B465B" w:rsidRDefault="006042B1" w:rsidP="00CE2D85">
      <w:pPr>
        <w:pStyle w:val="BodyText"/>
        <w:tabs>
          <w:tab w:val="clear" w:pos="8640"/>
        </w:tabs>
        <w:ind w:firstLine="0"/>
        <w:jc w:val="center"/>
        <w:outlineLvl w:val="0"/>
        <w:rPr>
          <w:lang w:val="en-US"/>
        </w:rPr>
      </w:pPr>
      <w:r w:rsidRPr="004B465B">
        <w:rPr>
          <w:b/>
          <w:lang w:val="en-US"/>
        </w:rPr>
        <w:t xml:space="preserve">Notation </w:t>
      </w:r>
      <w:r w:rsidR="00075CBD" w:rsidRPr="004B465B">
        <w:rPr>
          <w:b/>
          <w:lang w:val="en-US"/>
        </w:rPr>
        <w:t>in Context</w:t>
      </w:r>
    </w:p>
    <w:p w14:paraId="3FFC7037" w14:textId="77777777" w:rsidR="00075CBD" w:rsidRPr="004B465B" w:rsidRDefault="00075CBD" w:rsidP="00CE2D85">
      <w:pPr>
        <w:pStyle w:val="BodyText"/>
        <w:tabs>
          <w:tab w:val="clear" w:pos="8640"/>
        </w:tabs>
        <w:ind w:firstLine="0"/>
        <w:outlineLvl w:val="0"/>
        <w:rPr>
          <w:lang w:val="en-US"/>
        </w:rPr>
      </w:pPr>
      <w:r w:rsidRPr="004B465B">
        <w:rPr>
          <w:b/>
          <w:lang w:val="en-US"/>
        </w:rPr>
        <w:t>Mutual Entailment</w:t>
      </w:r>
    </w:p>
    <w:p w14:paraId="5269D010" w14:textId="77777777" w:rsidR="00075CBD" w:rsidRPr="004B465B" w:rsidRDefault="00075CBD" w:rsidP="00CE2D85">
      <w:pPr>
        <w:pStyle w:val="BodyText"/>
        <w:tabs>
          <w:tab w:val="clear" w:pos="8640"/>
        </w:tabs>
        <w:ind w:firstLine="0"/>
        <w:jc w:val="center"/>
        <w:outlineLvl w:val="0"/>
        <w:rPr>
          <w:lang w:val="en-US"/>
        </w:rPr>
      </w:pPr>
      <w:r w:rsidRPr="004B465B">
        <w:rPr>
          <w:noProof/>
          <w:lang w:val="en-US"/>
        </w:rPr>
        <w:t>C</w:t>
      </w:r>
      <w:r w:rsidRPr="004B465B">
        <w:rPr>
          <w:noProof/>
          <w:vertAlign w:val="subscript"/>
          <w:lang w:val="en-US"/>
        </w:rPr>
        <w:t>rel</w:t>
      </w:r>
      <w:r w:rsidRPr="004B465B">
        <w:rPr>
          <w:lang w:val="en-US"/>
        </w:rPr>
        <w:t xml:space="preserve"> (A </w:t>
      </w:r>
      <w:r w:rsidRPr="004B465B">
        <w:rPr>
          <w:noProof/>
          <w:lang w:val="en-US"/>
        </w:rPr>
        <w:t>r</w:t>
      </w:r>
      <w:r w:rsidRPr="004B465B">
        <w:rPr>
          <w:noProof/>
          <w:vertAlign w:val="subscript"/>
          <w:lang w:val="en-US"/>
        </w:rPr>
        <w:t>x</w:t>
      </w:r>
      <w:r w:rsidRPr="004B465B">
        <w:rPr>
          <w:lang w:val="en-US"/>
        </w:rPr>
        <w:t xml:space="preserve"> B) ||| (B </w:t>
      </w:r>
      <w:r w:rsidRPr="004B465B">
        <w:rPr>
          <w:noProof/>
          <w:lang w:val="en-US"/>
        </w:rPr>
        <w:t>r</w:t>
      </w:r>
      <w:r w:rsidRPr="004B465B">
        <w:rPr>
          <w:noProof/>
          <w:vertAlign w:val="subscript"/>
          <w:lang w:val="en-US"/>
        </w:rPr>
        <w:t>y</w:t>
      </w:r>
      <w:r w:rsidRPr="004B465B">
        <w:rPr>
          <w:lang w:val="en-US"/>
        </w:rPr>
        <w:t xml:space="preserve"> A)</w:t>
      </w:r>
    </w:p>
    <w:p w14:paraId="405FC6BC" w14:textId="77777777" w:rsidR="00075CBD" w:rsidRPr="004B465B" w:rsidRDefault="00075CBD" w:rsidP="00075CBD">
      <w:pPr>
        <w:pStyle w:val="BodyText"/>
        <w:tabs>
          <w:tab w:val="clear" w:pos="8640"/>
        </w:tabs>
        <w:rPr>
          <w:lang w:val="en-US"/>
        </w:rPr>
      </w:pPr>
      <w:r w:rsidRPr="004B465B">
        <w:rPr>
          <w:lang w:val="en-US"/>
        </w:rPr>
        <w:t>The above notation indicates that within a given context (</w:t>
      </w:r>
      <w:r w:rsidRPr="004B465B">
        <w:rPr>
          <w:noProof/>
          <w:lang w:val="en-US"/>
        </w:rPr>
        <w:t>C</w:t>
      </w:r>
      <w:r w:rsidRPr="004B465B">
        <w:rPr>
          <w:noProof/>
          <w:vertAlign w:val="subscript"/>
          <w:lang w:val="en-US"/>
        </w:rPr>
        <w:t>rel</w:t>
      </w:r>
      <w:r w:rsidRPr="004B465B">
        <w:rPr>
          <w:lang w:val="en-US"/>
        </w:rPr>
        <w:t xml:space="preserve">), if an organism has learned to treat the event </w:t>
      </w:r>
      <w:r w:rsidRPr="004B465B">
        <w:rPr>
          <w:noProof/>
          <w:lang w:val="en-US"/>
        </w:rPr>
        <w:t>A as</w:t>
      </w:r>
      <w:r w:rsidRPr="004B465B">
        <w:rPr>
          <w:lang w:val="en-US"/>
        </w:rPr>
        <w:t xml:space="preserve"> having a relation (</w:t>
      </w:r>
      <w:r w:rsidRPr="004B465B">
        <w:rPr>
          <w:noProof/>
          <w:lang w:val="en-US"/>
        </w:rPr>
        <w:t>r</w:t>
      </w:r>
      <w:r w:rsidRPr="004B465B">
        <w:rPr>
          <w:noProof/>
          <w:vertAlign w:val="subscript"/>
          <w:lang w:val="en-US"/>
        </w:rPr>
        <w:t>x</w:t>
      </w:r>
      <w:r w:rsidRPr="004B465B">
        <w:rPr>
          <w:lang w:val="en-US"/>
        </w:rPr>
        <w:t xml:space="preserve">) with B, then (|||) the organism should be able to derive that B is related to </w:t>
      </w:r>
      <w:r w:rsidRPr="004B465B">
        <w:rPr>
          <w:noProof/>
          <w:lang w:val="en-US"/>
        </w:rPr>
        <w:t>A in</w:t>
      </w:r>
      <w:r w:rsidRPr="004B465B">
        <w:rPr>
          <w:lang w:val="en-US"/>
        </w:rPr>
        <w:t xml:space="preserve"> some way (</w:t>
      </w:r>
      <w:r w:rsidRPr="004B465B">
        <w:rPr>
          <w:noProof/>
          <w:lang w:val="en-US"/>
        </w:rPr>
        <w:t>r</w:t>
      </w:r>
      <w:r w:rsidRPr="004B465B">
        <w:rPr>
          <w:noProof/>
          <w:vertAlign w:val="subscript"/>
          <w:lang w:val="en-US"/>
        </w:rPr>
        <w:t>y</w:t>
      </w:r>
      <w:r w:rsidRPr="004B465B">
        <w:rPr>
          <w:lang w:val="en-US"/>
        </w:rPr>
        <w:t xml:space="preserve">). One particular instance of mutual entailment is when the </w:t>
      </w:r>
      <w:r w:rsidRPr="004B465B">
        <w:rPr>
          <w:noProof/>
          <w:lang w:val="en-US"/>
        </w:rPr>
        <w:t>A:B</w:t>
      </w:r>
      <w:r w:rsidRPr="004B465B">
        <w:rPr>
          <w:lang w:val="en-US"/>
        </w:rPr>
        <w:t xml:space="preserve"> relation is one of sameness. The relation of sameness is symmetrical, and thus it is </w:t>
      </w:r>
      <w:r w:rsidRPr="004B465B">
        <w:rPr>
          <w:noProof/>
          <w:lang w:val="en-US"/>
        </w:rPr>
        <w:t>possibl</w:t>
      </w:r>
      <w:r w:rsidR="007B5981" w:rsidRPr="004B465B">
        <w:rPr>
          <w:noProof/>
          <w:lang w:val="en-US"/>
        </w:rPr>
        <w:t>e</w:t>
      </w:r>
      <w:r w:rsidRPr="004B465B">
        <w:rPr>
          <w:lang w:val="en-US"/>
        </w:rPr>
        <w:t xml:space="preserve"> to specify that </w:t>
      </w:r>
      <w:r w:rsidRPr="004B465B">
        <w:rPr>
          <w:noProof/>
          <w:lang w:val="en-US"/>
        </w:rPr>
        <w:t>C</w:t>
      </w:r>
      <w:r w:rsidRPr="004B465B">
        <w:rPr>
          <w:noProof/>
          <w:vertAlign w:val="subscript"/>
          <w:lang w:val="en-US"/>
        </w:rPr>
        <w:t>rel</w:t>
      </w:r>
      <w:r w:rsidRPr="004B465B">
        <w:rPr>
          <w:lang w:val="en-US"/>
        </w:rPr>
        <w:t xml:space="preserve"> (A r</w:t>
      </w:r>
      <w:r w:rsidRPr="004B465B">
        <w:rPr>
          <w:vertAlign w:val="subscript"/>
          <w:lang w:val="en-US"/>
        </w:rPr>
        <w:t>s</w:t>
      </w:r>
      <w:r w:rsidRPr="004B465B">
        <w:rPr>
          <w:lang w:val="en-US"/>
        </w:rPr>
        <w:t xml:space="preserve"> B) ||| (B r</w:t>
      </w:r>
      <w:r w:rsidRPr="004B465B">
        <w:rPr>
          <w:vertAlign w:val="subscript"/>
          <w:lang w:val="en-US"/>
        </w:rPr>
        <w:t>s</w:t>
      </w:r>
      <w:r w:rsidRPr="004B465B">
        <w:rPr>
          <w:lang w:val="en-US"/>
        </w:rPr>
        <w:t xml:space="preserve"> A), where “r</w:t>
      </w:r>
      <w:r w:rsidRPr="004B465B">
        <w:rPr>
          <w:vertAlign w:val="subscript"/>
          <w:lang w:val="en-US"/>
        </w:rPr>
        <w:t>s</w:t>
      </w:r>
      <w:r w:rsidRPr="004B465B">
        <w:rPr>
          <w:lang w:val="en-US"/>
        </w:rPr>
        <w:t xml:space="preserve">” is a relation of sameness. See Table 1 for a full summary of the notation used within this text. </w:t>
      </w:r>
      <w:r w:rsidR="00716D73" w:rsidRPr="004B465B">
        <w:rPr>
          <w:lang w:val="en-US"/>
        </w:rPr>
        <w:t>Table 2</w:t>
      </w:r>
      <w:r w:rsidR="007B5981" w:rsidRPr="004B465B">
        <w:rPr>
          <w:lang w:val="en-US"/>
        </w:rPr>
        <w:t xml:space="preserve"> </w:t>
      </w:r>
      <w:r w:rsidRPr="004B465B">
        <w:rPr>
          <w:lang w:val="en-US"/>
        </w:rPr>
        <w:t>illustrat</w:t>
      </w:r>
      <w:r w:rsidR="00716D73" w:rsidRPr="004B465B">
        <w:rPr>
          <w:lang w:val="en-US"/>
        </w:rPr>
        <w:t>es</w:t>
      </w:r>
      <w:r w:rsidRPr="004B465B">
        <w:rPr>
          <w:lang w:val="en-US"/>
        </w:rPr>
        <w:t xml:space="preserve"> </w:t>
      </w:r>
      <w:r w:rsidRPr="004B465B">
        <w:rPr>
          <w:noProof/>
          <w:lang w:val="en-US"/>
        </w:rPr>
        <w:t>po</w:t>
      </w:r>
      <w:r w:rsidR="007B5981" w:rsidRPr="004B465B">
        <w:rPr>
          <w:noProof/>
          <w:lang w:val="en-US"/>
        </w:rPr>
        <w:t>ssible</w:t>
      </w:r>
      <w:r w:rsidRPr="004B465B">
        <w:rPr>
          <w:lang w:val="en-US"/>
        </w:rPr>
        <w:t xml:space="preserve"> variations of “</w:t>
      </w:r>
      <w:r w:rsidRPr="004B465B">
        <w:rPr>
          <w:noProof/>
          <w:lang w:val="en-US"/>
        </w:rPr>
        <w:t>r</w:t>
      </w:r>
      <w:r w:rsidRPr="004B465B">
        <w:rPr>
          <w:noProof/>
          <w:vertAlign w:val="subscript"/>
          <w:lang w:val="en-US"/>
        </w:rPr>
        <w:t>x</w:t>
      </w:r>
      <w:r w:rsidRPr="004B465B">
        <w:rPr>
          <w:lang w:val="en-US"/>
        </w:rPr>
        <w:t xml:space="preserve">” notation </w:t>
      </w:r>
      <w:r w:rsidRPr="004B465B">
        <w:rPr>
          <w:noProof/>
          <w:lang w:val="en-US"/>
        </w:rPr>
        <w:t>in relation to</w:t>
      </w:r>
      <w:r w:rsidRPr="004B465B">
        <w:rPr>
          <w:lang w:val="en-US"/>
        </w:rPr>
        <w:t xml:space="preserve"> some of the more commonly cited patterns of AARR.</w:t>
      </w:r>
    </w:p>
    <w:p w14:paraId="3557FABB" w14:textId="09140F83" w:rsidR="00075CBD" w:rsidRPr="004B465B" w:rsidRDefault="00FF10D5" w:rsidP="00075CBD">
      <w:pPr>
        <w:pStyle w:val="BodyText"/>
        <w:tabs>
          <w:tab w:val="clear" w:pos="8640"/>
        </w:tabs>
        <w:ind w:firstLine="0"/>
        <w:jc w:val="center"/>
        <w:rPr>
          <w:lang w:val="en-US"/>
        </w:rPr>
      </w:pPr>
      <w:r>
        <w:rPr>
          <w:b/>
          <w:lang w:val="en-US"/>
        </w:rPr>
        <w:t>[Table 2 here]</w:t>
      </w:r>
    </w:p>
    <w:p w14:paraId="0B3AA902" w14:textId="77777777" w:rsidR="00075CBD" w:rsidRPr="004B465B" w:rsidRDefault="00075CBD" w:rsidP="00CE2D85">
      <w:pPr>
        <w:pStyle w:val="BodyText"/>
        <w:tabs>
          <w:tab w:val="clear" w:pos="8640"/>
        </w:tabs>
        <w:ind w:firstLine="0"/>
        <w:outlineLvl w:val="0"/>
        <w:rPr>
          <w:b/>
          <w:lang w:val="en-US"/>
        </w:rPr>
      </w:pPr>
      <w:r w:rsidRPr="004B465B">
        <w:rPr>
          <w:b/>
          <w:lang w:val="en-US"/>
        </w:rPr>
        <w:t>Combinatorial Entailment</w:t>
      </w:r>
    </w:p>
    <w:p w14:paraId="647279BB" w14:textId="77777777" w:rsidR="00075CBD" w:rsidRPr="004B465B" w:rsidRDefault="00075CBD" w:rsidP="00CE2D85">
      <w:pPr>
        <w:pStyle w:val="BodyText"/>
        <w:tabs>
          <w:tab w:val="clear" w:pos="8640"/>
        </w:tabs>
        <w:ind w:firstLine="0"/>
        <w:jc w:val="center"/>
        <w:outlineLvl w:val="0"/>
        <w:rPr>
          <w:lang w:val="en-US"/>
        </w:rPr>
      </w:pPr>
      <w:r w:rsidRPr="004B465B">
        <w:rPr>
          <w:noProof/>
          <w:lang w:val="en-US"/>
        </w:rPr>
        <w:t>C</w:t>
      </w:r>
      <w:r w:rsidRPr="004B465B">
        <w:rPr>
          <w:noProof/>
          <w:vertAlign w:val="subscript"/>
          <w:lang w:val="en-US"/>
        </w:rPr>
        <w:t>rel</w:t>
      </w:r>
      <w:r w:rsidRPr="004B465B">
        <w:rPr>
          <w:lang w:val="en-US"/>
        </w:rPr>
        <w:t xml:space="preserve"> (A </w:t>
      </w:r>
      <w:r w:rsidRPr="004B465B">
        <w:rPr>
          <w:noProof/>
          <w:lang w:val="en-US"/>
        </w:rPr>
        <w:t>r</w:t>
      </w:r>
      <w:r w:rsidRPr="004B465B">
        <w:rPr>
          <w:noProof/>
          <w:vertAlign w:val="subscript"/>
          <w:lang w:val="en-US"/>
        </w:rPr>
        <w:t>x</w:t>
      </w:r>
      <w:r w:rsidRPr="004B465B">
        <w:rPr>
          <w:lang w:val="en-US"/>
        </w:rPr>
        <w:t xml:space="preserve"> B); (B </w:t>
      </w:r>
      <w:r w:rsidRPr="004B465B">
        <w:rPr>
          <w:noProof/>
          <w:lang w:val="en-US"/>
        </w:rPr>
        <w:t>r</w:t>
      </w:r>
      <w:r w:rsidRPr="004B465B">
        <w:rPr>
          <w:noProof/>
          <w:vertAlign w:val="subscript"/>
          <w:lang w:val="en-US"/>
        </w:rPr>
        <w:t>x</w:t>
      </w:r>
      <w:r w:rsidRPr="004B465B">
        <w:rPr>
          <w:lang w:val="en-US"/>
        </w:rPr>
        <w:t xml:space="preserve"> C) ||| (A </w:t>
      </w:r>
      <w:r w:rsidRPr="004B465B">
        <w:rPr>
          <w:noProof/>
          <w:lang w:val="en-US"/>
        </w:rPr>
        <w:t>r</w:t>
      </w:r>
      <w:r w:rsidRPr="004B465B">
        <w:rPr>
          <w:noProof/>
          <w:vertAlign w:val="subscript"/>
          <w:lang w:val="en-US"/>
        </w:rPr>
        <w:t>x</w:t>
      </w:r>
      <w:r w:rsidRPr="004B465B">
        <w:rPr>
          <w:lang w:val="en-US"/>
        </w:rPr>
        <w:t xml:space="preserve"> C); (C </w:t>
      </w:r>
      <w:r w:rsidRPr="004B465B">
        <w:rPr>
          <w:noProof/>
          <w:lang w:val="en-US"/>
        </w:rPr>
        <w:t>r</w:t>
      </w:r>
      <w:r w:rsidRPr="004B465B">
        <w:rPr>
          <w:noProof/>
          <w:vertAlign w:val="subscript"/>
          <w:lang w:val="en-US"/>
        </w:rPr>
        <w:t>y</w:t>
      </w:r>
      <w:r w:rsidRPr="004B465B">
        <w:rPr>
          <w:lang w:val="en-US"/>
        </w:rPr>
        <w:t xml:space="preserve"> A)</w:t>
      </w:r>
    </w:p>
    <w:p w14:paraId="16B4EA21" w14:textId="77777777" w:rsidR="00075CBD" w:rsidRPr="004B465B" w:rsidRDefault="00075CBD" w:rsidP="00075CBD">
      <w:pPr>
        <w:pStyle w:val="BodyText"/>
        <w:tabs>
          <w:tab w:val="clear" w:pos="8640"/>
        </w:tabs>
        <w:rPr>
          <w:lang w:val="en-US"/>
        </w:rPr>
      </w:pPr>
      <w:r w:rsidRPr="004B465B">
        <w:rPr>
          <w:noProof/>
          <w:lang w:val="en-US"/>
        </w:rPr>
        <w:t>This notation illustrates that in a specific context (C</w:t>
      </w:r>
      <w:r w:rsidRPr="004B465B">
        <w:rPr>
          <w:noProof/>
          <w:vertAlign w:val="subscript"/>
          <w:lang w:val="en-US"/>
        </w:rPr>
        <w:t>rel</w:t>
      </w:r>
      <w:r w:rsidRPr="004B465B">
        <w:rPr>
          <w:noProof/>
          <w:lang w:val="en-US"/>
        </w:rPr>
        <w:t>), if an organism has learned to treat the event A as having a relation (r</w:t>
      </w:r>
      <w:r w:rsidRPr="004B465B">
        <w:rPr>
          <w:noProof/>
          <w:vertAlign w:val="subscript"/>
          <w:lang w:val="en-US"/>
        </w:rPr>
        <w:t>x</w:t>
      </w:r>
      <w:r w:rsidRPr="004B465B">
        <w:rPr>
          <w:noProof/>
          <w:lang w:val="en-US"/>
        </w:rPr>
        <w:t>) with B, and the event B as having a relation (r</w:t>
      </w:r>
      <w:r w:rsidRPr="004B465B">
        <w:rPr>
          <w:noProof/>
          <w:vertAlign w:val="subscript"/>
          <w:lang w:val="en-US"/>
        </w:rPr>
        <w:t>x</w:t>
      </w:r>
      <w:r w:rsidRPr="004B465B">
        <w:rPr>
          <w:noProof/>
          <w:lang w:val="en-US"/>
        </w:rPr>
        <w:t xml:space="preserve">) with C, then </w:t>
      </w:r>
      <w:r w:rsidRPr="004B465B">
        <w:rPr>
          <w:noProof/>
          <w:lang w:val="en-US"/>
        </w:rPr>
        <w:lastRenderedPageBreak/>
        <w:t>(|||) the organism should be able to derive that A is related to C in the same way as A:B (r</w:t>
      </w:r>
      <w:r w:rsidRPr="004B465B">
        <w:rPr>
          <w:noProof/>
          <w:vertAlign w:val="subscript"/>
          <w:lang w:val="en-US"/>
        </w:rPr>
        <w:t>x</w:t>
      </w:r>
      <w:r w:rsidRPr="004B465B">
        <w:rPr>
          <w:noProof/>
          <w:lang w:val="en-US"/>
        </w:rPr>
        <w:t>), and the mutually entailed relation (C r</w:t>
      </w:r>
      <w:r w:rsidRPr="004B465B">
        <w:rPr>
          <w:noProof/>
          <w:vertAlign w:val="subscript"/>
          <w:lang w:val="en-US"/>
        </w:rPr>
        <w:t>y</w:t>
      </w:r>
      <w:r w:rsidRPr="004B465B">
        <w:rPr>
          <w:noProof/>
          <w:lang w:val="en-US"/>
        </w:rPr>
        <w:t xml:space="preserve"> A).</w:t>
      </w:r>
    </w:p>
    <w:p w14:paraId="3586BCBF" w14:textId="61A3C72A" w:rsidR="00075CBD" w:rsidRPr="004B465B" w:rsidRDefault="00075CBD" w:rsidP="00075CBD">
      <w:pPr>
        <w:pStyle w:val="BodyText"/>
        <w:tabs>
          <w:tab w:val="clear" w:pos="8640"/>
        </w:tabs>
        <w:rPr>
          <w:lang w:val="en-US"/>
        </w:rPr>
      </w:pPr>
      <w:r w:rsidRPr="004B465B">
        <w:rPr>
          <w:noProof/>
          <w:lang w:val="en-US"/>
        </w:rPr>
        <w:t>This</w:t>
      </w:r>
      <w:r w:rsidR="007B5981" w:rsidRPr="004B465B">
        <w:rPr>
          <w:noProof/>
          <w:lang w:val="en-US"/>
        </w:rPr>
        <w:t xml:space="preserve"> general pattern of AARR</w:t>
      </w:r>
      <w:r w:rsidRPr="004B465B">
        <w:rPr>
          <w:lang w:val="en-US"/>
        </w:rPr>
        <w:t xml:space="preserve"> </w:t>
      </w:r>
      <w:r w:rsidR="007B5981" w:rsidRPr="004B465B">
        <w:rPr>
          <w:lang w:val="en-US"/>
        </w:rPr>
        <w:t>only applies to</w:t>
      </w:r>
      <w:r w:rsidRPr="004B465B">
        <w:rPr>
          <w:lang w:val="en-US"/>
        </w:rPr>
        <w:t xml:space="preserve"> transitive relations</w:t>
      </w:r>
      <w:r w:rsidR="00716D73" w:rsidRPr="004B465B">
        <w:rPr>
          <w:lang w:val="en-US"/>
        </w:rPr>
        <w:t xml:space="preserve"> (e.g., Slattery, Stewart, &amp; O’Hora, 2011)</w:t>
      </w:r>
      <w:r w:rsidRPr="004B465B">
        <w:rPr>
          <w:lang w:val="en-US"/>
        </w:rPr>
        <w:t>, for example larger/smaller, before/after, same/opposite</w:t>
      </w:r>
      <w:r w:rsidR="00716D73" w:rsidRPr="004B465B">
        <w:rPr>
          <w:lang w:val="en-US"/>
        </w:rPr>
        <w:t>,</w:t>
      </w:r>
      <w:r w:rsidRPr="004B465B">
        <w:rPr>
          <w:lang w:val="en-US"/>
        </w:rPr>
        <w:t xml:space="preserve"> and so on (Johnson-Laird, 2010). There are indeed stimulus relationships dictated by the verbal community that </w:t>
      </w:r>
      <w:r w:rsidRPr="004B465B">
        <w:rPr>
          <w:noProof/>
          <w:lang w:val="en-US"/>
        </w:rPr>
        <w:t>do</w:t>
      </w:r>
      <w:r w:rsidRPr="004B465B">
        <w:rPr>
          <w:lang w:val="en-US"/>
        </w:rPr>
        <w:t xml:space="preserve"> not necessarily lead to combinatorial entailment and these are labelled “intransitive</w:t>
      </w:r>
      <w:r w:rsidR="00FF10D5">
        <w:rPr>
          <w:lang w:val="en-US"/>
        </w:rPr>
        <w:t>.</w:t>
      </w:r>
      <w:r w:rsidRPr="004B465B">
        <w:rPr>
          <w:lang w:val="en-US"/>
        </w:rPr>
        <w:t>”</w:t>
      </w:r>
      <w:r w:rsidR="00CD4E54" w:rsidRPr="004B465B">
        <w:rPr>
          <w:lang w:val="en-US"/>
        </w:rPr>
        <w:t xml:space="preserve"> </w:t>
      </w:r>
      <w:r w:rsidRPr="004B465B">
        <w:rPr>
          <w:lang w:val="en-US"/>
        </w:rPr>
        <w:t xml:space="preserve">For example, if A has </w:t>
      </w:r>
      <w:r w:rsidR="00696379" w:rsidRPr="004B465B">
        <w:rPr>
          <w:lang w:val="en-US"/>
        </w:rPr>
        <w:t xml:space="preserve">met </w:t>
      </w:r>
      <w:r w:rsidRPr="004B465B">
        <w:rPr>
          <w:lang w:val="en-US"/>
        </w:rPr>
        <w:t xml:space="preserve">B and B </w:t>
      </w:r>
      <w:r w:rsidRPr="004B465B">
        <w:rPr>
          <w:noProof/>
          <w:lang w:val="en-US"/>
        </w:rPr>
        <w:t>has</w:t>
      </w:r>
      <w:r w:rsidRPr="004B465B">
        <w:rPr>
          <w:lang w:val="en-US"/>
        </w:rPr>
        <w:t xml:space="preserve"> </w:t>
      </w:r>
      <w:r w:rsidR="00696379" w:rsidRPr="004B465B">
        <w:rPr>
          <w:lang w:val="en-US"/>
        </w:rPr>
        <w:t xml:space="preserve">met </w:t>
      </w:r>
      <w:r w:rsidRPr="004B465B">
        <w:rPr>
          <w:lang w:val="en-US"/>
        </w:rPr>
        <w:t xml:space="preserve">C, it would not necessarily follow that A has </w:t>
      </w:r>
      <w:r w:rsidR="00696379" w:rsidRPr="004B465B">
        <w:rPr>
          <w:lang w:val="en-US"/>
        </w:rPr>
        <w:t xml:space="preserve">met </w:t>
      </w:r>
      <w:r w:rsidRPr="004B465B">
        <w:rPr>
          <w:lang w:val="en-US"/>
        </w:rPr>
        <w:t xml:space="preserve">C. Using notation, this could </w:t>
      </w:r>
      <w:r w:rsidRPr="004B465B">
        <w:rPr>
          <w:noProof/>
          <w:lang w:val="en-US"/>
        </w:rPr>
        <w:t>be stated</w:t>
      </w:r>
      <w:r w:rsidRPr="004B465B">
        <w:rPr>
          <w:lang w:val="en-US"/>
        </w:rPr>
        <w:t xml:space="preserve"> as:</w:t>
      </w:r>
    </w:p>
    <w:p w14:paraId="0D03AD2D" w14:textId="77777777" w:rsidR="00075CBD" w:rsidRPr="004B465B" w:rsidRDefault="00075CBD" w:rsidP="00CE2D85">
      <w:pPr>
        <w:pStyle w:val="BodyText"/>
        <w:tabs>
          <w:tab w:val="clear" w:pos="8640"/>
        </w:tabs>
        <w:ind w:firstLine="0"/>
        <w:jc w:val="center"/>
        <w:outlineLvl w:val="0"/>
        <w:rPr>
          <w:lang w:val="en-US"/>
        </w:rPr>
      </w:pPr>
      <w:r w:rsidRPr="004B465B">
        <w:rPr>
          <w:noProof/>
          <w:lang w:val="en-US"/>
        </w:rPr>
        <w:t>C</w:t>
      </w:r>
      <w:r w:rsidRPr="004B465B">
        <w:rPr>
          <w:noProof/>
          <w:vertAlign w:val="subscript"/>
          <w:lang w:val="en-US"/>
        </w:rPr>
        <w:t>rel</w:t>
      </w:r>
      <w:r w:rsidRPr="004B465B">
        <w:rPr>
          <w:lang w:val="en-US"/>
        </w:rPr>
        <w:t xml:space="preserve"> (A </w:t>
      </w:r>
      <w:r w:rsidRPr="004B465B">
        <w:rPr>
          <w:noProof/>
          <w:lang w:val="en-US"/>
        </w:rPr>
        <w:t>r</w:t>
      </w:r>
      <w:r w:rsidRPr="004B465B">
        <w:rPr>
          <w:noProof/>
          <w:vertAlign w:val="subscript"/>
          <w:lang w:val="en-US"/>
        </w:rPr>
        <w:t>xi</w:t>
      </w:r>
      <w:r w:rsidRPr="004B465B">
        <w:rPr>
          <w:lang w:val="en-US"/>
        </w:rPr>
        <w:t xml:space="preserve"> B); (B </w:t>
      </w:r>
      <w:r w:rsidRPr="004B465B">
        <w:rPr>
          <w:noProof/>
          <w:lang w:val="en-US"/>
        </w:rPr>
        <w:t>r</w:t>
      </w:r>
      <w:r w:rsidRPr="004B465B">
        <w:rPr>
          <w:noProof/>
          <w:vertAlign w:val="subscript"/>
          <w:lang w:val="en-US"/>
        </w:rPr>
        <w:t>xi</w:t>
      </w:r>
      <w:r w:rsidRPr="004B465B">
        <w:rPr>
          <w:lang w:val="en-US"/>
        </w:rPr>
        <w:t xml:space="preserve"> C) |||</w:t>
      </w:r>
    </w:p>
    <w:p w14:paraId="61175D41" w14:textId="58833888" w:rsidR="00075CBD" w:rsidRPr="004B465B" w:rsidRDefault="003C5D79" w:rsidP="00075CBD">
      <w:pPr>
        <w:pStyle w:val="BodyText"/>
        <w:tabs>
          <w:tab w:val="clear" w:pos="8640"/>
        </w:tabs>
        <w:ind w:firstLine="0"/>
        <w:rPr>
          <w:lang w:val="en-US"/>
        </w:rPr>
      </w:pPr>
      <w:r w:rsidRPr="004B465B">
        <w:rPr>
          <w:noProof/>
          <w:lang w:val="en-US"/>
        </w:rPr>
        <w:t xml:space="preserve">Here, </w:t>
      </w:r>
      <w:r w:rsidR="00FF10D5">
        <w:rPr>
          <w:noProof/>
          <w:lang w:val="en-US"/>
        </w:rPr>
        <w:t>“</w:t>
      </w:r>
      <w:r w:rsidR="00075CBD" w:rsidRPr="004B465B">
        <w:rPr>
          <w:noProof/>
          <w:vertAlign w:val="subscript"/>
          <w:lang w:val="en-US"/>
        </w:rPr>
        <w:t>i</w:t>
      </w:r>
      <w:r w:rsidR="00FF10D5">
        <w:rPr>
          <w:noProof/>
          <w:lang w:val="en-US"/>
        </w:rPr>
        <w:t>”</w:t>
      </w:r>
      <w:r w:rsidR="00075CBD" w:rsidRPr="004B465B">
        <w:rPr>
          <w:noProof/>
          <w:lang w:val="en-US"/>
        </w:rPr>
        <w:t xml:space="preserve"> indicates that the relationship is intransitive.</w:t>
      </w:r>
    </w:p>
    <w:p w14:paraId="58617282" w14:textId="77777777" w:rsidR="00781EB1" w:rsidRPr="004B465B" w:rsidRDefault="00075CBD" w:rsidP="00143BD7">
      <w:pPr>
        <w:pStyle w:val="BodyText"/>
        <w:tabs>
          <w:tab w:val="clear" w:pos="8640"/>
        </w:tabs>
        <w:rPr>
          <w:lang w:val="en-US"/>
        </w:rPr>
      </w:pPr>
      <w:r w:rsidRPr="004B465B">
        <w:rPr>
          <w:lang w:val="en-US"/>
        </w:rPr>
        <w:t xml:space="preserve">Despite the illogicality of </w:t>
      </w:r>
      <w:r w:rsidRPr="004B465B">
        <w:rPr>
          <w:noProof/>
          <w:lang w:val="en-US"/>
        </w:rPr>
        <w:t>deriving</w:t>
      </w:r>
      <w:r w:rsidRPr="004B465B">
        <w:rPr>
          <w:lang w:val="en-US"/>
        </w:rPr>
        <w:t xml:space="preserve"> (A </w:t>
      </w:r>
      <w:r w:rsidRPr="004B465B">
        <w:rPr>
          <w:noProof/>
          <w:lang w:val="en-US"/>
        </w:rPr>
        <w:t>r</w:t>
      </w:r>
      <w:r w:rsidRPr="004B465B">
        <w:rPr>
          <w:noProof/>
          <w:vertAlign w:val="subscript"/>
          <w:lang w:val="en-US"/>
        </w:rPr>
        <w:t>x</w:t>
      </w:r>
      <w:r w:rsidRPr="004B465B">
        <w:rPr>
          <w:lang w:val="en-US"/>
        </w:rPr>
        <w:t xml:space="preserve"> C)</w:t>
      </w:r>
      <w:r w:rsidR="00696379" w:rsidRPr="004B465B">
        <w:rPr>
          <w:lang w:val="en-US"/>
        </w:rPr>
        <w:t xml:space="preserve"> when considering an intransitive relationship</w:t>
      </w:r>
      <w:r w:rsidRPr="004B465B">
        <w:rPr>
          <w:lang w:val="en-US"/>
        </w:rPr>
        <w:t xml:space="preserve">, humans may still </w:t>
      </w:r>
      <w:r w:rsidR="00696379" w:rsidRPr="004B465B">
        <w:rPr>
          <w:lang w:val="en-US"/>
        </w:rPr>
        <w:t>derive it.</w:t>
      </w:r>
      <w:r w:rsidRPr="004B465B">
        <w:rPr>
          <w:lang w:val="en-US"/>
        </w:rPr>
        <w:t xml:space="preserve"> </w:t>
      </w:r>
      <w:r w:rsidR="00696379" w:rsidRPr="004B465B">
        <w:rPr>
          <w:lang w:val="en-US"/>
        </w:rPr>
        <w:t>T</w:t>
      </w:r>
      <w:r w:rsidRPr="004B465B">
        <w:rPr>
          <w:lang w:val="en-US"/>
        </w:rPr>
        <w:t xml:space="preserve">his </w:t>
      </w:r>
      <w:r w:rsidR="00F05B22" w:rsidRPr="004B465B">
        <w:rPr>
          <w:noProof/>
          <w:lang w:val="en-US"/>
        </w:rPr>
        <w:t>overgenerali</w:t>
      </w:r>
      <w:r w:rsidR="003C5D79" w:rsidRPr="004B465B">
        <w:rPr>
          <w:noProof/>
          <w:lang w:val="en-US"/>
        </w:rPr>
        <w:t>z</w:t>
      </w:r>
      <w:r w:rsidR="00F05B22" w:rsidRPr="004B465B">
        <w:rPr>
          <w:noProof/>
          <w:lang w:val="en-US"/>
        </w:rPr>
        <w:t>ation</w:t>
      </w:r>
      <w:r w:rsidR="00F05B22" w:rsidRPr="004B465B">
        <w:rPr>
          <w:lang w:val="en-US"/>
        </w:rPr>
        <w:t xml:space="preserve"> </w:t>
      </w:r>
      <w:r w:rsidRPr="004B465B">
        <w:rPr>
          <w:lang w:val="en-US"/>
        </w:rPr>
        <w:t>error could in fact underpin some cognitive biases</w:t>
      </w:r>
      <w:r w:rsidR="00F05B22" w:rsidRPr="004B465B">
        <w:rPr>
          <w:lang w:val="en-US"/>
        </w:rPr>
        <w:t xml:space="preserve">. For </w:t>
      </w:r>
      <w:r w:rsidR="00B72C5F" w:rsidRPr="004B465B">
        <w:rPr>
          <w:lang w:val="en-US"/>
        </w:rPr>
        <w:t>example,</w:t>
      </w:r>
      <w:r w:rsidRPr="004B465B">
        <w:rPr>
          <w:lang w:val="en-US"/>
        </w:rPr>
        <w:t xml:space="preserve"> if </w:t>
      </w:r>
      <w:r w:rsidR="00781EB1" w:rsidRPr="004B465B">
        <w:rPr>
          <w:lang w:val="en-US"/>
        </w:rPr>
        <w:t xml:space="preserve">Person </w:t>
      </w:r>
      <w:r w:rsidRPr="004B465B">
        <w:rPr>
          <w:lang w:val="en-US"/>
        </w:rPr>
        <w:t xml:space="preserve">A harms </w:t>
      </w:r>
      <w:r w:rsidR="00781EB1" w:rsidRPr="004B465B">
        <w:rPr>
          <w:lang w:val="en-US"/>
        </w:rPr>
        <w:t xml:space="preserve">Person </w:t>
      </w:r>
      <w:r w:rsidRPr="004B465B">
        <w:rPr>
          <w:lang w:val="en-US"/>
        </w:rPr>
        <w:t xml:space="preserve">B, and </w:t>
      </w:r>
      <w:r w:rsidR="00781EB1" w:rsidRPr="004B465B">
        <w:rPr>
          <w:lang w:val="en-US"/>
        </w:rPr>
        <w:t xml:space="preserve">Person </w:t>
      </w:r>
      <w:r w:rsidRPr="004B465B">
        <w:rPr>
          <w:lang w:val="en-US"/>
        </w:rPr>
        <w:t xml:space="preserve">B harms </w:t>
      </w:r>
      <w:r w:rsidR="00781EB1" w:rsidRPr="004B465B">
        <w:rPr>
          <w:lang w:val="en-US"/>
        </w:rPr>
        <w:t xml:space="preserve">Person </w:t>
      </w:r>
      <w:r w:rsidRPr="004B465B">
        <w:rPr>
          <w:lang w:val="en-US"/>
        </w:rPr>
        <w:t xml:space="preserve">C, then </w:t>
      </w:r>
      <w:r w:rsidR="00781EB1" w:rsidRPr="004B465B">
        <w:rPr>
          <w:lang w:val="en-US"/>
        </w:rPr>
        <w:t xml:space="preserve">Person </w:t>
      </w:r>
      <w:r w:rsidRPr="004B465B">
        <w:rPr>
          <w:lang w:val="en-US"/>
        </w:rPr>
        <w:t xml:space="preserve">C is not necessarily the victim of </w:t>
      </w:r>
      <w:r w:rsidR="00781EB1" w:rsidRPr="004B465B">
        <w:rPr>
          <w:lang w:val="en-US"/>
        </w:rPr>
        <w:t xml:space="preserve">Person </w:t>
      </w:r>
      <w:r w:rsidRPr="004B465B">
        <w:rPr>
          <w:lang w:val="en-US"/>
        </w:rPr>
        <w:t xml:space="preserve">A. </w:t>
      </w:r>
      <w:r w:rsidR="00F05B22" w:rsidRPr="004B465B">
        <w:rPr>
          <w:lang w:val="en-US"/>
        </w:rPr>
        <w:t>In some way, the existence of this</w:t>
      </w:r>
      <w:r w:rsidR="00A523FF" w:rsidRPr="004B465B">
        <w:rPr>
          <w:lang w:val="en-US"/>
        </w:rPr>
        <w:t xml:space="preserve"> intransitivity</w:t>
      </w:r>
      <w:r w:rsidR="00F05B22" w:rsidRPr="004B465B">
        <w:rPr>
          <w:lang w:val="en-US"/>
        </w:rPr>
        <w:t xml:space="preserve"> </w:t>
      </w:r>
      <w:r w:rsidR="00F05B22" w:rsidRPr="004B465B">
        <w:rPr>
          <w:noProof/>
          <w:lang w:val="en-US"/>
        </w:rPr>
        <w:t xml:space="preserve">phenomenon </w:t>
      </w:r>
      <w:r w:rsidR="00F74F1E" w:rsidRPr="004B465B">
        <w:rPr>
          <w:noProof/>
          <w:lang w:val="en-US"/>
        </w:rPr>
        <w:t>presents</w:t>
      </w:r>
      <w:r w:rsidR="00F74F1E" w:rsidRPr="004B465B">
        <w:rPr>
          <w:lang w:val="en-US"/>
        </w:rPr>
        <w:t xml:space="preserve"> a considerable theoretical and empirical challenge for RFT that is not readily accountable for in current formulations of the theory.</w:t>
      </w:r>
    </w:p>
    <w:p w14:paraId="2D72D4A5" w14:textId="0F9F6327" w:rsidR="00075CBD" w:rsidRPr="004B465B" w:rsidRDefault="002304ED" w:rsidP="00653556">
      <w:pPr>
        <w:pStyle w:val="BodyText"/>
        <w:tabs>
          <w:tab w:val="clear" w:pos="8640"/>
        </w:tabs>
        <w:rPr>
          <w:lang w:val="en-US"/>
        </w:rPr>
      </w:pPr>
      <w:r w:rsidRPr="004B465B">
        <w:rPr>
          <w:noProof/>
          <w:lang w:val="en-US"/>
        </w:rPr>
        <w:t>Likewise</w:t>
      </w:r>
      <w:r w:rsidR="00075CBD" w:rsidRPr="004B465B">
        <w:rPr>
          <w:noProof/>
          <w:lang w:val="en-US"/>
        </w:rPr>
        <w:t xml:space="preserve">, if </w:t>
      </w:r>
      <w:r w:rsidR="00781EB1" w:rsidRPr="004B465B">
        <w:rPr>
          <w:noProof/>
          <w:lang w:val="en-US"/>
        </w:rPr>
        <w:t xml:space="preserve">Class </w:t>
      </w:r>
      <w:r w:rsidR="00075CBD" w:rsidRPr="004B465B">
        <w:rPr>
          <w:noProof/>
          <w:lang w:val="en-US"/>
        </w:rPr>
        <w:t xml:space="preserve">A and </w:t>
      </w:r>
      <w:r w:rsidR="00781EB1" w:rsidRPr="004B465B">
        <w:rPr>
          <w:noProof/>
          <w:lang w:val="en-US"/>
        </w:rPr>
        <w:t xml:space="preserve">Class </w:t>
      </w:r>
      <w:r w:rsidR="00075CBD" w:rsidRPr="004B465B">
        <w:rPr>
          <w:noProof/>
          <w:lang w:val="en-US"/>
        </w:rPr>
        <w:t xml:space="preserve">B are equivalence classes </w:t>
      </w:r>
      <w:r w:rsidR="00D91EB6" w:rsidRPr="004B465B">
        <w:rPr>
          <w:noProof/>
          <w:lang w:val="en-US"/>
        </w:rPr>
        <w:t xml:space="preserve">of people </w:t>
      </w:r>
      <w:r w:rsidR="00075CBD" w:rsidRPr="004B465B">
        <w:rPr>
          <w:noProof/>
          <w:lang w:val="en-US"/>
        </w:rPr>
        <w:t xml:space="preserve">related </w:t>
      </w:r>
      <w:r w:rsidR="00781EB1" w:rsidRPr="004B465B">
        <w:rPr>
          <w:noProof/>
          <w:lang w:val="en-US"/>
        </w:rPr>
        <w:t>via an asymmetrical relation (i.e., hierarchically)</w:t>
      </w:r>
      <w:r w:rsidR="00075CBD" w:rsidRPr="004B465B">
        <w:rPr>
          <w:noProof/>
          <w:lang w:val="en-US"/>
        </w:rPr>
        <w:t xml:space="preserve"> then </w:t>
      </w:r>
      <w:r w:rsidR="00D91EB6" w:rsidRPr="004B465B">
        <w:rPr>
          <w:noProof/>
          <w:lang w:val="en-US"/>
        </w:rPr>
        <w:t xml:space="preserve">the </w:t>
      </w:r>
      <w:r w:rsidR="00B72C5F" w:rsidRPr="004B465B">
        <w:rPr>
          <w:noProof/>
          <w:lang w:val="en-US"/>
        </w:rPr>
        <w:t>e</w:t>
      </w:r>
      <w:r w:rsidR="00D91EB6" w:rsidRPr="004B465B">
        <w:rPr>
          <w:noProof/>
          <w:lang w:val="en-US"/>
        </w:rPr>
        <w:t xml:space="preserve">ffect of </w:t>
      </w:r>
      <w:r w:rsidR="00716D73" w:rsidRPr="004B465B">
        <w:rPr>
          <w:noProof/>
          <w:lang w:val="en-US"/>
        </w:rPr>
        <w:t>C</w:t>
      </w:r>
      <w:r w:rsidR="00D91EB6" w:rsidRPr="004B465B">
        <w:rPr>
          <w:noProof/>
          <w:lang w:val="en-US"/>
        </w:rPr>
        <w:t xml:space="preserve">lass A on </w:t>
      </w:r>
      <w:r w:rsidR="00716D73" w:rsidRPr="004B465B">
        <w:rPr>
          <w:noProof/>
          <w:lang w:val="en-US"/>
        </w:rPr>
        <w:t>C</w:t>
      </w:r>
      <w:r w:rsidR="00D91EB6" w:rsidRPr="004B465B">
        <w:rPr>
          <w:noProof/>
          <w:lang w:val="en-US"/>
        </w:rPr>
        <w:t>lass B (</w:t>
      </w:r>
      <w:r w:rsidR="006D70C9">
        <w:rPr>
          <w:noProof/>
          <w:lang w:val="en-US"/>
        </w:rPr>
        <w:t>e.g.</w:t>
      </w:r>
      <w:r w:rsidR="00D91EB6" w:rsidRPr="004B465B">
        <w:rPr>
          <w:noProof/>
          <w:lang w:val="en-US"/>
        </w:rPr>
        <w:t>, oppression) does not necessarily hold for individual</w:t>
      </w:r>
      <w:r w:rsidR="00781EB1" w:rsidRPr="004B465B">
        <w:rPr>
          <w:noProof/>
          <w:lang w:val="en-US"/>
        </w:rPr>
        <w:t xml:space="preserve"> members (Persons A and B)</w:t>
      </w:r>
      <w:r w:rsidR="00075CBD" w:rsidRPr="004B465B">
        <w:rPr>
          <w:noProof/>
          <w:lang w:val="en-US"/>
        </w:rPr>
        <w:t>, as transitive class containment might suggest (see Slattery &amp; Stewart, 2014).</w:t>
      </w:r>
      <w:r w:rsidR="00075CBD" w:rsidRPr="004B465B">
        <w:rPr>
          <w:lang w:val="en-US"/>
        </w:rPr>
        <w:t xml:space="preserve"> </w:t>
      </w:r>
      <w:r w:rsidR="00B72C5F" w:rsidRPr="004B465B">
        <w:rPr>
          <w:lang w:val="en-US"/>
        </w:rPr>
        <w:t xml:space="preserve">Such </w:t>
      </w:r>
      <w:r w:rsidR="00075CBD" w:rsidRPr="004B465B">
        <w:rPr>
          <w:lang w:val="en-US"/>
        </w:rPr>
        <w:t>pattern</w:t>
      </w:r>
      <w:r w:rsidR="003C5D79" w:rsidRPr="004B465B">
        <w:rPr>
          <w:lang w:val="en-US"/>
        </w:rPr>
        <w:t>s</w:t>
      </w:r>
      <w:r w:rsidR="00075CBD" w:rsidRPr="004B465B">
        <w:rPr>
          <w:lang w:val="en-US"/>
        </w:rPr>
        <w:t xml:space="preserve"> of deriving false information may </w:t>
      </w:r>
      <w:r w:rsidR="003C5D79" w:rsidRPr="004B465B">
        <w:rPr>
          <w:noProof/>
          <w:lang w:val="en-US"/>
        </w:rPr>
        <w:t>have an association</w:t>
      </w:r>
      <w:r w:rsidR="00075CBD" w:rsidRPr="004B465B">
        <w:rPr>
          <w:lang w:val="en-US"/>
        </w:rPr>
        <w:t xml:space="preserve"> with </w:t>
      </w:r>
      <w:r w:rsidR="00075CBD" w:rsidRPr="004B465B">
        <w:rPr>
          <w:noProof/>
          <w:lang w:val="en-US"/>
        </w:rPr>
        <w:t>certain</w:t>
      </w:r>
      <w:r w:rsidR="00075CBD" w:rsidRPr="004B465B">
        <w:rPr>
          <w:lang w:val="en-US"/>
        </w:rPr>
        <w:t xml:space="preserve"> psychological disorders, for example</w:t>
      </w:r>
      <w:r w:rsidR="00FF10D5">
        <w:rPr>
          <w:lang w:val="en-US"/>
        </w:rPr>
        <w:t>,</w:t>
      </w:r>
      <w:r w:rsidR="00075CBD" w:rsidRPr="004B465B">
        <w:rPr>
          <w:lang w:val="en-US"/>
        </w:rPr>
        <w:t xml:space="preserve"> psychosis, anxiety, paranoia, and schizophrenia (see Stewart, Stewart, &amp; Hughes, 2016).</w:t>
      </w:r>
    </w:p>
    <w:p w14:paraId="29549B9A" w14:textId="77777777" w:rsidR="00075CBD" w:rsidRPr="004B465B" w:rsidRDefault="00075CBD" w:rsidP="00143BD7">
      <w:pPr>
        <w:pStyle w:val="BodyText"/>
        <w:tabs>
          <w:tab w:val="clear" w:pos="8640"/>
        </w:tabs>
        <w:rPr>
          <w:lang w:val="en-US"/>
        </w:rPr>
      </w:pPr>
      <w:r w:rsidRPr="004B465B">
        <w:rPr>
          <w:lang w:val="en-US"/>
        </w:rPr>
        <w:lastRenderedPageBreak/>
        <w:t xml:space="preserve">Further, there are situations in which (A </w:t>
      </w:r>
      <w:r w:rsidRPr="004B465B">
        <w:rPr>
          <w:noProof/>
          <w:lang w:val="en-US"/>
        </w:rPr>
        <w:t>r</w:t>
      </w:r>
      <w:r w:rsidRPr="004B465B">
        <w:rPr>
          <w:noProof/>
          <w:vertAlign w:val="subscript"/>
          <w:lang w:val="en-US"/>
        </w:rPr>
        <w:t>x</w:t>
      </w:r>
      <w:r w:rsidRPr="004B465B">
        <w:rPr>
          <w:lang w:val="en-US"/>
        </w:rPr>
        <w:t xml:space="preserve"> B) and (B </w:t>
      </w:r>
      <w:r w:rsidRPr="004B465B">
        <w:rPr>
          <w:noProof/>
          <w:lang w:val="en-US"/>
        </w:rPr>
        <w:t>r</w:t>
      </w:r>
      <w:r w:rsidRPr="004B465B">
        <w:rPr>
          <w:noProof/>
          <w:vertAlign w:val="subscript"/>
          <w:lang w:val="en-US"/>
        </w:rPr>
        <w:t>x</w:t>
      </w:r>
      <w:r w:rsidRPr="004B465B">
        <w:rPr>
          <w:vertAlign w:val="subscript"/>
          <w:lang w:val="en-US"/>
        </w:rPr>
        <w:t xml:space="preserve"> </w:t>
      </w:r>
      <w:r w:rsidRPr="004B465B">
        <w:rPr>
          <w:lang w:val="en-US"/>
        </w:rPr>
        <w:t xml:space="preserve">C) can </w:t>
      </w:r>
      <w:r w:rsidRPr="004B465B">
        <w:rPr>
          <w:i/>
          <w:lang w:val="en-US"/>
        </w:rPr>
        <w:t xml:space="preserve">never </w:t>
      </w:r>
      <w:r w:rsidRPr="004B465B">
        <w:rPr>
          <w:lang w:val="en-US"/>
        </w:rPr>
        <w:t xml:space="preserve">derive (A </w:t>
      </w:r>
      <w:r w:rsidRPr="004B465B">
        <w:rPr>
          <w:noProof/>
          <w:lang w:val="en-US"/>
        </w:rPr>
        <w:t>r</w:t>
      </w:r>
      <w:r w:rsidRPr="004B465B">
        <w:rPr>
          <w:noProof/>
          <w:vertAlign w:val="subscript"/>
          <w:lang w:val="en-US"/>
        </w:rPr>
        <w:t>x</w:t>
      </w:r>
      <w:r w:rsidRPr="004B465B">
        <w:rPr>
          <w:lang w:val="en-US"/>
        </w:rPr>
        <w:t xml:space="preserve"> C). For example, if A is the mother of B, and B is the mother of C, it follows that A can </w:t>
      </w:r>
      <w:r w:rsidRPr="004B465B">
        <w:rPr>
          <w:i/>
          <w:lang w:val="en-US"/>
        </w:rPr>
        <w:t>never</w:t>
      </w:r>
      <w:r w:rsidRPr="004B465B">
        <w:rPr>
          <w:lang w:val="en-US"/>
        </w:rPr>
        <w:t xml:space="preserve"> be the mother of C. This </w:t>
      </w:r>
      <w:r w:rsidR="003C5D79" w:rsidRPr="004B465B">
        <w:rPr>
          <w:lang w:val="en-US"/>
        </w:rPr>
        <w:t>is</w:t>
      </w:r>
      <w:r w:rsidRPr="004B465B">
        <w:rPr>
          <w:lang w:val="en-US"/>
        </w:rPr>
        <w:t xml:space="preserve"> known as an </w:t>
      </w:r>
      <w:r w:rsidRPr="004B465B">
        <w:rPr>
          <w:noProof/>
          <w:lang w:val="en-US"/>
        </w:rPr>
        <w:t>antitransitive</w:t>
      </w:r>
      <w:r w:rsidRPr="004B465B">
        <w:rPr>
          <w:lang w:val="en-US"/>
        </w:rPr>
        <w:t xml:space="preserve"> relationship, which can </w:t>
      </w:r>
      <w:r w:rsidRPr="004B465B">
        <w:rPr>
          <w:noProof/>
          <w:lang w:val="en-US"/>
        </w:rPr>
        <w:t>be notated</w:t>
      </w:r>
      <w:r w:rsidRPr="004B465B">
        <w:rPr>
          <w:lang w:val="en-US"/>
        </w:rPr>
        <w:t xml:space="preserve"> as:</w:t>
      </w:r>
    </w:p>
    <w:p w14:paraId="2DE23EBC" w14:textId="77777777" w:rsidR="00075CBD" w:rsidRPr="004B465B" w:rsidRDefault="00075CBD" w:rsidP="00CE2D85">
      <w:pPr>
        <w:pStyle w:val="BodyText"/>
        <w:tabs>
          <w:tab w:val="clear" w:pos="8640"/>
        </w:tabs>
        <w:ind w:firstLine="0"/>
        <w:jc w:val="center"/>
        <w:outlineLvl w:val="0"/>
        <w:rPr>
          <w:lang w:val="en-US"/>
        </w:rPr>
      </w:pPr>
      <w:r w:rsidRPr="004B465B">
        <w:rPr>
          <w:noProof/>
          <w:lang w:val="en-US"/>
        </w:rPr>
        <w:t>C</w:t>
      </w:r>
      <w:r w:rsidRPr="004B465B">
        <w:rPr>
          <w:noProof/>
          <w:vertAlign w:val="subscript"/>
          <w:lang w:val="en-US"/>
        </w:rPr>
        <w:t>rel</w:t>
      </w:r>
      <w:r w:rsidRPr="004B465B">
        <w:rPr>
          <w:lang w:val="en-US"/>
        </w:rPr>
        <w:t xml:space="preserve"> (A </w:t>
      </w:r>
      <w:r w:rsidRPr="004B465B">
        <w:rPr>
          <w:noProof/>
          <w:lang w:val="en-US"/>
        </w:rPr>
        <w:t>r</w:t>
      </w:r>
      <w:r w:rsidRPr="004B465B">
        <w:rPr>
          <w:noProof/>
          <w:vertAlign w:val="subscript"/>
          <w:lang w:val="en-US"/>
        </w:rPr>
        <w:t>xa</w:t>
      </w:r>
      <w:r w:rsidRPr="004B465B">
        <w:rPr>
          <w:lang w:val="en-US"/>
        </w:rPr>
        <w:t xml:space="preserve"> B); (B </w:t>
      </w:r>
      <w:r w:rsidRPr="004B465B">
        <w:rPr>
          <w:noProof/>
          <w:lang w:val="en-US"/>
        </w:rPr>
        <w:t>r</w:t>
      </w:r>
      <w:r w:rsidRPr="004B465B">
        <w:rPr>
          <w:noProof/>
          <w:vertAlign w:val="subscript"/>
          <w:lang w:val="en-US"/>
        </w:rPr>
        <w:t>xa</w:t>
      </w:r>
      <w:r w:rsidRPr="004B465B">
        <w:rPr>
          <w:lang w:val="en-US"/>
        </w:rPr>
        <w:t xml:space="preserve"> C) ||| /(A </w:t>
      </w:r>
      <w:r w:rsidRPr="004B465B">
        <w:rPr>
          <w:noProof/>
          <w:lang w:val="en-US"/>
        </w:rPr>
        <w:t>r</w:t>
      </w:r>
      <w:r w:rsidRPr="004B465B">
        <w:rPr>
          <w:noProof/>
          <w:vertAlign w:val="subscript"/>
          <w:lang w:val="en-US"/>
        </w:rPr>
        <w:t>x</w:t>
      </w:r>
      <w:r w:rsidRPr="004B465B">
        <w:rPr>
          <w:vertAlign w:val="subscript"/>
          <w:lang w:val="en-US"/>
        </w:rPr>
        <w:t xml:space="preserve"> </w:t>
      </w:r>
      <w:r w:rsidRPr="004B465B">
        <w:rPr>
          <w:lang w:val="en-US"/>
        </w:rPr>
        <w:t>C)</w:t>
      </w:r>
    </w:p>
    <w:p w14:paraId="5B8D7954" w14:textId="4857D108" w:rsidR="00075CBD" w:rsidRPr="004B465B" w:rsidRDefault="00075CBD" w:rsidP="00075CBD">
      <w:pPr>
        <w:pStyle w:val="BodyText"/>
        <w:tabs>
          <w:tab w:val="clear" w:pos="8640"/>
        </w:tabs>
        <w:ind w:firstLine="0"/>
        <w:rPr>
          <w:lang w:val="en-US"/>
        </w:rPr>
      </w:pPr>
      <w:r w:rsidRPr="004B465B">
        <w:rPr>
          <w:lang w:val="en-US"/>
        </w:rPr>
        <w:t xml:space="preserve">Where </w:t>
      </w:r>
      <w:r w:rsidR="00B44267">
        <w:rPr>
          <w:lang w:val="en-US"/>
        </w:rPr>
        <w:t>“</w:t>
      </w:r>
      <w:r w:rsidRPr="004B465B">
        <w:rPr>
          <w:vertAlign w:val="subscript"/>
          <w:lang w:val="en-US"/>
        </w:rPr>
        <w:t>a</w:t>
      </w:r>
      <w:r w:rsidR="00B44267">
        <w:rPr>
          <w:lang w:val="en-US"/>
        </w:rPr>
        <w:t>”</w:t>
      </w:r>
      <w:r w:rsidRPr="004B465B">
        <w:rPr>
          <w:lang w:val="en-US"/>
        </w:rPr>
        <w:t xml:space="preserve"> denotes anti</w:t>
      </w:r>
      <w:r w:rsidR="00716D73" w:rsidRPr="004B465B">
        <w:rPr>
          <w:lang w:val="en-US"/>
        </w:rPr>
        <w:t>-</w:t>
      </w:r>
      <w:r w:rsidRPr="004B465B">
        <w:rPr>
          <w:lang w:val="en-US"/>
        </w:rPr>
        <w:t>transitivity</w:t>
      </w:r>
      <w:r w:rsidR="00263AE8" w:rsidRPr="004B465B">
        <w:rPr>
          <w:lang w:val="en-US"/>
        </w:rPr>
        <w:t xml:space="preserve">, and </w:t>
      </w:r>
      <w:r w:rsidR="00B44267">
        <w:rPr>
          <w:lang w:val="en-US"/>
        </w:rPr>
        <w:t>“</w:t>
      </w:r>
      <w:r w:rsidR="00263AE8" w:rsidRPr="004B465B">
        <w:rPr>
          <w:lang w:val="en-US"/>
        </w:rPr>
        <w:t>/</w:t>
      </w:r>
      <w:r w:rsidR="00B44267">
        <w:rPr>
          <w:lang w:val="en-US"/>
        </w:rPr>
        <w:t>”</w:t>
      </w:r>
      <w:r w:rsidR="00263AE8" w:rsidRPr="004B465B">
        <w:rPr>
          <w:lang w:val="en-US"/>
        </w:rPr>
        <w:t xml:space="preserve"> denotes the lack of a derived relationship.</w:t>
      </w:r>
      <w:r w:rsidR="002648BE" w:rsidRPr="004B465B">
        <w:rPr>
          <w:lang w:val="en-US"/>
        </w:rPr>
        <w:t xml:space="preserve"> In this instance, it would be functional </w:t>
      </w:r>
      <w:r w:rsidR="002648BE" w:rsidRPr="004B465B">
        <w:rPr>
          <w:i/>
          <w:lang w:val="en-US"/>
        </w:rPr>
        <w:t>not</w:t>
      </w:r>
      <w:r w:rsidR="002648BE" w:rsidRPr="004B465B">
        <w:rPr>
          <w:lang w:val="en-US"/>
        </w:rPr>
        <w:t xml:space="preserve"> to derive (A </w:t>
      </w:r>
      <w:r w:rsidR="002648BE" w:rsidRPr="004B465B">
        <w:rPr>
          <w:noProof/>
          <w:lang w:val="en-US"/>
        </w:rPr>
        <w:t>r</w:t>
      </w:r>
      <w:r w:rsidR="002648BE" w:rsidRPr="004B465B">
        <w:rPr>
          <w:noProof/>
          <w:vertAlign w:val="subscript"/>
          <w:lang w:val="en-US"/>
        </w:rPr>
        <w:t>x</w:t>
      </w:r>
      <w:r w:rsidR="002648BE" w:rsidRPr="004B465B">
        <w:rPr>
          <w:vertAlign w:val="subscript"/>
          <w:lang w:val="en-US"/>
        </w:rPr>
        <w:t xml:space="preserve"> </w:t>
      </w:r>
      <w:r w:rsidR="002648BE" w:rsidRPr="004B465B">
        <w:rPr>
          <w:lang w:val="en-US"/>
        </w:rPr>
        <w:t xml:space="preserve">C). As mentioned previously, RFT does not </w:t>
      </w:r>
      <w:r w:rsidR="00716D73" w:rsidRPr="004B465B">
        <w:rPr>
          <w:lang w:val="en-US"/>
        </w:rPr>
        <w:t xml:space="preserve">readily </w:t>
      </w:r>
      <w:r w:rsidR="002648BE" w:rsidRPr="004B465B">
        <w:rPr>
          <w:lang w:val="en-US"/>
        </w:rPr>
        <w:t xml:space="preserve">account for this type of relation. As (we hope) RFT grows to account for these unexamined types of relationships, it would be useful to use notation, </w:t>
      </w:r>
      <w:r w:rsidR="00143BD7" w:rsidRPr="004B465B">
        <w:rPr>
          <w:lang w:val="en-US"/>
        </w:rPr>
        <w:t>because</w:t>
      </w:r>
      <w:r w:rsidR="002648BE" w:rsidRPr="004B465B">
        <w:rPr>
          <w:lang w:val="en-US"/>
        </w:rPr>
        <w:t xml:space="preserve"> various kinds of relationships </w:t>
      </w:r>
      <w:r w:rsidR="003C5D79" w:rsidRPr="004B465B">
        <w:rPr>
          <w:noProof/>
          <w:lang w:val="en-US"/>
        </w:rPr>
        <w:t xml:space="preserve">can be </w:t>
      </w:r>
      <w:r w:rsidR="002648BE" w:rsidRPr="004B465B">
        <w:rPr>
          <w:noProof/>
          <w:lang w:val="en-US"/>
        </w:rPr>
        <w:t>writte</w:t>
      </w:r>
      <w:r w:rsidR="007F452C" w:rsidRPr="004B465B">
        <w:rPr>
          <w:noProof/>
          <w:lang w:val="en-US"/>
        </w:rPr>
        <w:t>n</w:t>
      </w:r>
      <w:r w:rsidR="002648BE" w:rsidRPr="004B465B">
        <w:rPr>
          <w:lang w:val="en-US"/>
        </w:rPr>
        <w:t xml:space="preserve"> in such notation</w:t>
      </w:r>
      <w:r w:rsidR="003C5D79" w:rsidRPr="004B465B">
        <w:rPr>
          <w:lang w:val="en-US"/>
        </w:rPr>
        <w:t xml:space="preserve"> easily</w:t>
      </w:r>
      <w:r w:rsidR="002648BE" w:rsidRPr="004B465B">
        <w:rPr>
          <w:lang w:val="en-US"/>
        </w:rPr>
        <w:t>.</w:t>
      </w:r>
    </w:p>
    <w:p w14:paraId="5D746CD9" w14:textId="6BFB0AD4" w:rsidR="00075CBD" w:rsidRPr="004B465B" w:rsidRDefault="00075CBD" w:rsidP="00143BD7">
      <w:pPr>
        <w:pStyle w:val="BodyText"/>
        <w:tabs>
          <w:tab w:val="clear" w:pos="8640"/>
        </w:tabs>
        <w:rPr>
          <w:lang w:val="en-US"/>
        </w:rPr>
      </w:pPr>
      <w:r w:rsidRPr="004B465B">
        <w:rPr>
          <w:lang w:val="en-US"/>
        </w:rPr>
        <w:t>Accordingly,</w:t>
      </w:r>
      <w:r w:rsidR="00263AE8" w:rsidRPr="004B465B">
        <w:rPr>
          <w:lang w:val="en-US"/>
        </w:rPr>
        <w:t xml:space="preserve"> basic</w:t>
      </w:r>
      <w:r w:rsidRPr="004B465B">
        <w:rPr>
          <w:lang w:val="en-US"/>
        </w:rPr>
        <w:t xml:space="preserve"> transitive combinatorial relations would be written in notation as:</w:t>
      </w:r>
    </w:p>
    <w:p w14:paraId="568098CC" w14:textId="77777777" w:rsidR="00075CBD" w:rsidRPr="004B465B" w:rsidRDefault="00075CBD" w:rsidP="00CE2D85">
      <w:pPr>
        <w:pStyle w:val="BodyText"/>
        <w:tabs>
          <w:tab w:val="clear" w:pos="8640"/>
        </w:tabs>
        <w:ind w:firstLine="0"/>
        <w:jc w:val="center"/>
        <w:outlineLvl w:val="0"/>
        <w:rPr>
          <w:lang w:val="en-US"/>
        </w:rPr>
      </w:pPr>
      <w:r w:rsidRPr="004B465B">
        <w:rPr>
          <w:noProof/>
          <w:lang w:val="en-US"/>
        </w:rPr>
        <w:t>C</w:t>
      </w:r>
      <w:r w:rsidRPr="004B465B">
        <w:rPr>
          <w:noProof/>
          <w:vertAlign w:val="subscript"/>
          <w:lang w:val="en-US"/>
        </w:rPr>
        <w:t>rel</w:t>
      </w:r>
      <w:r w:rsidRPr="004B465B">
        <w:rPr>
          <w:lang w:val="en-US"/>
        </w:rPr>
        <w:t xml:space="preserve"> (A </w:t>
      </w:r>
      <w:r w:rsidRPr="004B465B">
        <w:rPr>
          <w:noProof/>
          <w:lang w:val="en-US"/>
        </w:rPr>
        <w:t>r</w:t>
      </w:r>
      <w:r w:rsidRPr="004B465B">
        <w:rPr>
          <w:noProof/>
          <w:vertAlign w:val="subscript"/>
          <w:lang w:val="en-US"/>
        </w:rPr>
        <w:t>xt</w:t>
      </w:r>
      <w:r w:rsidRPr="004B465B">
        <w:rPr>
          <w:lang w:val="en-US"/>
        </w:rPr>
        <w:t xml:space="preserve"> B); (B </w:t>
      </w:r>
      <w:r w:rsidRPr="004B465B">
        <w:rPr>
          <w:noProof/>
          <w:lang w:val="en-US"/>
        </w:rPr>
        <w:t>r</w:t>
      </w:r>
      <w:r w:rsidRPr="004B465B">
        <w:rPr>
          <w:noProof/>
          <w:vertAlign w:val="subscript"/>
          <w:lang w:val="en-US"/>
        </w:rPr>
        <w:t>xt</w:t>
      </w:r>
      <w:r w:rsidRPr="004B465B">
        <w:rPr>
          <w:lang w:val="en-US"/>
        </w:rPr>
        <w:t xml:space="preserve"> C) ||| (A </w:t>
      </w:r>
      <w:r w:rsidRPr="004B465B">
        <w:rPr>
          <w:noProof/>
          <w:lang w:val="en-US"/>
        </w:rPr>
        <w:t>r</w:t>
      </w:r>
      <w:r w:rsidRPr="004B465B">
        <w:rPr>
          <w:noProof/>
          <w:vertAlign w:val="subscript"/>
          <w:lang w:val="en-US"/>
        </w:rPr>
        <w:t>xt</w:t>
      </w:r>
      <w:r w:rsidRPr="004B465B">
        <w:rPr>
          <w:lang w:val="en-US"/>
        </w:rPr>
        <w:t xml:space="preserve"> C); (C </w:t>
      </w:r>
      <w:r w:rsidRPr="004B465B">
        <w:rPr>
          <w:noProof/>
          <w:lang w:val="en-US"/>
        </w:rPr>
        <w:t>r</w:t>
      </w:r>
      <w:r w:rsidRPr="004B465B">
        <w:rPr>
          <w:noProof/>
          <w:vertAlign w:val="subscript"/>
          <w:lang w:val="en-US"/>
        </w:rPr>
        <w:t>yt</w:t>
      </w:r>
      <w:r w:rsidRPr="004B465B">
        <w:rPr>
          <w:lang w:val="en-US"/>
        </w:rPr>
        <w:t xml:space="preserve"> A)</w:t>
      </w:r>
    </w:p>
    <w:p w14:paraId="1E72AD64" w14:textId="2F7BF610" w:rsidR="00075CBD" w:rsidRPr="004B465B" w:rsidRDefault="003C5D79" w:rsidP="00075CBD">
      <w:pPr>
        <w:pStyle w:val="BodyText"/>
        <w:tabs>
          <w:tab w:val="clear" w:pos="8640"/>
        </w:tabs>
        <w:ind w:firstLine="0"/>
        <w:rPr>
          <w:lang w:val="en-US"/>
        </w:rPr>
      </w:pPr>
      <w:r w:rsidRPr="004B465B">
        <w:rPr>
          <w:noProof/>
          <w:lang w:val="en-US"/>
        </w:rPr>
        <w:t xml:space="preserve">Here, </w:t>
      </w:r>
      <w:r w:rsidR="00B44267">
        <w:rPr>
          <w:noProof/>
          <w:lang w:val="en-US"/>
        </w:rPr>
        <w:t>“</w:t>
      </w:r>
      <w:r w:rsidR="00075CBD" w:rsidRPr="004B465B">
        <w:rPr>
          <w:noProof/>
          <w:vertAlign w:val="subscript"/>
          <w:lang w:val="en-US"/>
        </w:rPr>
        <w:t>t</w:t>
      </w:r>
      <w:r w:rsidR="00B44267">
        <w:rPr>
          <w:noProof/>
          <w:lang w:val="en-US"/>
        </w:rPr>
        <w:t>”</w:t>
      </w:r>
      <w:r w:rsidR="00075CBD" w:rsidRPr="004B465B">
        <w:rPr>
          <w:noProof/>
          <w:lang w:val="en-US"/>
        </w:rPr>
        <w:t xml:space="preserve"> denotes transitivity.</w:t>
      </w:r>
    </w:p>
    <w:p w14:paraId="3072A2A8" w14:textId="77777777" w:rsidR="00075CBD" w:rsidRPr="004B465B" w:rsidRDefault="00075CBD" w:rsidP="00143BD7">
      <w:pPr>
        <w:pStyle w:val="BodyText"/>
        <w:tabs>
          <w:tab w:val="clear" w:pos="8640"/>
        </w:tabs>
        <w:rPr>
          <w:lang w:val="en-US"/>
        </w:rPr>
      </w:pPr>
      <w:r w:rsidRPr="004B465B">
        <w:rPr>
          <w:lang w:val="en-US"/>
        </w:rPr>
        <w:t xml:space="preserve">Networks containing transitive relationships </w:t>
      </w:r>
      <w:r w:rsidRPr="004B465B">
        <w:rPr>
          <w:noProof/>
          <w:lang w:val="en-US"/>
        </w:rPr>
        <w:t>quickly</w:t>
      </w:r>
      <w:r w:rsidRPr="004B465B">
        <w:rPr>
          <w:lang w:val="en-US"/>
        </w:rPr>
        <w:t xml:space="preserve"> expand with the addition of further stimulus relationships. For example, consider that training three relationships (</w:t>
      </w:r>
      <w:r w:rsidRPr="004B465B">
        <w:rPr>
          <w:noProof/>
          <w:lang w:val="en-US"/>
        </w:rPr>
        <w:t>A r</w:t>
      </w:r>
      <w:r w:rsidRPr="004B465B">
        <w:rPr>
          <w:noProof/>
          <w:vertAlign w:val="subscript"/>
          <w:lang w:val="en-US"/>
        </w:rPr>
        <w:t>xt</w:t>
      </w:r>
      <w:r w:rsidRPr="004B465B">
        <w:rPr>
          <w:lang w:val="en-US"/>
        </w:rPr>
        <w:t xml:space="preserve"> B), (B </w:t>
      </w:r>
      <w:r w:rsidRPr="004B465B">
        <w:rPr>
          <w:noProof/>
          <w:lang w:val="en-US"/>
        </w:rPr>
        <w:t>r</w:t>
      </w:r>
      <w:r w:rsidRPr="004B465B">
        <w:rPr>
          <w:noProof/>
          <w:vertAlign w:val="subscript"/>
          <w:lang w:val="en-US"/>
        </w:rPr>
        <w:t>xt</w:t>
      </w:r>
      <w:r w:rsidRPr="004B465B">
        <w:rPr>
          <w:lang w:val="en-US"/>
        </w:rPr>
        <w:t xml:space="preserve"> C), (C </w:t>
      </w:r>
      <w:r w:rsidRPr="004B465B">
        <w:rPr>
          <w:noProof/>
          <w:lang w:val="en-US"/>
        </w:rPr>
        <w:t>r</w:t>
      </w:r>
      <w:r w:rsidRPr="004B465B">
        <w:rPr>
          <w:noProof/>
          <w:vertAlign w:val="subscript"/>
          <w:lang w:val="en-US"/>
        </w:rPr>
        <w:t>xt</w:t>
      </w:r>
      <w:r w:rsidRPr="004B465B">
        <w:rPr>
          <w:lang w:val="en-US"/>
        </w:rPr>
        <w:t xml:space="preserve"> D) combinatorially entails as such:</w:t>
      </w:r>
    </w:p>
    <w:p w14:paraId="38D6CBE4" w14:textId="77777777" w:rsidR="00075CBD" w:rsidRPr="004B465B" w:rsidRDefault="00075CBD" w:rsidP="00CE2D85">
      <w:pPr>
        <w:pStyle w:val="BodyText"/>
        <w:tabs>
          <w:tab w:val="clear" w:pos="8640"/>
        </w:tabs>
        <w:ind w:firstLine="0"/>
        <w:jc w:val="center"/>
        <w:outlineLvl w:val="0"/>
        <w:rPr>
          <w:lang w:val="en-US"/>
        </w:rPr>
      </w:pPr>
      <w:r w:rsidRPr="004B465B">
        <w:rPr>
          <w:noProof/>
          <w:lang w:val="en-US"/>
        </w:rPr>
        <w:t>C</w:t>
      </w:r>
      <w:r w:rsidRPr="004B465B">
        <w:rPr>
          <w:noProof/>
          <w:vertAlign w:val="subscript"/>
          <w:lang w:val="en-US"/>
        </w:rPr>
        <w:t>rel</w:t>
      </w:r>
      <w:r w:rsidRPr="004B465B">
        <w:rPr>
          <w:lang w:val="en-US"/>
        </w:rPr>
        <w:t xml:space="preserve"> (A </w:t>
      </w:r>
      <w:r w:rsidRPr="004B465B">
        <w:rPr>
          <w:noProof/>
          <w:lang w:val="en-US"/>
        </w:rPr>
        <w:t>r</w:t>
      </w:r>
      <w:r w:rsidRPr="004B465B">
        <w:rPr>
          <w:noProof/>
          <w:vertAlign w:val="subscript"/>
          <w:lang w:val="en-US"/>
        </w:rPr>
        <w:t>xt</w:t>
      </w:r>
      <w:r w:rsidRPr="004B465B">
        <w:rPr>
          <w:lang w:val="en-US"/>
        </w:rPr>
        <w:t xml:space="preserve"> B); (B </w:t>
      </w:r>
      <w:r w:rsidRPr="004B465B">
        <w:rPr>
          <w:noProof/>
          <w:lang w:val="en-US"/>
        </w:rPr>
        <w:t>r</w:t>
      </w:r>
      <w:r w:rsidRPr="004B465B">
        <w:rPr>
          <w:noProof/>
          <w:vertAlign w:val="subscript"/>
          <w:lang w:val="en-US"/>
        </w:rPr>
        <w:t>xt</w:t>
      </w:r>
      <w:r w:rsidRPr="004B465B">
        <w:rPr>
          <w:lang w:val="en-US"/>
        </w:rPr>
        <w:t xml:space="preserve"> C); (C </w:t>
      </w:r>
      <w:r w:rsidRPr="004B465B">
        <w:rPr>
          <w:noProof/>
          <w:lang w:val="en-US"/>
        </w:rPr>
        <w:t>r</w:t>
      </w:r>
      <w:r w:rsidRPr="004B465B">
        <w:rPr>
          <w:noProof/>
          <w:vertAlign w:val="subscript"/>
          <w:lang w:val="en-US"/>
        </w:rPr>
        <w:t>xt</w:t>
      </w:r>
      <w:r w:rsidRPr="004B465B">
        <w:rPr>
          <w:lang w:val="en-US"/>
        </w:rPr>
        <w:t xml:space="preserve"> D) ||| (A </w:t>
      </w:r>
      <w:r w:rsidRPr="004B465B">
        <w:rPr>
          <w:noProof/>
          <w:lang w:val="en-US"/>
        </w:rPr>
        <w:t>r</w:t>
      </w:r>
      <w:r w:rsidRPr="004B465B">
        <w:rPr>
          <w:noProof/>
          <w:vertAlign w:val="subscript"/>
          <w:lang w:val="en-US"/>
        </w:rPr>
        <w:t>xt</w:t>
      </w:r>
      <w:r w:rsidRPr="004B465B">
        <w:rPr>
          <w:lang w:val="en-US"/>
        </w:rPr>
        <w:t xml:space="preserve"> C); (C </w:t>
      </w:r>
      <w:r w:rsidRPr="004B465B">
        <w:rPr>
          <w:noProof/>
          <w:lang w:val="en-US"/>
        </w:rPr>
        <w:t>r</w:t>
      </w:r>
      <w:r w:rsidRPr="004B465B">
        <w:rPr>
          <w:noProof/>
          <w:vertAlign w:val="subscript"/>
          <w:lang w:val="en-US"/>
        </w:rPr>
        <w:t>yt</w:t>
      </w:r>
      <w:r w:rsidRPr="004B465B">
        <w:rPr>
          <w:lang w:val="en-US"/>
        </w:rPr>
        <w:t xml:space="preserve"> A); (B </w:t>
      </w:r>
      <w:r w:rsidRPr="004B465B">
        <w:rPr>
          <w:noProof/>
          <w:lang w:val="en-US"/>
        </w:rPr>
        <w:t>r</w:t>
      </w:r>
      <w:r w:rsidRPr="004B465B">
        <w:rPr>
          <w:noProof/>
          <w:vertAlign w:val="subscript"/>
          <w:lang w:val="en-US"/>
        </w:rPr>
        <w:t>xt</w:t>
      </w:r>
      <w:r w:rsidRPr="004B465B">
        <w:rPr>
          <w:lang w:val="en-US"/>
        </w:rPr>
        <w:t xml:space="preserve"> D); (D </w:t>
      </w:r>
      <w:r w:rsidRPr="004B465B">
        <w:rPr>
          <w:noProof/>
          <w:lang w:val="en-US"/>
        </w:rPr>
        <w:t>r</w:t>
      </w:r>
      <w:r w:rsidRPr="004B465B">
        <w:rPr>
          <w:noProof/>
          <w:vertAlign w:val="subscript"/>
          <w:lang w:val="en-US"/>
        </w:rPr>
        <w:t>yt</w:t>
      </w:r>
      <w:r w:rsidRPr="004B465B">
        <w:rPr>
          <w:lang w:val="en-US"/>
        </w:rPr>
        <w:t xml:space="preserve"> B); (A </w:t>
      </w:r>
      <w:r w:rsidRPr="004B465B">
        <w:rPr>
          <w:noProof/>
          <w:lang w:val="en-US"/>
        </w:rPr>
        <w:t>r</w:t>
      </w:r>
      <w:r w:rsidRPr="004B465B">
        <w:rPr>
          <w:noProof/>
          <w:vertAlign w:val="subscript"/>
          <w:lang w:val="en-US"/>
        </w:rPr>
        <w:t>xt</w:t>
      </w:r>
      <w:r w:rsidRPr="004B465B">
        <w:rPr>
          <w:lang w:val="en-US"/>
        </w:rPr>
        <w:t xml:space="preserve"> D); (D </w:t>
      </w:r>
      <w:r w:rsidRPr="004B465B">
        <w:rPr>
          <w:noProof/>
          <w:lang w:val="en-US"/>
        </w:rPr>
        <w:t>r</w:t>
      </w:r>
      <w:r w:rsidRPr="004B465B">
        <w:rPr>
          <w:noProof/>
          <w:vertAlign w:val="subscript"/>
          <w:lang w:val="en-US"/>
        </w:rPr>
        <w:t>yt</w:t>
      </w:r>
      <w:r w:rsidRPr="004B465B">
        <w:rPr>
          <w:lang w:val="en-US"/>
        </w:rPr>
        <w:t xml:space="preserve"> A)</w:t>
      </w:r>
    </w:p>
    <w:p w14:paraId="2358C0E6" w14:textId="419B824E" w:rsidR="00075CBD" w:rsidRPr="004B465B" w:rsidRDefault="00075CBD" w:rsidP="00075CBD">
      <w:pPr>
        <w:pStyle w:val="BodyText"/>
        <w:tabs>
          <w:tab w:val="clear" w:pos="8640"/>
        </w:tabs>
        <w:ind w:firstLine="0"/>
        <w:rPr>
          <w:lang w:val="en-US"/>
        </w:rPr>
      </w:pPr>
      <w:r w:rsidRPr="004B465B">
        <w:rPr>
          <w:lang w:val="en-US"/>
        </w:rPr>
        <w:t xml:space="preserve">If we train a five-node network with four stimulus relations A-B-C-D-E, this combinatorially entails six relationships (if we decline to count the mutually entailed relations of those directly trained). If we take into account the mutual entailments of each of the combinatorially derived relations, </w:t>
      </w:r>
      <w:r w:rsidR="006440D2">
        <w:rPr>
          <w:lang w:val="en-US"/>
        </w:rPr>
        <w:t>12</w:t>
      </w:r>
      <w:r w:rsidRPr="004B465B">
        <w:rPr>
          <w:lang w:val="en-US"/>
        </w:rPr>
        <w:t xml:space="preserve"> stimulus relations are derived:</w:t>
      </w:r>
    </w:p>
    <w:p w14:paraId="1EECED95" w14:textId="77777777" w:rsidR="00075CBD" w:rsidRPr="004B465B" w:rsidRDefault="00075CBD" w:rsidP="00075CBD">
      <w:pPr>
        <w:pStyle w:val="BodyText"/>
        <w:tabs>
          <w:tab w:val="clear" w:pos="8640"/>
        </w:tabs>
        <w:ind w:firstLine="0"/>
        <w:jc w:val="center"/>
        <w:rPr>
          <w:lang w:val="en-US"/>
        </w:rPr>
      </w:pPr>
      <w:r w:rsidRPr="004B465B">
        <w:rPr>
          <w:noProof/>
          <w:lang w:val="en-US"/>
        </w:rPr>
        <w:t>C</w:t>
      </w:r>
      <w:r w:rsidRPr="004B465B">
        <w:rPr>
          <w:noProof/>
          <w:vertAlign w:val="subscript"/>
          <w:lang w:val="en-US"/>
        </w:rPr>
        <w:t>rel</w:t>
      </w:r>
      <w:r w:rsidRPr="004B465B">
        <w:rPr>
          <w:lang w:val="en-US"/>
        </w:rPr>
        <w:t xml:space="preserve"> (A </w:t>
      </w:r>
      <w:r w:rsidRPr="004B465B">
        <w:rPr>
          <w:noProof/>
          <w:lang w:val="en-US"/>
        </w:rPr>
        <w:t>r</w:t>
      </w:r>
      <w:r w:rsidRPr="004B465B">
        <w:rPr>
          <w:noProof/>
          <w:vertAlign w:val="subscript"/>
          <w:lang w:val="en-US"/>
        </w:rPr>
        <w:t>xt</w:t>
      </w:r>
      <w:r w:rsidRPr="004B465B">
        <w:rPr>
          <w:lang w:val="en-US"/>
        </w:rPr>
        <w:t xml:space="preserve"> B); (B </w:t>
      </w:r>
      <w:r w:rsidRPr="004B465B">
        <w:rPr>
          <w:noProof/>
          <w:lang w:val="en-US"/>
        </w:rPr>
        <w:t>r</w:t>
      </w:r>
      <w:r w:rsidRPr="004B465B">
        <w:rPr>
          <w:noProof/>
          <w:vertAlign w:val="subscript"/>
          <w:lang w:val="en-US"/>
        </w:rPr>
        <w:t>xt</w:t>
      </w:r>
      <w:r w:rsidRPr="004B465B">
        <w:rPr>
          <w:lang w:val="en-US"/>
        </w:rPr>
        <w:t xml:space="preserve"> C); (C </w:t>
      </w:r>
      <w:r w:rsidRPr="004B465B">
        <w:rPr>
          <w:noProof/>
          <w:lang w:val="en-US"/>
        </w:rPr>
        <w:t>r</w:t>
      </w:r>
      <w:r w:rsidRPr="004B465B">
        <w:rPr>
          <w:noProof/>
          <w:vertAlign w:val="subscript"/>
          <w:lang w:val="en-US"/>
        </w:rPr>
        <w:t>xt</w:t>
      </w:r>
      <w:r w:rsidRPr="004B465B">
        <w:rPr>
          <w:lang w:val="en-US"/>
        </w:rPr>
        <w:t xml:space="preserve"> D); (D </w:t>
      </w:r>
      <w:r w:rsidRPr="004B465B">
        <w:rPr>
          <w:noProof/>
          <w:lang w:val="en-US"/>
        </w:rPr>
        <w:t>r</w:t>
      </w:r>
      <w:r w:rsidRPr="004B465B">
        <w:rPr>
          <w:noProof/>
          <w:vertAlign w:val="subscript"/>
          <w:lang w:val="en-US"/>
        </w:rPr>
        <w:t>xt</w:t>
      </w:r>
      <w:r w:rsidRPr="004B465B">
        <w:rPr>
          <w:lang w:val="en-US"/>
        </w:rPr>
        <w:t xml:space="preserve"> E) ||| (A </w:t>
      </w:r>
      <w:r w:rsidRPr="004B465B">
        <w:rPr>
          <w:noProof/>
          <w:lang w:val="en-US"/>
        </w:rPr>
        <w:t>r</w:t>
      </w:r>
      <w:r w:rsidRPr="004B465B">
        <w:rPr>
          <w:noProof/>
          <w:vertAlign w:val="subscript"/>
          <w:lang w:val="en-US"/>
        </w:rPr>
        <w:t>xt</w:t>
      </w:r>
      <w:r w:rsidRPr="004B465B">
        <w:rPr>
          <w:lang w:val="en-US"/>
        </w:rPr>
        <w:t xml:space="preserve"> C); (C </w:t>
      </w:r>
      <w:r w:rsidRPr="004B465B">
        <w:rPr>
          <w:noProof/>
          <w:lang w:val="en-US"/>
        </w:rPr>
        <w:t>r</w:t>
      </w:r>
      <w:r w:rsidRPr="004B465B">
        <w:rPr>
          <w:noProof/>
          <w:vertAlign w:val="subscript"/>
          <w:lang w:val="en-US"/>
        </w:rPr>
        <w:t>yt</w:t>
      </w:r>
      <w:r w:rsidRPr="004B465B">
        <w:rPr>
          <w:lang w:val="en-US"/>
        </w:rPr>
        <w:t xml:space="preserve"> A); (A </w:t>
      </w:r>
      <w:r w:rsidRPr="004B465B">
        <w:rPr>
          <w:noProof/>
          <w:lang w:val="en-US"/>
        </w:rPr>
        <w:t>r</w:t>
      </w:r>
      <w:r w:rsidRPr="004B465B">
        <w:rPr>
          <w:noProof/>
          <w:vertAlign w:val="subscript"/>
          <w:lang w:val="en-US"/>
        </w:rPr>
        <w:t>xt</w:t>
      </w:r>
      <w:r w:rsidRPr="004B465B">
        <w:rPr>
          <w:lang w:val="en-US"/>
        </w:rPr>
        <w:t xml:space="preserve"> D); (D </w:t>
      </w:r>
      <w:r w:rsidRPr="004B465B">
        <w:rPr>
          <w:noProof/>
          <w:lang w:val="en-US"/>
        </w:rPr>
        <w:t>r</w:t>
      </w:r>
      <w:r w:rsidRPr="004B465B">
        <w:rPr>
          <w:noProof/>
          <w:vertAlign w:val="subscript"/>
          <w:lang w:val="en-US"/>
        </w:rPr>
        <w:t>yt</w:t>
      </w:r>
      <w:r w:rsidRPr="004B465B">
        <w:rPr>
          <w:lang w:val="en-US"/>
        </w:rPr>
        <w:t xml:space="preserve"> A); (A r</w:t>
      </w:r>
      <w:r w:rsidRPr="004B465B">
        <w:rPr>
          <w:vertAlign w:val="subscript"/>
          <w:lang w:val="en-US"/>
        </w:rPr>
        <w:t>xt</w:t>
      </w:r>
      <w:r w:rsidRPr="004B465B">
        <w:rPr>
          <w:lang w:val="en-US"/>
        </w:rPr>
        <w:t xml:space="preserve"> E); (E r</w:t>
      </w:r>
      <w:r w:rsidRPr="004B465B">
        <w:rPr>
          <w:vertAlign w:val="subscript"/>
          <w:lang w:val="en-US"/>
        </w:rPr>
        <w:t>yt</w:t>
      </w:r>
      <w:r w:rsidRPr="004B465B">
        <w:rPr>
          <w:lang w:val="en-US"/>
        </w:rPr>
        <w:t xml:space="preserve"> A); (B r</w:t>
      </w:r>
      <w:r w:rsidRPr="004B465B">
        <w:rPr>
          <w:vertAlign w:val="subscript"/>
          <w:lang w:val="en-US"/>
        </w:rPr>
        <w:t>xt</w:t>
      </w:r>
      <w:r w:rsidRPr="004B465B">
        <w:rPr>
          <w:lang w:val="en-US"/>
        </w:rPr>
        <w:t xml:space="preserve"> D); (D r</w:t>
      </w:r>
      <w:r w:rsidRPr="004B465B">
        <w:rPr>
          <w:vertAlign w:val="subscript"/>
          <w:lang w:val="en-US"/>
        </w:rPr>
        <w:t>yt</w:t>
      </w:r>
      <w:r w:rsidRPr="004B465B">
        <w:rPr>
          <w:lang w:val="en-US"/>
        </w:rPr>
        <w:t xml:space="preserve"> B); (B r</w:t>
      </w:r>
      <w:r w:rsidRPr="004B465B">
        <w:rPr>
          <w:vertAlign w:val="subscript"/>
          <w:lang w:val="en-US"/>
        </w:rPr>
        <w:t>xt</w:t>
      </w:r>
      <w:r w:rsidRPr="004B465B">
        <w:rPr>
          <w:lang w:val="en-US"/>
        </w:rPr>
        <w:t xml:space="preserve"> E); (E r</w:t>
      </w:r>
      <w:r w:rsidRPr="004B465B">
        <w:rPr>
          <w:vertAlign w:val="subscript"/>
          <w:lang w:val="en-US"/>
        </w:rPr>
        <w:t>yt</w:t>
      </w:r>
      <w:r w:rsidRPr="004B465B">
        <w:rPr>
          <w:lang w:val="en-US"/>
        </w:rPr>
        <w:t xml:space="preserve"> B); (C r</w:t>
      </w:r>
      <w:r w:rsidRPr="004B465B">
        <w:rPr>
          <w:vertAlign w:val="subscript"/>
          <w:lang w:val="en-US"/>
        </w:rPr>
        <w:t>xt</w:t>
      </w:r>
      <w:r w:rsidRPr="004B465B">
        <w:rPr>
          <w:lang w:val="en-US"/>
        </w:rPr>
        <w:t xml:space="preserve"> E); (E r</w:t>
      </w:r>
      <w:r w:rsidRPr="004B465B">
        <w:rPr>
          <w:vertAlign w:val="subscript"/>
          <w:lang w:val="en-US"/>
        </w:rPr>
        <w:t>yt</w:t>
      </w:r>
      <w:r w:rsidRPr="004B465B">
        <w:rPr>
          <w:lang w:val="en-US"/>
        </w:rPr>
        <w:t xml:space="preserve"> C);</w:t>
      </w:r>
    </w:p>
    <w:p w14:paraId="02631F2F" w14:textId="05E2B08C" w:rsidR="00075CBD" w:rsidRPr="004B465B" w:rsidRDefault="00075CBD" w:rsidP="00075CBD">
      <w:pPr>
        <w:pStyle w:val="BodyText"/>
        <w:tabs>
          <w:tab w:val="clear" w:pos="8640"/>
        </w:tabs>
        <w:ind w:firstLine="0"/>
        <w:rPr>
          <w:lang w:val="en-US"/>
        </w:rPr>
      </w:pPr>
      <w:r w:rsidRPr="004B465B">
        <w:rPr>
          <w:lang w:val="en-US"/>
        </w:rPr>
        <w:t>This notation demonstrates the generativity inherent in relational behavior.</w:t>
      </w:r>
    </w:p>
    <w:p w14:paraId="2FB00E70" w14:textId="77777777" w:rsidR="00075CBD" w:rsidRPr="004B465B" w:rsidRDefault="00075CBD" w:rsidP="00CE2D85">
      <w:pPr>
        <w:pStyle w:val="BodyText"/>
        <w:tabs>
          <w:tab w:val="clear" w:pos="8640"/>
        </w:tabs>
        <w:ind w:firstLine="0"/>
        <w:outlineLvl w:val="0"/>
        <w:rPr>
          <w:b/>
          <w:lang w:val="en-US"/>
        </w:rPr>
      </w:pPr>
      <w:r w:rsidRPr="004B465B">
        <w:rPr>
          <w:b/>
          <w:lang w:val="en-US"/>
        </w:rPr>
        <w:lastRenderedPageBreak/>
        <w:t>Transformation of Functions</w:t>
      </w:r>
    </w:p>
    <w:p w14:paraId="1026B9A8" w14:textId="77777777" w:rsidR="00075CBD" w:rsidRPr="004B465B" w:rsidRDefault="00075CBD" w:rsidP="00CE2D85">
      <w:pPr>
        <w:pStyle w:val="BodyText"/>
        <w:tabs>
          <w:tab w:val="clear" w:pos="8640"/>
        </w:tabs>
        <w:ind w:firstLine="0"/>
        <w:jc w:val="center"/>
        <w:outlineLvl w:val="0"/>
        <w:rPr>
          <w:lang w:val="en-US"/>
        </w:rPr>
      </w:pPr>
      <w:r w:rsidRPr="004B465B">
        <w:rPr>
          <w:lang w:val="en-US"/>
        </w:rPr>
        <w:t>C</w:t>
      </w:r>
      <w:r w:rsidRPr="004B465B">
        <w:rPr>
          <w:vertAlign w:val="subscript"/>
          <w:lang w:val="en-US"/>
        </w:rPr>
        <w:t>func</w:t>
      </w:r>
      <w:r w:rsidRPr="004B465B">
        <w:rPr>
          <w:lang w:val="en-US"/>
        </w:rPr>
        <w:t xml:space="preserve"> [C</w:t>
      </w:r>
      <w:r w:rsidRPr="004B465B">
        <w:rPr>
          <w:vertAlign w:val="subscript"/>
          <w:lang w:val="en-US"/>
        </w:rPr>
        <w:t>rel</w:t>
      </w:r>
      <w:r w:rsidRPr="004B465B">
        <w:rPr>
          <w:lang w:val="en-US"/>
        </w:rPr>
        <w:t xml:space="preserve"> {(A r</w:t>
      </w:r>
      <w:r w:rsidRPr="004B465B">
        <w:rPr>
          <w:vertAlign w:val="subscript"/>
          <w:lang w:val="en-US"/>
        </w:rPr>
        <w:t>x</w:t>
      </w:r>
      <w:r w:rsidRPr="004B465B">
        <w:rPr>
          <w:lang w:val="en-US"/>
        </w:rPr>
        <w:t xml:space="preserve"> B; B r</w:t>
      </w:r>
      <w:r w:rsidRPr="004B465B">
        <w:rPr>
          <w:vertAlign w:val="subscript"/>
          <w:lang w:val="en-US"/>
        </w:rPr>
        <w:t>x</w:t>
      </w:r>
      <w:r w:rsidRPr="004B465B">
        <w:rPr>
          <w:lang w:val="en-US"/>
        </w:rPr>
        <w:t xml:space="preserve"> C) ||| (A r</w:t>
      </w:r>
      <w:r w:rsidRPr="004B465B">
        <w:rPr>
          <w:vertAlign w:val="subscript"/>
          <w:lang w:val="en-US"/>
        </w:rPr>
        <w:t>x</w:t>
      </w:r>
      <w:r w:rsidRPr="004B465B">
        <w:rPr>
          <w:lang w:val="en-US"/>
        </w:rPr>
        <w:t xml:space="preserve"> C; C r</w:t>
      </w:r>
      <w:r w:rsidRPr="004B465B">
        <w:rPr>
          <w:vertAlign w:val="subscript"/>
          <w:lang w:val="en-US"/>
        </w:rPr>
        <w:t>y</w:t>
      </w:r>
      <w:r w:rsidRPr="004B465B">
        <w:rPr>
          <w:lang w:val="en-US"/>
        </w:rPr>
        <w:t xml:space="preserve"> A)}; {Af</w:t>
      </w:r>
      <w:r w:rsidRPr="004B465B">
        <w:rPr>
          <w:vertAlign w:val="superscript"/>
          <w:lang w:val="en-US"/>
        </w:rPr>
        <w:t>1</w:t>
      </w:r>
      <w:r w:rsidRPr="004B465B">
        <w:rPr>
          <w:lang w:val="en-US"/>
        </w:rPr>
        <w:t>; Bf</w:t>
      </w:r>
      <w:r w:rsidRPr="004B465B">
        <w:rPr>
          <w:vertAlign w:val="superscript"/>
          <w:lang w:val="en-US"/>
        </w:rPr>
        <w:t>n</w:t>
      </w:r>
      <w:r w:rsidRPr="004B465B">
        <w:rPr>
          <w:lang w:val="en-US"/>
        </w:rPr>
        <w:t>; Cf</w:t>
      </w:r>
      <w:r w:rsidRPr="004B465B">
        <w:rPr>
          <w:vertAlign w:val="superscript"/>
          <w:lang w:val="en-US"/>
        </w:rPr>
        <w:t>n</w:t>
      </w:r>
      <w:r w:rsidRPr="004B465B">
        <w:rPr>
          <w:lang w:val="en-US"/>
        </w:rPr>
        <w:t>} ||| (Bf</w:t>
      </w:r>
      <w:r w:rsidRPr="004B465B">
        <w:rPr>
          <w:vertAlign w:val="superscript"/>
          <w:lang w:val="en-US"/>
        </w:rPr>
        <w:t>2</w:t>
      </w:r>
      <w:r w:rsidRPr="004B465B">
        <w:rPr>
          <w:lang w:val="en-US"/>
        </w:rPr>
        <w:t>; Cf</w:t>
      </w:r>
      <w:r w:rsidRPr="004B465B">
        <w:rPr>
          <w:vertAlign w:val="superscript"/>
          <w:lang w:val="en-US"/>
        </w:rPr>
        <w:t>3</w:t>
      </w:r>
      <w:r w:rsidRPr="004B465B">
        <w:rPr>
          <w:lang w:val="en-US"/>
        </w:rPr>
        <w:t>)]</w:t>
      </w:r>
    </w:p>
    <w:p w14:paraId="38AD19C7" w14:textId="649BA5E7" w:rsidR="00075CBD" w:rsidRPr="004B465B" w:rsidRDefault="00075CBD" w:rsidP="00075CBD">
      <w:pPr>
        <w:pStyle w:val="BodyText"/>
        <w:tabs>
          <w:tab w:val="clear" w:pos="8640"/>
        </w:tabs>
        <w:rPr>
          <w:lang w:val="en-US"/>
        </w:rPr>
      </w:pPr>
      <w:r w:rsidRPr="004B465B">
        <w:rPr>
          <w:lang w:val="en-US"/>
        </w:rPr>
        <w:t>Transformation of stimulus functions occurs when contextual contingencies select a behavioral function or value. This statement says: In a given context (C</w:t>
      </w:r>
      <w:r w:rsidRPr="004B465B">
        <w:rPr>
          <w:vertAlign w:val="subscript"/>
          <w:lang w:val="en-US"/>
        </w:rPr>
        <w:t>rel</w:t>
      </w:r>
      <w:r w:rsidRPr="004B465B">
        <w:rPr>
          <w:lang w:val="en-US"/>
        </w:rPr>
        <w:t>), if the organism has derived a relation (A r</w:t>
      </w:r>
      <w:r w:rsidRPr="004B465B">
        <w:rPr>
          <w:vertAlign w:val="subscript"/>
          <w:lang w:val="en-US"/>
        </w:rPr>
        <w:t>xt</w:t>
      </w:r>
      <w:r w:rsidRPr="004B465B">
        <w:rPr>
          <w:lang w:val="en-US"/>
        </w:rPr>
        <w:t xml:space="preserve"> B; B r</w:t>
      </w:r>
      <w:r w:rsidRPr="004B465B">
        <w:rPr>
          <w:vertAlign w:val="subscript"/>
          <w:lang w:val="en-US"/>
        </w:rPr>
        <w:t>xt</w:t>
      </w:r>
      <w:r w:rsidRPr="004B465B">
        <w:rPr>
          <w:lang w:val="en-US"/>
        </w:rPr>
        <w:t xml:space="preserve"> C ||| (A r</w:t>
      </w:r>
      <w:r w:rsidRPr="004B465B">
        <w:rPr>
          <w:vertAlign w:val="subscript"/>
          <w:lang w:val="en-US"/>
        </w:rPr>
        <w:t>x</w:t>
      </w:r>
      <w:r w:rsidRPr="004B465B">
        <w:rPr>
          <w:lang w:val="en-US"/>
        </w:rPr>
        <w:t xml:space="preserve"> C; C r</w:t>
      </w:r>
      <w:r w:rsidRPr="004B465B">
        <w:rPr>
          <w:vertAlign w:val="subscript"/>
          <w:lang w:val="en-US"/>
        </w:rPr>
        <w:t>y</w:t>
      </w:r>
      <w:r w:rsidRPr="004B465B">
        <w:rPr>
          <w:lang w:val="en-US"/>
        </w:rPr>
        <w:t xml:space="preserve"> A) and a </w:t>
      </w:r>
      <w:r w:rsidR="006440D2">
        <w:rPr>
          <w:lang w:val="en-US"/>
        </w:rPr>
        <w:t>nonrelational</w:t>
      </w:r>
      <w:r w:rsidRPr="004B465B">
        <w:rPr>
          <w:lang w:val="en-US"/>
        </w:rPr>
        <w:t xml:space="preserve"> function of a stimulus in that relational network (e.g., Af</w:t>
      </w:r>
      <w:r w:rsidRPr="004B465B">
        <w:rPr>
          <w:vertAlign w:val="superscript"/>
          <w:lang w:val="en-US"/>
        </w:rPr>
        <w:t>1</w:t>
      </w:r>
      <w:r w:rsidRPr="004B465B">
        <w:rPr>
          <w:lang w:val="en-US"/>
        </w:rPr>
        <w:t>) has been established in the organism’s behavioral repertoire (C</w:t>
      </w:r>
      <w:r w:rsidRPr="004B465B">
        <w:rPr>
          <w:vertAlign w:val="subscript"/>
          <w:lang w:val="en-US"/>
        </w:rPr>
        <w:t>func</w:t>
      </w:r>
      <w:r w:rsidRPr="004B465B">
        <w:rPr>
          <w:lang w:val="en-US"/>
        </w:rPr>
        <w:t>), then (|||) the organism will derive the relative functions of stimuli participating in the relational response (i.e., the functions of B and C are modified based on the relations in which they participate).</w:t>
      </w:r>
    </w:p>
    <w:p w14:paraId="63C2C686" w14:textId="77777777" w:rsidR="00075CBD" w:rsidRPr="004B465B" w:rsidRDefault="00075CBD" w:rsidP="00CE2D85">
      <w:pPr>
        <w:pStyle w:val="BodyText"/>
        <w:tabs>
          <w:tab w:val="clear" w:pos="8640"/>
        </w:tabs>
        <w:ind w:firstLine="0"/>
        <w:outlineLvl w:val="0"/>
        <w:rPr>
          <w:lang w:val="en-US"/>
        </w:rPr>
      </w:pPr>
      <w:r w:rsidRPr="004B465B">
        <w:rPr>
          <w:b/>
          <w:lang w:val="en-US"/>
        </w:rPr>
        <w:t>Analogical Relations</w:t>
      </w:r>
    </w:p>
    <w:p w14:paraId="4246FDB6" w14:textId="77777777" w:rsidR="00075CBD" w:rsidRPr="004B465B" w:rsidRDefault="00075CBD" w:rsidP="00CE2D85">
      <w:pPr>
        <w:pStyle w:val="BodyText"/>
        <w:tabs>
          <w:tab w:val="clear" w:pos="8640"/>
        </w:tabs>
        <w:ind w:firstLine="0"/>
        <w:jc w:val="center"/>
        <w:outlineLvl w:val="0"/>
        <w:rPr>
          <w:lang w:val="en-US"/>
        </w:rPr>
      </w:pPr>
      <w:r w:rsidRPr="004B465B">
        <w:rPr>
          <w:lang w:val="en-US"/>
        </w:rPr>
        <w:t>C</w:t>
      </w:r>
      <w:r w:rsidRPr="004B465B">
        <w:rPr>
          <w:vertAlign w:val="subscript"/>
          <w:lang w:val="en-US"/>
        </w:rPr>
        <w:t>rel</w:t>
      </w:r>
      <w:r w:rsidRPr="004B465B">
        <w:rPr>
          <w:lang w:val="en-US"/>
        </w:rPr>
        <w:t xml:space="preserve"> (A r</w:t>
      </w:r>
      <w:r w:rsidRPr="004B465B">
        <w:rPr>
          <w:vertAlign w:val="subscript"/>
          <w:lang w:val="en-US"/>
        </w:rPr>
        <w:t>x</w:t>
      </w:r>
      <w:r w:rsidRPr="004B465B">
        <w:rPr>
          <w:lang w:val="en-US"/>
        </w:rPr>
        <w:t xml:space="preserve"> B); (C r</w:t>
      </w:r>
      <w:r w:rsidRPr="004B465B">
        <w:rPr>
          <w:vertAlign w:val="subscript"/>
          <w:lang w:val="en-US"/>
        </w:rPr>
        <w:t>x</w:t>
      </w:r>
      <w:r w:rsidRPr="004B465B">
        <w:rPr>
          <w:lang w:val="en-US"/>
        </w:rPr>
        <w:t xml:space="preserve"> D) ||| (A:B) r</w:t>
      </w:r>
      <w:r w:rsidRPr="004B465B">
        <w:rPr>
          <w:vertAlign w:val="subscript"/>
          <w:lang w:val="en-US"/>
        </w:rPr>
        <w:t>s</w:t>
      </w:r>
      <w:r w:rsidRPr="004B465B">
        <w:rPr>
          <w:lang w:val="en-US"/>
        </w:rPr>
        <w:t xml:space="preserve"> (C:D)</w:t>
      </w:r>
    </w:p>
    <w:p w14:paraId="388012B3" w14:textId="77777777" w:rsidR="00075CBD" w:rsidRPr="004B465B" w:rsidRDefault="00075CBD" w:rsidP="00143BD7">
      <w:pPr>
        <w:pStyle w:val="BodyText"/>
        <w:tabs>
          <w:tab w:val="clear" w:pos="8640"/>
        </w:tabs>
        <w:rPr>
          <w:lang w:val="en-US"/>
        </w:rPr>
      </w:pPr>
      <w:r w:rsidRPr="004B465B">
        <w:rPr>
          <w:lang w:val="en-US"/>
        </w:rPr>
        <w:t>This notation specifies that within a particular context (C</w:t>
      </w:r>
      <w:r w:rsidRPr="004B465B">
        <w:rPr>
          <w:vertAlign w:val="subscript"/>
          <w:lang w:val="en-US"/>
        </w:rPr>
        <w:t>rel</w:t>
      </w:r>
      <w:r w:rsidRPr="004B465B">
        <w:rPr>
          <w:lang w:val="en-US"/>
        </w:rPr>
        <w:t>), if two relations (i.e., A:B and C:D) are of the same type (i.e., r</w:t>
      </w:r>
      <w:r w:rsidRPr="004B465B">
        <w:rPr>
          <w:vertAlign w:val="subscript"/>
          <w:lang w:val="en-US"/>
        </w:rPr>
        <w:t>x</w:t>
      </w:r>
      <w:r w:rsidRPr="004B465B">
        <w:rPr>
          <w:lang w:val="en-US"/>
        </w:rPr>
        <w:t xml:space="preserve"> and r</w:t>
      </w:r>
      <w:r w:rsidRPr="004B465B">
        <w:rPr>
          <w:vertAlign w:val="subscript"/>
          <w:lang w:val="en-US"/>
        </w:rPr>
        <w:t>x</w:t>
      </w:r>
      <w:r w:rsidRPr="004B465B">
        <w:rPr>
          <w:lang w:val="en-US"/>
        </w:rPr>
        <w:t>), then a relation of coordination or functional equivalence (r</w:t>
      </w:r>
      <w:r w:rsidRPr="004B465B">
        <w:rPr>
          <w:vertAlign w:val="subscript"/>
          <w:lang w:val="en-US"/>
        </w:rPr>
        <w:t>s</w:t>
      </w:r>
      <w:r w:rsidRPr="004B465B">
        <w:rPr>
          <w:lang w:val="en-US"/>
        </w:rPr>
        <w:t>) might be derived between these relations.</w:t>
      </w:r>
    </w:p>
    <w:p w14:paraId="245A1FDE" w14:textId="77777777" w:rsidR="00075CBD" w:rsidRPr="004B465B" w:rsidRDefault="00075CBD" w:rsidP="00CE2D85">
      <w:pPr>
        <w:pStyle w:val="BodyText"/>
        <w:tabs>
          <w:tab w:val="clear" w:pos="8640"/>
        </w:tabs>
        <w:ind w:firstLine="0"/>
        <w:outlineLvl w:val="0"/>
        <w:rPr>
          <w:b/>
          <w:lang w:val="en-US"/>
        </w:rPr>
      </w:pPr>
      <w:r w:rsidRPr="004B465B">
        <w:rPr>
          <w:b/>
          <w:lang w:val="en-US"/>
        </w:rPr>
        <w:t xml:space="preserve">Differentiated Relations </w:t>
      </w:r>
    </w:p>
    <w:p w14:paraId="30853C06" w14:textId="77777777" w:rsidR="00075CBD" w:rsidRPr="004B465B" w:rsidRDefault="00075CBD" w:rsidP="00CE2D85">
      <w:pPr>
        <w:pStyle w:val="BodyText"/>
        <w:tabs>
          <w:tab w:val="clear" w:pos="8640"/>
        </w:tabs>
        <w:ind w:firstLine="0"/>
        <w:jc w:val="center"/>
        <w:outlineLvl w:val="0"/>
        <w:rPr>
          <w:lang w:val="en-US"/>
        </w:rPr>
      </w:pPr>
      <w:r w:rsidRPr="004B465B">
        <w:rPr>
          <w:lang w:val="en-US"/>
        </w:rPr>
        <w:t>C</w:t>
      </w:r>
      <w:r w:rsidRPr="004B465B">
        <w:rPr>
          <w:vertAlign w:val="subscript"/>
          <w:lang w:val="en-US"/>
        </w:rPr>
        <w:t>rel</w:t>
      </w:r>
      <w:r w:rsidRPr="004B465B">
        <w:rPr>
          <w:lang w:val="en-US"/>
        </w:rPr>
        <w:t xml:space="preserve"> (A r</w:t>
      </w:r>
      <w:r w:rsidRPr="004B465B">
        <w:rPr>
          <w:vertAlign w:val="subscript"/>
          <w:lang w:val="en-US"/>
        </w:rPr>
        <w:t>x</w:t>
      </w:r>
      <w:r w:rsidRPr="004B465B">
        <w:rPr>
          <w:lang w:val="en-US"/>
        </w:rPr>
        <w:t xml:space="preserve"> B); (C r</w:t>
      </w:r>
      <w:r w:rsidRPr="004B465B">
        <w:rPr>
          <w:vertAlign w:val="subscript"/>
          <w:lang w:val="en-US"/>
        </w:rPr>
        <w:t>y</w:t>
      </w:r>
      <w:r w:rsidRPr="004B465B">
        <w:rPr>
          <w:lang w:val="en-US"/>
        </w:rPr>
        <w:t xml:space="preserve"> D) ||| (A:B) r</w:t>
      </w:r>
      <w:r w:rsidRPr="004B465B">
        <w:rPr>
          <w:vertAlign w:val="subscript"/>
          <w:lang w:val="en-US"/>
        </w:rPr>
        <w:t>d</w:t>
      </w:r>
      <w:r w:rsidRPr="004B465B">
        <w:rPr>
          <w:lang w:val="en-US"/>
        </w:rPr>
        <w:t xml:space="preserve"> (C:D)</w:t>
      </w:r>
    </w:p>
    <w:p w14:paraId="025C8AC0" w14:textId="42386DDA" w:rsidR="00075CBD" w:rsidRPr="004B465B" w:rsidRDefault="00075CBD" w:rsidP="00143BD7">
      <w:pPr>
        <w:pStyle w:val="BodyText"/>
        <w:tabs>
          <w:tab w:val="clear" w:pos="8640"/>
        </w:tabs>
        <w:rPr>
          <w:lang w:val="en-US"/>
        </w:rPr>
      </w:pPr>
      <w:r w:rsidRPr="004B465B">
        <w:rPr>
          <w:lang w:val="en-US"/>
        </w:rPr>
        <w:t>The above notation expresses that within a given context (C</w:t>
      </w:r>
      <w:r w:rsidRPr="004B465B">
        <w:rPr>
          <w:vertAlign w:val="subscript"/>
          <w:lang w:val="en-US"/>
        </w:rPr>
        <w:t>rel</w:t>
      </w:r>
      <w:r w:rsidRPr="004B465B">
        <w:rPr>
          <w:lang w:val="en-US"/>
        </w:rPr>
        <w:t>), if two relations (i.e., A:B and C:D) are of differing types (</w:t>
      </w:r>
      <w:r w:rsidR="006440D2">
        <w:rPr>
          <w:lang w:val="en-US"/>
        </w:rPr>
        <w:t>e.g.</w:t>
      </w:r>
      <w:r w:rsidRPr="004B465B">
        <w:rPr>
          <w:lang w:val="en-US"/>
        </w:rPr>
        <w:t>, r</w:t>
      </w:r>
      <w:r w:rsidRPr="004B465B">
        <w:rPr>
          <w:vertAlign w:val="subscript"/>
          <w:lang w:val="en-US"/>
        </w:rPr>
        <w:t>x</w:t>
      </w:r>
      <w:r w:rsidRPr="004B465B">
        <w:rPr>
          <w:lang w:val="en-US"/>
        </w:rPr>
        <w:t xml:space="preserve"> and r</w:t>
      </w:r>
      <w:r w:rsidRPr="004B465B">
        <w:rPr>
          <w:vertAlign w:val="subscript"/>
          <w:lang w:val="en-US"/>
        </w:rPr>
        <w:t>y</w:t>
      </w:r>
      <w:r w:rsidRPr="004B465B">
        <w:rPr>
          <w:lang w:val="en-US"/>
        </w:rPr>
        <w:t>), then a relation of distinction (r</w:t>
      </w:r>
      <w:r w:rsidRPr="004B465B">
        <w:rPr>
          <w:vertAlign w:val="subscript"/>
          <w:lang w:val="en-US"/>
        </w:rPr>
        <w:t>d</w:t>
      </w:r>
      <w:r w:rsidRPr="004B465B">
        <w:rPr>
          <w:lang w:val="en-US"/>
        </w:rPr>
        <w:t>) might be derived between these relations.</w:t>
      </w:r>
    </w:p>
    <w:p w14:paraId="33438FB0" w14:textId="36E827C3" w:rsidR="00075CBD" w:rsidRPr="004B465B" w:rsidRDefault="00075CBD" w:rsidP="00075CBD">
      <w:pPr>
        <w:pStyle w:val="BodyText"/>
        <w:tabs>
          <w:tab w:val="clear" w:pos="8640"/>
        </w:tabs>
        <w:rPr>
          <w:lang w:val="en-US"/>
        </w:rPr>
      </w:pPr>
      <w:r w:rsidRPr="004B465B">
        <w:rPr>
          <w:lang w:val="en-US"/>
        </w:rPr>
        <w:t xml:space="preserve">It is possible to use notation to identify increasingly complex kinds of relational responding </w:t>
      </w:r>
      <w:r w:rsidR="006440D2">
        <w:rPr>
          <w:lang w:val="en-US"/>
        </w:rPr>
        <w:t>that</w:t>
      </w:r>
      <w:r w:rsidRPr="004B465B">
        <w:rPr>
          <w:lang w:val="en-US"/>
        </w:rPr>
        <w:t xml:space="preserve"> might be tested and/or trained. For example:</w:t>
      </w:r>
    </w:p>
    <w:p w14:paraId="41EC25A9" w14:textId="77777777" w:rsidR="00075CBD" w:rsidRPr="004B465B" w:rsidRDefault="00075CBD" w:rsidP="00CE2D85">
      <w:pPr>
        <w:pStyle w:val="BodyText"/>
        <w:tabs>
          <w:tab w:val="clear" w:pos="8640"/>
        </w:tabs>
        <w:ind w:firstLine="0"/>
        <w:jc w:val="center"/>
        <w:outlineLvl w:val="0"/>
        <w:rPr>
          <w:lang w:val="en-US"/>
        </w:rPr>
      </w:pPr>
      <w:r w:rsidRPr="004B465B">
        <w:rPr>
          <w:lang w:val="en-US"/>
        </w:rPr>
        <w:t>C</w:t>
      </w:r>
      <w:r w:rsidRPr="004B465B">
        <w:rPr>
          <w:vertAlign w:val="subscript"/>
          <w:lang w:val="en-US"/>
        </w:rPr>
        <w:t>rel</w:t>
      </w:r>
      <w:r w:rsidRPr="004B465B">
        <w:rPr>
          <w:lang w:val="en-US"/>
        </w:rPr>
        <w:t xml:space="preserve"> (A r</w:t>
      </w:r>
      <w:r w:rsidRPr="004B465B">
        <w:rPr>
          <w:vertAlign w:val="subscript"/>
          <w:lang w:val="en-US"/>
        </w:rPr>
        <w:t>s</w:t>
      </w:r>
      <w:r w:rsidRPr="004B465B">
        <w:rPr>
          <w:lang w:val="en-US"/>
        </w:rPr>
        <w:t xml:space="preserve"> B); (C r</w:t>
      </w:r>
      <w:r w:rsidRPr="004B465B">
        <w:rPr>
          <w:vertAlign w:val="subscript"/>
          <w:lang w:val="en-US"/>
        </w:rPr>
        <w:t>o</w:t>
      </w:r>
      <w:r w:rsidRPr="004B465B">
        <w:rPr>
          <w:lang w:val="en-US"/>
        </w:rPr>
        <w:t xml:space="preserve"> D) ||| (A:B) r</w:t>
      </w:r>
      <w:r w:rsidRPr="004B465B">
        <w:rPr>
          <w:vertAlign w:val="subscript"/>
          <w:lang w:val="en-US"/>
        </w:rPr>
        <w:t>d</w:t>
      </w:r>
      <w:r w:rsidRPr="004B465B">
        <w:rPr>
          <w:lang w:val="en-US"/>
        </w:rPr>
        <w:t>; r</w:t>
      </w:r>
      <w:r w:rsidRPr="004B465B">
        <w:rPr>
          <w:vertAlign w:val="subscript"/>
          <w:lang w:val="en-US"/>
        </w:rPr>
        <w:t>o</w:t>
      </w:r>
      <w:r w:rsidRPr="004B465B">
        <w:rPr>
          <w:lang w:val="en-US"/>
        </w:rPr>
        <w:t xml:space="preserve"> (C:D)</w:t>
      </w:r>
    </w:p>
    <w:p w14:paraId="1B6DA342" w14:textId="49892E3F" w:rsidR="006357A1" w:rsidRPr="004B465B" w:rsidRDefault="00075CBD" w:rsidP="00716D73">
      <w:pPr>
        <w:pStyle w:val="BodyText"/>
        <w:tabs>
          <w:tab w:val="clear" w:pos="8640"/>
        </w:tabs>
        <w:rPr>
          <w:lang w:val="en-US"/>
        </w:rPr>
      </w:pPr>
      <w:r w:rsidRPr="004B465B">
        <w:rPr>
          <w:lang w:val="en-US"/>
        </w:rPr>
        <w:lastRenderedPageBreak/>
        <w:t>The above notation illustrates that within a specific context, if an organism treats two stimuli (A and B) as being the same (r</w:t>
      </w:r>
      <w:r w:rsidRPr="004B465B">
        <w:rPr>
          <w:vertAlign w:val="subscript"/>
          <w:lang w:val="en-US"/>
        </w:rPr>
        <w:t>s</w:t>
      </w:r>
      <w:r w:rsidRPr="004B465B">
        <w:rPr>
          <w:lang w:val="en-US"/>
        </w:rPr>
        <w:t>), and two more stimuli (C and D) as being opposite (r</w:t>
      </w:r>
      <w:r w:rsidRPr="004B465B">
        <w:rPr>
          <w:vertAlign w:val="subscript"/>
          <w:lang w:val="en-US"/>
        </w:rPr>
        <w:t>o</w:t>
      </w:r>
      <w:r w:rsidRPr="004B465B">
        <w:rPr>
          <w:lang w:val="en-US"/>
        </w:rPr>
        <w:t>), then it might be derived that (|||) the relation between the first relation (A:B) and the second (C:D) is one of difference (r</w:t>
      </w:r>
      <w:r w:rsidRPr="004B465B">
        <w:rPr>
          <w:vertAlign w:val="subscript"/>
          <w:lang w:val="en-US"/>
        </w:rPr>
        <w:t>d</w:t>
      </w:r>
      <w:r w:rsidRPr="004B465B">
        <w:rPr>
          <w:lang w:val="en-US"/>
        </w:rPr>
        <w:t>), specifically opposition (r</w:t>
      </w:r>
      <w:r w:rsidRPr="004B465B">
        <w:rPr>
          <w:vertAlign w:val="subscript"/>
          <w:lang w:val="en-US"/>
        </w:rPr>
        <w:t>o</w:t>
      </w:r>
      <w:r w:rsidRPr="004B465B">
        <w:rPr>
          <w:lang w:val="en-US"/>
        </w:rPr>
        <w:t>).</w:t>
      </w:r>
      <w:r w:rsidR="00716D73" w:rsidRPr="004B465B">
        <w:rPr>
          <w:lang w:val="en-US"/>
        </w:rPr>
        <w:t xml:space="preserve"> </w:t>
      </w:r>
      <w:r w:rsidR="006357A1" w:rsidRPr="004B465B">
        <w:rPr>
          <w:lang w:val="en-US"/>
        </w:rPr>
        <w:t>It</w:t>
      </w:r>
      <w:r w:rsidR="00716D73" w:rsidRPr="004B465B">
        <w:rPr>
          <w:lang w:val="en-US"/>
        </w:rPr>
        <w:t xml:space="preserve"> should</w:t>
      </w:r>
      <w:r w:rsidR="006357A1" w:rsidRPr="004B465B">
        <w:rPr>
          <w:lang w:val="en-US"/>
        </w:rPr>
        <w:t xml:space="preserve"> be noted that if notation was not used for the examples above, it would</w:t>
      </w:r>
      <w:r w:rsidR="00716D73" w:rsidRPr="004B465B">
        <w:rPr>
          <w:lang w:val="en-US"/>
        </w:rPr>
        <w:t xml:space="preserve"> likely</w:t>
      </w:r>
      <w:r w:rsidR="006357A1" w:rsidRPr="004B465B">
        <w:rPr>
          <w:lang w:val="en-US"/>
        </w:rPr>
        <w:t xml:space="preserve"> have taken hundreds more words and dozens of potentially ambig</w:t>
      </w:r>
      <w:r w:rsidR="00716D73" w:rsidRPr="004B465B">
        <w:rPr>
          <w:lang w:val="en-US"/>
        </w:rPr>
        <w:t>u</w:t>
      </w:r>
      <w:r w:rsidR="006357A1" w:rsidRPr="004B465B">
        <w:rPr>
          <w:lang w:val="en-US"/>
        </w:rPr>
        <w:t xml:space="preserve">ous or easily </w:t>
      </w:r>
      <w:r w:rsidR="004C5746">
        <w:rPr>
          <w:lang w:val="en-US"/>
        </w:rPr>
        <w:t>misinterpretable</w:t>
      </w:r>
      <w:r w:rsidR="006357A1" w:rsidRPr="004B465B">
        <w:rPr>
          <w:lang w:val="en-US"/>
        </w:rPr>
        <w:t xml:space="preserve"> diagrams to explain the stimulus relations in question.</w:t>
      </w:r>
    </w:p>
    <w:p w14:paraId="581CCCCE" w14:textId="77777777" w:rsidR="00075CBD" w:rsidRPr="004B465B" w:rsidRDefault="00075CBD" w:rsidP="00CE2D85">
      <w:pPr>
        <w:pStyle w:val="BodyText"/>
        <w:tabs>
          <w:tab w:val="clear" w:pos="8640"/>
        </w:tabs>
        <w:ind w:firstLine="0"/>
        <w:jc w:val="center"/>
        <w:outlineLvl w:val="0"/>
        <w:rPr>
          <w:lang w:val="en-US"/>
        </w:rPr>
      </w:pPr>
      <w:r w:rsidRPr="004B465B">
        <w:rPr>
          <w:b/>
          <w:lang w:val="en-US"/>
        </w:rPr>
        <w:t xml:space="preserve">Some </w:t>
      </w:r>
      <w:r w:rsidR="008130A3" w:rsidRPr="004B465B">
        <w:rPr>
          <w:b/>
          <w:lang w:val="en-US"/>
        </w:rPr>
        <w:t xml:space="preserve">More </w:t>
      </w:r>
      <w:r w:rsidRPr="004B465B">
        <w:rPr>
          <w:b/>
          <w:lang w:val="en-US"/>
        </w:rPr>
        <w:t>Future Studies</w:t>
      </w:r>
    </w:p>
    <w:p w14:paraId="63E9CCA8" w14:textId="77777777" w:rsidR="00075CBD" w:rsidRPr="004B465B" w:rsidRDefault="00075CBD" w:rsidP="00075CBD">
      <w:pPr>
        <w:pStyle w:val="BodyText"/>
        <w:tabs>
          <w:tab w:val="clear" w:pos="8640"/>
        </w:tabs>
        <w:rPr>
          <w:lang w:val="en-US"/>
        </w:rPr>
      </w:pPr>
      <w:r w:rsidRPr="004B465B">
        <w:rPr>
          <w:lang w:val="en-US"/>
        </w:rPr>
        <w:t>It is possible to include a plethora of relations in studies of complex cognition. For example, below we include hypotheses pertaining to differentiating r</w:t>
      </w:r>
      <w:r w:rsidRPr="004B465B">
        <w:rPr>
          <w:vertAlign w:val="subscript"/>
          <w:lang w:val="en-US"/>
        </w:rPr>
        <w:t>d</w:t>
      </w:r>
      <w:r w:rsidRPr="004B465B">
        <w:rPr>
          <w:lang w:val="en-US"/>
        </w:rPr>
        <w:t xml:space="preserve"> from r</w:t>
      </w:r>
      <w:r w:rsidRPr="004B465B">
        <w:rPr>
          <w:vertAlign w:val="subscript"/>
          <w:lang w:val="en-US"/>
        </w:rPr>
        <w:t>o</w:t>
      </w:r>
      <w:r w:rsidRPr="004B465B">
        <w:rPr>
          <w:lang w:val="en-US"/>
        </w:rPr>
        <w:t>, and r</w:t>
      </w:r>
      <w:r w:rsidRPr="004B465B">
        <w:rPr>
          <w:vertAlign w:val="subscript"/>
          <w:lang w:val="en-US"/>
        </w:rPr>
        <w:t>b</w:t>
      </w:r>
      <w:r w:rsidRPr="004B465B">
        <w:rPr>
          <w:lang w:val="en-US"/>
        </w:rPr>
        <w:t xml:space="preserve"> </w:t>
      </w:r>
      <w:r w:rsidR="00051DFD" w:rsidRPr="004B465B">
        <w:rPr>
          <w:lang w:val="en-US"/>
        </w:rPr>
        <w:t xml:space="preserve">(before) </w:t>
      </w:r>
      <w:r w:rsidRPr="004B465B">
        <w:rPr>
          <w:lang w:val="en-US"/>
        </w:rPr>
        <w:t>from r</w:t>
      </w:r>
      <w:r w:rsidRPr="004B465B">
        <w:rPr>
          <w:vertAlign w:val="subscript"/>
          <w:lang w:val="en-US"/>
        </w:rPr>
        <w:t>a</w:t>
      </w:r>
      <w:r w:rsidRPr="004B465B">
        <w:rPr>
          <w:lang w:val="en-US"/>
        </w:rPr>
        <w:t xml:space="preserve"> (after):</w:t>
      </w:r>
    </w:p>
    <w:p w14:paraId="1B5D305C" w14:textId="77777777" w:rsidR="00075CBD" w:rsidRPr="004B465B" w:rsidRDefault="00075CBD" w:rsidP="00075CBD">
      <w:pPr>
        <w:pStyle w:val="BodyText"/>
        <w:tabs>
          <w:tab w:val="clear" w:pos="8640"/>
        </w:tabs>
        <w:ind w:firstLine="0"/>
        <w:jc w:val="center"/>
        <w:rPr>
          <w:lang w:val="en-US"/>
        </w:rPr>
      </w:pPr>
      <w:r w:rsidRPr="004B465B">
        <w:rPr>
          <w:lang w:val="en-US"/>
        </w:rPr>
        <w:t>C</w:t>
      </w:r>
      <w:r w:rsidRPr="004B465B">
        <w:rPr>
          <w:vertAlign w:val="subscript"/>
          <w:lang w:val="en-US"/>
        </w:rPr>
        <w:t>rel</w:t>
      </w:r>
      <w:r w:rsidRPr="004B465B">
        <w:rPr>
          <w:lang w:val="en-US"/>
        </w:rPr>
        <w:t xml:space="preserve"> (A r</w:t>
      </w:r>
      <w:r w:rsidRPr="004B465B">
        <w:rPr>
          <w:vertAlign w:val="subscript"/>
          <w:lang w:val="en-US"/>
        </w:rPr>
        <w:t>d</w:t>
      </w:r>
      <w:r w:rsidRPr="004B465B">
        <w:rPr>
          <w:lang w:val="en-US"/>
        </w:rPr>
        <w:t xml:space="preserve"> B); (C r</w:t>
      </w:r>
      <w:r w:rsidRPr="004B465B">
        <w:rPr>
          <w:vertAlign w:val="subscript"/>
          <w:lang w:val="en-US"/>
        </w:rPr>
        <w:t>o</w:t>
      </w:r>
      <w:r w:rsidRPr="004B465B">
        <w:rPr>
          <w:lang w:val="en-US"/>
        </w:rPr>
        <w:t xml:space="preserve"> D) ||| (A:B) r</w:t>
      </w:r>
      <w:r w:rsidRPr="004B465B">
        <w:rPr>
          <w:vertAlign w:val="subscript"/>
          <w:lang w:val="en-US"/>
        </w:rPr>
        <w:t xml:space="preserve">d </w:t>
      </w:r>
      <w:r w:rsidRPr="004B465B">
        <w:rPr>
          <w:lang w:val="en-US"/>
        </w:rPr>
        <w:t>/ r</w:t>
      </w:r>
      <w:r w:rsidRPr="004B465B">
        <w:rPr>
          <w:vertAlign w:val="subscript"/>
          <w:lang w:val="en-US"/>
        </w:rPr>
        <w:t>o</w:t>
      </w:r>
      <w:r w:rsidRPr="004B465B">
        <w:rPr>
          <w:lang w:val="en-US"/>
        </w:rPr>
        <w:t xml:space="preserve"> (C:D)</w:t>
      </w:r>
    </w:p>
    <w:p w14:paraId="6114FF67" w14:textId="77777777" w:rsidR="00075CBD" w:rsidRPr="004B465B" w:rsidRDefault="00075CBD" w:rsidP="00075CBD">
      <w:pPr>
        <w:pStyle w:val="BodyText"/>
        <w:tabs>
          <w:tab w:val="clear" w:pos="8640"/>
        </w:tabs>
        <w:ind w:firstLine="0"/>
        <w:jc w:val="center"/>
        <w:rPr>
          <w:lang w:val="en-US"/>
        </w:rPr>
      </w:pPr>
      <w:r w:rsidRPr="004B465B">
        <w:rPr>
          <w:lang w:val="en-US"/>
        </w:rPr>
        <w:t>C</w:t>
      </w:r>
      <w:r w:rsidRPr="004B465B">
        <w:rPr>
          <w:vertAlign w:val="subscript"/>
          <w:lang w:val="en-US"/>
        </w:rPr>
        <w:t>rel</w:t>
      </w:r>
      <w:r w:rsidRPr="004B465B">
        <w:rPr>
          <w:lang w:val="en-US"/>
        </w:rPr>
        <w:t xml:space="preserve"> (A r</w:t>
      </w:r>
      <w:r w:rsidRPr="004B465B">
        <w:rPr>
          <w:vertAlign w:val="subscript"/>
          <w:lang w:val="en-US"/>
        </w:rPr>
        <w:t>b</w:t>
      </w:r>
      <w:r w:rsidRPr="004B465B">
        <w:rPr>
          <w:lang w:val="en-US"/>
        </w:rPr>
        <w:t xml:space="preserve"> B); (C r</w:t>
      </w:r>
      <w:r w:rsidRPr="004B465B">
        <w:rPr>
          <w:vertAlign w:val="subscript"/>
          <w:lang w:val="en-US"/>
        </w:rPr>
        <w:t>a</w:t>
      </w:r>
      <w:r w:rsidRPr="004B465B">
        <w:rPr>
          <w:lang w:val="en-US"/>
        </w:rPr>
        <w:t xml:space="preserve"> D) ||| (A:B) r</w:t>
      </w:r>
      <w:r w:rsidRPr="004B465B">
        <w:rPr>
          <w:vertAlign w:val="subscript"/>
          <w:lang w:val="en-US"/>
        </w:rPr>
        <w:t>d</w:t>
      </w:r>
      <w:r w:rsidRPr="004B465B">
        <w:rPr>
          <w:lang w:val="en-US"/>
        </w:rPr>
        <w:t>; r</w:t>
      </w:r>
      <w:r w:rsidRPr="004B465B">
        <w:rPr>
          <w:vertAlign w:val="subscript"/>
          <w:lang w:val="en-US"/>
        </w:rPr>
        <w:t>o</w:t>
      </w:r>
      <w:r w:rsidRPr="004B465B">
        <w:rPr>
          <w:lang w:val="en-US"/>
        </w:rPr>
        <w:t xml:space="preserve"> (C:D)</w:t>
      </w:r>
    </w:p>
    <w:p w14:paraId="7D970548" w14:textId="2EC004B3" w:rsidR="00075CBD" w:rsidRPr="004B465B" w:rsidRDefault="00075CBD" w:rsidP="00075CBD">
      <w:pPr>
        <w:pStyle w:val="BodyText"/>
        <w:tabs>
          <w:tab w:val="clear" w:pos="8640"/>
        </w:tabs>
        <w:rPr>
          <w:lang w:val="en-US"/>
        </w:rPr>
      </w:pPr>
      <w:r w:rsidRPr="004B465B">
        <w:rPr>
          <w:lang w:val="en-US"/>
        </w:rPr>
        <w:t>The utility of establishing such fine experimental control over AARR is an empirical matter (</w:t>
      </w:r>
      <w:r w:rsidR="004C5746">
        <w:rPr>
          <w:lang w:val="en-US"/>
        </w:rPr>
        <w:t>e.g.</w:t>
      </w:r>
      <w:r w:rsidRPr="004B465B">
        <w:rPr>
          <w:lang w:val="en-US"/>
        </w:rPr>
        <w:t xml:space="preserve">, these kinds of skills trained to fluency may be useful for mathematics and other forms of higher logic). In this instance, the term </w:t>
      </w:r>
      <w:r w:rsidR="004C5746">
        <w:rPr>
          <w:lang w:val="en-US"/>
        </w:rPr>
        <w:t>“</w:t>
      </w:r>
      <w:r w:rsidRPr="004B465B">
        <w:rPr>
          <w:lang w:val="en-US"/>
        </w:rPr>
        <w:t>behavioral fluency</w:t>
      </w:r>
      <w:r w:rsidR="004C5746">
        <w:rPr>
          <w:lang w:val="en-US"/>
        </w:rPr>
        <w:t>”</w:t>
      </w:r>
      <w:r w:rsidRPr="004B465B">
        <w:rPr>
          <w:lang w:val="en-US"/>
        </w:rPr>
        <w:t xml:space="preserve"> refers to the combination of precise and swift responding that is considered to be synonymous with expert performance or mastery of a behavioral repertoire (Binder, Haughton</w:t>
      </w:r>
      <w:r w:rsidR="00716D73" w:rsidRPr="004B465B">
        <w:rPr>
          <w:lang w:val="en-US"/>
        </w:rPr>
        <w:t>,</w:t>
      </w:r>
      <w:r w:rsidRPr="004B465B">
        <w:rPr>
          <w:lang w:val="en-US"/>
        </w:rPr>
        <w:t xml:space="preserve"> &amp; Bateman, 2002; McTiernan, Holloway, Healy</w:t>
      </w:r>
      <w:r w:rsidR="00716D73" w:rsidRPr="004B465B">
        <w:rPr>
          <w:lang w:val="en-US"/>
        </w:rPr>
        <w:t>,</w:t>
      </w:r>
      <w:r w:rsidRPr="004B465B">
        <w:rPr>
          <w:lang w:val="en-US"/>
        </w:rPr>
        <w:t xml:space="preserve"> &amp; Hogan, 2015; Ramey</w:t>
      </w:r>
      <w:r w:rsidR="00716D73" w:rsidRPr="004B465B">
        <w:rPr>
          <w:lang w:val="en-US"/>
        </w:rPr>
        <w:t xml:space="preserve"> et al.,</w:t>
      </w:r>
      <w:r w:rsidRPr="004B465B">
        <w:rPr>
          <w:lang w:val="en-US"/>
        </w:rPr>
        <w:t xml:space="preserve"> 2016). The concision offered by such notation may allow for clear</w:t>
      </w:r>
      <w:r w:rsidR="00755B70" w:rsidRPr="004B465B">
        <w:rPr>
          <w:lang w:val="en-US"/>
        </w:rPr>
        <w:t>er</w:t>
      </w:r>
      <w:r w:rsidRPr="004B465B">
        <w:rPr>
          <w:lang w:val="en-US"/>
        </w:rPr>
        <w:t xml:space="preserve"> prediction and influence over increasingly complex behaviors in future, including behaviors that are perhaps currently beyond our species.</w:t>
      </w:r>
    </w:p>
    <w:p w14:paraId="25B28675" w14:textId="77777777" w:rsidR="00075CBD" w:rsidRPr="004B465B" w:rsidRDefault="00075CBD" w:rsidP="00075CBD">
      <w:pPr>
        <w:pStyle w:val="BodyText"/>
        <w:tabs>
          <w:tab w:val="clear" w:pos="8640"/>
        </w:tabs>
        <w:rPr>
          <w:lang w:val="en-US"/>
        </w:rPr>
      </w:pPr>
      <w:r w:rsidRPr="004B465B">
        <w:rPr>
          <w:lang w:val="en-US"/>
        </w:rPr>
        <w:t xml:space="preserve">It may be possible to investigate the </w:t>
      </w:r>
      <w:r w:rsidR="00716D73" w:rsidRPr="004B465B">
        <w:rPr>
          <w:lang w:val="en-US"/>
        </w:rPr>
        <w:t xml:space="preserve">derivation </w:t>
      </w:r>
      <w:r w:rsidR="000C472F" w:rsidRPr="004B465B">
        <w:rPr>
          <w:lang w:val="en-US"/>
        </w:rPr>
        <w:t>of</w:t>
      </w:r>
      <w:r w:rsidR="00143BD7" w:rsidRPr="004B465B">
        <w:rPr>
          <w:lang w:val="en-US"/>
        </w:rPr>
        <w:t xml:space="preserve"> </w:t>
      </w:r>
      <w:r w:rsidRPr="004B465B">
        <w:rPr>
          <w:lang w:val="en-US"/>
        </w:rPr>
        <w:t xml:space="preserve">relations </w:t>
      </w:r>
      <w:r w:rsidR="000C472F" w:rsidRPr="004B465B">
        <w:rPr>
          <w:lang w:val="en-US"/>
        </w:rPr>
        <w:t>within yet more complex relations</w:t>
      </w:r>
      <w:r w:rsidRPr="004B465B">
        <w:rPr>
          <w:lang w:val="en-US"/>
        </w:rPr>
        <w:t xml:space="preserve">. For example, </w:t>
      </w:r>
      <w:r w:rsidR="0067422C" w:rsidRPr="004B465B">
        <w:rPr>
          <w:lang w:val="en-US"/>
        </w:rPr>
        <w:t xml:space="preserve">below </w:t>
      </w:r>
      <w:r w:rsidRPr="004B465B">
        <w:rPr>
          <w:lang w:val="en-US"/>
        </w:rPr>
        <w:t xml:space="preserve">are two competing hypotheses asking whether individuals will </w:t>
      </w:r>
      <w:r w:rsidRPr="004B465B">
        <w:rPr>
          <w:lang w:val="en-US"/>
        </w:rPr>
        <w:lastRenderedPageBreak/>
        <w:t xml:space="preserve">derive a “more than” relation to be opposite a “less than” relation, or </w:t>
      </w:r>
      <w:r w:rsidR="0067422C" w:rsidRPr="004B465B">
        <w:rPr>
          <w:lang w:val="en-US"/>
        </w:rPr>
        <w:t>simply consider them distinct.</w:t>
      </w:r>
    </w:p>
    <w:p w14:paraId="4CDCEE2D" w14:textId="77777777" w:rsidR="0067422C" w:rsidRPr="004B465B" w:rsidRDefault="0067422C" w:rsidP="0067422C">
      <w:pPr>
        <w:pStyle w:val="BodyText"/>
        <w:tabs>
          <w:tab w:val="clear" w:pos="8640"/>
        </w:tabs>
        <w:ind w:firstLine="0"/>
        <w:jc w:val="center"/>
        <w:rPr>
          <w:lang w:val="en-US"/>
        </w:rPr>
      </w:pPr>
      <w:r w:rsidRPr="004B465B">
        <w:rPr>
          <w:lang w:val="en-US"/>
        </w:rPr>
        <w:t>C</w:t>
      </w:r>
      <w:r w:rsidRPr="004B465B">
        <w:rPr>
          <w:vertAlign w:val="subscript"/>
          <w:lang w:val="en-US"/>
        </w:rPr>
        <w:t>rel</w:t>
      </w:r>
      <w:r w:rsidRPr="004B465B">
        <w:rPr>
          <w:lang w:val="en-US"/>
        </w:rPr>
        <w:t xml:space="preserve"> (A r</w:t>
      </w:r>
      <w:r w:rsidRPr="004B465B">
        <w:rPr>
          <w:vertAlign w:val="subscript"/>
          <w:lang w:val="en-US"/>
        </w:rPr>
        <w:t>m</w:t>
      </w:r>
      <w:r w:rsidRPr="004B465B">
        <w:rPr>
          <w:lang w:val="en-US"/>
        </w:rPr>
        <w:t xml:space="preserve"> B); (C r</w:t>
      </w:r>
      <w:r w:rsidRPr="004B465B">
        <w:rPr>
          <w:vertAlign w:val="subscript"/>
          <w:lang w:val="en-US"/>
        </w:rPr>
        <w:t>l</w:t>
      </w:r>
      <w:r w:rsidRPr="004B465B">
        <w:rPr>
          <w:lang w:val="en-US"/>
        </w:rPr>
        <w:t xml:space="preserve"> D) ||| (A:B) r</w:t>
      </w:r>
      <w:r w:rsidRPr="004B465B">
        <w:rPr>
          <w:vertAlign w:val="subscript"/>
          <w:lang w:val="en-US"/>
        </w:rPr>
        <w:t>d</w:t>
      </w:r>
      <w:r w:rsidRPr="004B465B">
        <w:rPr>
          <w:lang w:val="en-US"/>
        </w:rPr>
        <w:t xml:space="preserve"> (C:D)</w:t>
      </w:r>
    </w:p>
    <w:p w14:paraId="52AA0C9D" w14:textId="77777777" w:rsidR="0067422C" w:rsidRPr="004B465B" w:rsidRDefault="0067422C" w:rsidP="0067422C">
      <w:pPr>
        <w:pStyle w:val="BodyText"/>
        <w:tabs>
          <w:tab w:val="clear" w:pos="8640"/>
        </w:tabs>
        <w:ind w:firstLine="0"/>
        <w:jc w:val="center"/>
        <w:rPr>
          <w:lang w:val="en-US"/>
        </w:rPr>
      </w:pPr>
      <w:r w:rsidRPr="004B465B">
        <w:rPr>
          <w:lang w:val="en-US"/>
        </w:rPr>
        <w:t>C</w:t>
      </w:r>
      <w:r w:rsidRPr="004B465B">
        <w:rPr>
          <w:vertAlign w:val="subscript"/>
          <w:lang w:val="en-US"/>
        </w:rPr>
        <w:t>rel</w:t>
      </w:r>
      <w:r w:rsidRPr="004B465B">
        <w:rPr>
          <w:lang w:val="en-US"/>
        </w:rPr>
        <w:t xml:space="preserve"> (A r</w:t>
      </w:r>
      <w:r w:rsidRPr="004B465B">
        <w:rPr>
          <w:vertAlign w:val="subscript"/>
          <w:lang w:val="en-US"/>
        </w:rPr>
        <w:t>m</w:t>
      </w:r>
      <w:r w:rsidRPr="004B465B">
        <w:rPr>
          <w:lang w:val="en-US"/>
        </w:rPr>
        <w:t xml:space="preserve"> B); (C r</w:t>
      </w:r>
      <w:r w:rsidRPr="004B465B">
        <w:rPr>
          <w:vertAlign w:val="subscript"/>
          <w:lang w:val="en-US"/>
        </w:rPr>
        <w:t>l</w:t>
      </w:r>
      <w:r w:rsidRPr="004B465B">
        <w:rPr>
          <w:lang w:val="en-US"/>
        </w:rPr>
        <w:t xml:space="preserve"> D) ||| (A:B) r</w:t>
      </w:r>
      <w:r w:rsidRPr="004B465B">
        <w:rPr>
          <w:vertAlign w:val="subscript"/>
          <w:lang w:val="en-US"/>
        </w:rPr>
        <w:t>o</w:t>
      </w:r>
      <w:r w:rsidRPr="004B465B">
        <w:rPr>
          <w:lang w:val="en-US"/>
        </w:rPr>
        <w:t xml:space="preserve"> (C:D)</w:t>
      </w:r>
    </w:p>
    <w:p w14:paraId="60B2BBD3" w14:textId="4EEC531B" w:rsidR="0067422C" w:rsidRPr="004B465B" w:rsidRDefault="00075CBD" w:rsidP="0067422C">
      <w:pPr>
        <w:pStyle w:val="BodyText"/>
        <w:tabs>
          <w:tab w:val="clear" w:pos="8640"/>
        </w:tabs>
        <w:rPr>
          <w:lang w:val="en-US"/>
        </w:rPr>
      </w:pPr>
      <w:r w:rsidRPr="004B465B">
        <w:rPr>
          <w:lang w:val="en-US"/>
        </w:rPr>
        <w:t xml:space="preserve">There are many other </w:t>
      </w:r>
      <w:r w:rsidR="004C5746">
        <w:rPr>
          <w:lang w:val="en-US"/>
        </w:rPr>
        <w:t>nonsymmetrical</w:t>
      </w:r>
      <w:r w:rsidRPr="004B465B">
        <w:rPr>
          <w:lang w:val="en-US"/>
        </w:rPr>
        <w:t xml:space="preserve"> relations </w:t>
      </w:r>
      <w:r w:rsidR="004C5746">
        <w:rPr>
          <w:lang w:val="en-US"/>
        </w:rPr>
        <w:t>that</w:t>
      </w:r>
      <w:r w:rsidRPr="004B465B">
        <w:rPr>
          <w:lang w:val="en-US"/>
        </w:rPr>
        <w:t xml:space="preserve"> could be similarly related. For example, the hypotheses </w:t>
      </w:r>
      <w:r w:rsidR="0067422C" w:rsidRPr="004B465B">
        <w:rPr>
          <w:lang w:val="en-US"/>
        </w:rPr>
        <w:t xml:space="preserve">below </w:t>
      </w:r>
      <w:r w:rsidRPr="004B465B">
        <w:rPr>
          <w:lang w:val="en-US"/>
        </w:rPr>
        <w:t>ask: is “before” opposite to “after</w:t>
      </w:r>
      <w:r w:rsidR="004C5746">
        <w:rPr>
          <w:lang w:val="en-US"/>
        </w:rPr>
        <w:t>,</w:t>
      </w:r>
      <w:r w:rsidRPr="004B465B">
        <w:rPr>
          <w:lang w:val="en-US"/>
        </w:rPr>
        <w:t>” or just different?</w:t>
      </w:r>
    </w:p>
    <w:p w14:paraId="43DC70DC" w14:textId="77777777" w:rsidR="0067422C" w:rsidRPr="004B465B" w:rsidRDefault="0067422C" w:rsidP="0067422C">
      <w:pPr>
        <w:pStyle w:val="BodyText"/>
        <w:tabs>
          <w:tab w:val="clear" w:pos="8640"/>
        </w:tabs>
        <w:ind w:firstLine="0"/>
        <w:jc w:val="center"/>
        <w:rPr>
          <w:lang w:val="en-US"/>
        </w:rPr>
      </w:pPr>
      <w:r w:rsidRPr="004B465B">
        <w:rPr>
          <w:lang w:val="en-US"/>
        </w:rPr>
        <w:t>C</w:t>
      </w:r>
      <w:r w:rsidRPr="004B465B">
        <w:rPr>
          <w:vertAlign w:val="subscript"/>
          <w:lang w:val="en-US"/>
        </w:rPr>
        <w:t>rel</w:t>
      </w:r>
      <w:r w:rsidRPr="004B465B">
        <w:rPr>
          <w:lang w:val="en-US"/>
        </w:rPr>
        <w:t xml:space="preserve"> (A r</w:t>
      </w:r>
      <w:r w:rsidRPr="004B465B">
        <w:rPr>
          <w:vertAlign w:val="subscript"/>
          <w:lang w:val="en-US"/>
        </w:rPr>
        <w:t>b</w:t>
      </w:r>
      <w:r w:rsidRPr="004B465B">
        <w:rPr>
          <w:lang w:val="en-US"/>
        </w:rPr>
        <w:t xml:space="preserve"> B); (C r</w:t>
      </w:r>
      <w:r w:rsidRPr="004B465B">
        <w:rPr>
          <w:vertAlign w:val="subscript"/>
          <w:lang w:val="en-US"/>
        </w:rPr>
        <w:t>a</w:t>
      </w:r>
      <w:r w:rsidRPr="004B465B">
        <w:rPr>
          <w:lang w:val="en-US"/>
        </w:rPr>
        <w:t xml:space="preserve"> D) ||| (A:B) r</w:t>
      </w:r>
      <w:r w:rsidRPr="004B465B">
        <w:rPr>
          <w:vertAlign w:val="subscript"/>
          <w:lang w:val="en-US"/>
        </w:rPr>
        <w:t>d</w:t>
      </w:r>
      <w:r w:rsidRPr="004B465B">
        <w:rPr>
          <w:lang w:val="en-US"/>
        </w:rPr>
        <w:t xml:space="preserve"> (C:D) </w:t>
      </w:r>
    </w:p>
    <w:p w14:paraId="7AE26E47" w14:textId="77777777" w:rsidR="0067422C" w:rsidRPr="004B465B" w:rsidRDefault="0067422C" w:rsidP="0067422C">
      <w:pPr>
        <w:pStyle w:val="BodyText"/>
        <w:tabs>
          <w:tab w:val="clear" w:pos="8640"/>
        </w:tabs>
        <w:ind w:firstLine="0"/>
        <w:jc w:val="center"/>
        <w:rPr>
          <w:lang w:val="en-US"/>
        </w:rPr>
      </w:pPr>
      <w:r w:rsidRPr="004B465B">
        <w:rPr>
          <w:lang w:val="en-US"/>
        </w:rPr>
        <w:t>C</w:t>
      </w:r>
      <w:r w:rsidRPr="004B465B">
        <w:rPr>
          <w:vertAlign w:val="subscript"/>
          <w:lang w:val="en-US"/>
        </w:rPr>
        <w:t>rel</w:t>
      </w:r>
      <w:r w:rsidRPr="004B465B">
        <w:rPr>
          <w:lang w:val="en-US"/>
        </w:rPr>
        <w:t xml:space="preserve"> (A r</w:t>
      </w:r>
      <w:r w:rsidRPr="004B465B">
        <w:rPr>
          <w:vertAlign w:val="subscript"/>
          <w:lang w:val="en-US"/>
        </w:rPr>
        <w:t>b</w:t>
      </w:r>
      <w:r w:rsidRPr="004B465B">
        <w:rPr>
          <w:lang w:val="en-US"/>
        </w:rPr>
        <w:t xml:space="preserve"> B); (C r</w:t>
      </w:r>
      <w:r w:rsidRPr="004B465B">
        <w:rPr>
          <w:vertAlign w:val="subscript"/>
          <w:lang w:val="en-US"/>
        </w:rPr>
        <w:t>a</w:t>
      </w:r>
      <w:r w:rsidRPr="004B465B">
        <w:rPr>
          <w:lang w:val="en-US"/>
        </w:rPr>
        <w:t xml:space="preserve"> D) ||| (A:B) r</w:t>
      </w:r>
      <w:r w:rsidRPr="004B465B">
        <w:rPr>
          <w:vertAlign w:val="subscript"/>
          <w:lang w:val="en-US"/>
        </w:rPr>
        <w:t>o</w:t>
      </w:r>
      <w:r w:rsidRPr="004B465B">
        <w:rPr>
          <w:lang w:val="en-US"/>
        </w:rPr>
        <w:t xml:space="preserve"> (C:D) </w:t>
      </w:r>
    </w:p>
    <w:p w14:paraId="5BAD8923" w14:textId="274DBCB0" w:rsidR="00075CBD" w:rsidRPr="004B465B" w:rsidRDefault="00075CBD" w:rsidP="00075CBD">
      <w:pPr>
        <w:pStyle w:val="BodyText"/>
        <w:tabs>
          <w:tab w:val="clear" w:pos="8640"/>
        </w:tabs>
        <w:rPr>
          <w:lang w:val="en-US"/>
        </w:rPr>
      </w:pPr>
      <w:r w:rsidRPr="004B465B">
        <w:rPr>
          <w:lang w:val="en-US"/>
        </w:rPr>
        <w:t xml:space="preserve">These may have useful applications for the understanding of complex phenomena. For example, RFT considers “the self” to be a nexus of many established relational networks. To differentiate relational networks may therefore be an important skill underlying the ability to differentiate </w:t>
      </w:r>
      <w:r w:rsidR="000C472F" w:rsidRPr="004B465B">
        <w:rPr>
          <w:lang w:val="en-US"/>
        </w:rPr>
        <w:t>among different</w:t>
      </w:r>
      <w:r w:rsidR="006A0273">
        <w:rPr>
          <w:lang w:val="en-US"/>
        </w:rPr>
        <w:t xml:space="preserve"> </w:t>
      </w:r>
      <w:r w:rsidRPr="004B465B">
        <w:rPr>
          <w:lang w:val="en-US"/>
        </w:rPr>
        <w:t>“selves</w:t>
      </w:r>
      <w:r w:rsidR="004C5746">
        <w:rPr>
          <w:lang w:val="en-US"/>
        </w:rPr>
        <w:t>.</w:t>
      </w:r>
      <w:r w:rsidRPr="004B465B">
        <w:rPr>
          <w:lang w:val="en-US"/>
        </w:rPr>
        <w:t>” Learning to do this expressively (</w:t>
      </w:r>
      <w:r w:rsidR="000C472F" w:rsidRPr="004B465B">
        <w:rPr>
          <w:lang w:val="en-US"/>
        </w:rPr>
        <w:t xml:space="preserve">e.g., </w:t>
      </w:r>
      <w:r w:rsidRPr="004B465B">
        <w:rPr>
          <w:lang w:val="en-US"/>
        </w:rPr>
        <w:t xml:space="preserve">McLoughlin &amp; Stewart, </w:t>
      </w:r>
      <w:r w:rsidR="006633C2" w:rsidRPr="004B465B">
        <w:rPr>
          <w:lang w:val="en-US"/>
        </w:rPr>
        <w:t>2017</w:t>
      </w:r>
      <w:r w:rsidRPr="004B465B">
        <w:rPr>
          <w:lang w:val="en-US"/>
        </w:rPr>
        <w:t xml:space="preserve">, </w:t>
      </w:r>
      <w:r w:rsidR="004C5746">
        <w:rPr>
          <w:lang w:val="en-US"/>
        </w:rPr>
        <w:t>modeled</w:t>
      </w:r>
      <w:r w:rsidRPr="004B465B">
        <w:rPr>
          <w:lang w:val="en-US"/>
        </w:rPr>
        <w:t xml:space="preserve"> this behavior</w:t>
      </w:r>
      <w:r w:rsidR="006A0273">
        <w:rPr>
          <w:lang w:val="en-US"/>
        </w:rPr>
        <w:t xml:space="preserve"> of differentiating relational networks</w:t>
      </w:r>
      <w:r w:rsidRPr="004B465B">
        <w:rPr>
          <w:lang w:val="en-US"/>
        </w:rPr>
        <w:t xml:space="preserve"> receptively using the Relational Evaluation Procedure) could constitute an operationalized account of “I</w:t>
      </w:r>
      <w:r w:rsidR="004C5746">
        <w:rPr>
          <w:lang w:val="en-US"/>
        </w:rPr>
        <w:t>–</w:t>
      </w:r>
      <w:r w:rsidRPr="004B465B">
        <w:rPr>
          <w:lang w:val="en-US"/>
        </w:rPr>
        <w:t>you” relational framing.</w:t>
      </w:r>
      <w:r w:rsidR="00755B70" w:rsidRPr="004B465B">
        <w:rPr>
          <w:lang w:val="en-US"/>
        </w:rPr>
        <w:t xml:space="preserve"> With the inherent complexity that comes with such novel questions, notation </w:t>
      </w:r>
      <w:r w:rsidR="000C472F" w:rsidRPr="004B465B">
        <w:rPr>
          <w:lang w:val="en-US"/>
        </w:rPr>
        <w:t>c</w:t>
      </w:r>
      <w:r w:rsidR="00755B70" w:rsidRPr="004B465B">
        <w:rPr>
          <w:lang w:val="en-US"/>
        </w:rPr>
        <w:t xml:space="preserve">ould ensure the technicality and precision of hypotheses and experimental procedures, </w:t>
      </w:r>
      <w:r w:rsidR="004C5746">
        <w:rPr>
          <w:lang w:val="en-US"/>
        </w:rPr>
        <w:t>while</w:t>
      </w:r>
      <w:r w:rsidR="00755B70" w:rsidRPr="004B465B">
        <w:rPr>
          <w:lang w:val="en-US"/>
        </w:rPr>
        <w:t xml:space="preserve"> simultaneously allowing them to be communicated concisely.</w:t>
      </w:r>
    </w:p>
    <w:p w14:paraId="2B72DA8F" w14:textId="6C4C74B1" w:rsidR="00075CBD" w:rsidRPr="004B465B" w:rsidRDefault="002304ED" w:rsidP="00075CBD">
      <w:pPr>
        <w:pStyle w:val="BodyText"/>
        <w:tabs>
          <w:tab w:val="clear" w:pos="8640"/>
        </w:tabs>
        <w:rPr>
          <w:lang w:val="en-US"/>
        </w:rPr>
      </w:pPr>
      <w:r w:rsidRPr="004B465B">
        <w:rPr>
          <w:lang w:val="en-US"/>
        </w:rPr>
        <w:t>Likewise</w:t>
      </w:r>
      <w:r w:rsidR="00075CBD" w:rsidRPr="004B465B">
        <w:rPr>
          <w:lang w:val="en-US"/>
        </w:rPr>
        <w:t>, complex relational repertoires, such as that of hierarchical classification are amenable to RFT notation. For example, below we include a rudimentary notation of hierarchical classification:</w:t>
      </w:r>
    </w:p>
    <w:p w14:paraId="7037676E" w14:textId="77777777" w:rsidR="00075CBD" w:rsidRPr="004B465B" w:rsidRDefault="00075CBD" w:rsidP="00075CBD">
      <w:pPr>
        <w:pStyle w:val="BodyText"/>
        <w:tabs>
          <w:tab w:val="clear" w:pos="8640"/>
        </w:tabs>
        <w:ind w:firstLine="0"/>
        <w:jc w:val="center"/>
        <w:rPr>
          <w:lang w:val="en-US"/>
        </w:rPr>
      </w:pPr>
      <w:r w:rsidRPr="004B465B">
        <w:rPr>
          <w:lang w:val="en-US"/>
        </w:rPr>
        <w:t>C</w:t>
      </w:r>
      <w:r w:rsidRPr="004B465B">
        <w:rPr>
          <w:vertAlign w:val="subscript"/>
          <w:lang w:val="en-US"/>
        </w:rPr>
        <w:t>rel</w:t>
      </w:r>
      <w:r w:rsidRPr="004B465B">
        <w:rPr>
          <w:lang w:val="en-US"/>
        </w:rPr>
        <w:t xml:space="preserve"> (A1 r</w:t>
      </w:r>
      <w:r w:rsidRPr="004B465B">
        <w:rPr>
          <w:vertAlign w:val="subscript"/>
          <w:lang w:val="en-US"/>
        </w:rPr>
        <w:t>p</w:t>
      </w:r>
      <w:r w:rsidRPr="004B465B">
        <w:rPr>
          <w:lang w:val="en-US"/>
        </w:rPr>
        <w:t xml:space="preserve"> B; A2 r</w:t>
      </w:r>
      <w:r w:rsidRPr="004B465B">
        <w:rPr>
          <w:vertAlign w:val="subscript"/>
          <w:lang w:val="en-US"/>
        </w:rPr>
        <w:t>p</w:t>
      </w:r>
      <w:r w:rsidRPr="004B465B">
        <w:rPr>
          <w:lang w:val="en-US"/>
        </w:rPr>
        <w:t xml:space="preserve"> B; B r</w:t>
      </w:r>
      <w:r w:rsidRPr="004B465B">
        <w:rPr>
          <w:vertAlign w:val="subscript"/>
          <w:lang w:val="en-US"/>
        </w:rPr>
        <w:t>p</w:t>
      </w:r>
      <w:r w:rsidRPr="004B465B">
        <w:rPr>
          <w:lang w:val="en-US"/>
        </w:rPr>
        <w:t xml:space="preserve"> C) ||| (A1 r</w:t>
      </w:r>
      <w:r w:rsidRPr="004B465B">
        <w:rPr>
          <w:vertAlign w:val="subscript"/>
          <w:lang w:val="en-US"/>
        </w:rPr>
        <w:t>s</w:t>
      </w:r>
      <w:r w:rsidRPr="004B465B">
        <w:rPr>
          <w:lang w:val="en-US"/>
        </w:rPr>
        <w:t xml:space="preserve"> A2; A1 r</w:t>
      </w:r>
      <w:r w:rsidRPr="004B465B">
        <w:rPr>
          <w:vertAlign w:val="subscript"/>
          <w:lang w:val="en-US"/>
        </w:rPr>
        <w:t>p</w:t>
      </w:r>
      <w:r w:rsidRPr="004B465B">
        <w:rPr>
          <w:lang w:val="en-US"/>
        </w:rPr>
        <w:t xml:space="preserve"> C; A2 r</w:t>
      </w:r>
      <w:r w:rsidRPr="004B465B">
        <w:rPr>
          <w:vertAlign w:val="subscript"/>
          <w:lang w:val="en-US"/>
        </w:rPr>
        <w:t>p</w:t>
      </w:r>
      <w:r w:rsidRPr="004B465B">
        <w:rPr>
          <w:lang w:val="en-US"/>
        </w:rPr>
        <w:t xml:space="preserve"> C; C r</w:t>
      </w:r>
      <w:r w:rsidRPr="004B465B">
        <w:rPr>
          <w:vertAlign w:val="subscript"/>
          <w:lang w:val="en-US"/>
        </w:rPr>
        <w:t>c</w:t>
      </w:r>
      <w:r w:rsidRPr="004B465B">
        <w:rPr>
          <w:lang w:val="en-US"/>
        </w:rPr>
        <w:t xml:space="preserve"> A1; C r</w:t>
      </w:r>
      <w:r w:rsidRPr="004B465B">
        <w:rPr>
          <w:vertAlign w:val="subscript"/>
          <w:lang w:val="en-US"/>
        </w:rPr>
        <w:t>c</w:t>
      </w:r>
      <w:r w:rsidRPr="004B465B">
        <w:rPr>
          <w:lang w:val="en-US"/>
        </w:rPr>
        <w:t xml:space="preserve"> A2; C r</w:t>
      </w:r>
      <w:r w:rsidRPr="004B465B">
        <w:rPr>
          <w:vertAlign w:val="subscript"/>
          <w:lang w:val="en-US"/>
        </w:rPr>
        <w:t>c</w:t>
      </w:r>
      <w:r w:rsidRPr="004B465B">
        <w:rPr>
          <w:lang w:val="en-US"/>
        </w:rPr>
        <w:t xml:space="preserve"> B; B r</w:t>
      </w:r>
      <w:r w:rsidRPr="004B465B">
        <w:rPr>
          <w:vertAlign w:val="subscript"/>
          <w:lang w:val="en-US"/>
        </w:rPr>
        <w:t>c</w:t>
      </w:r>
      <w:r w:rsidRPr="004B465B">
        <w:rPr>
          <w:lang w:val="en-US"/>
        </w:rPr>
        <w:t xml:space="preserve"> A1; B r</w:t>
      </w:r>
      <w:r w:rsidRPr="004B465B">
        <w:rPr>
          <w:vertAlign w:val="subscript"/>
          <w:lang w:val="en-US"/>
        </w:rPr>
        <w:t>c</w:t>
      </w:r>
      <w:r w:rsidRPr="004B465B">
        <w:rPr>
          <w:lang w:val="en-US"/>
        </w:rPr>
        <w:t xml:space="preserve"> A2)</w:t>
      </w:r>
    </w:p>
    <w:p w14:paraId="1887CBBE" w14:textId="466B6919" w:rsidR="00075CBD" w:rsidRPr="004B465B" w:rsidRDefault="00075CBD" w:rsidP="00075CBD">
      <w:pPr>
        <w:pStyle w:val="BodyText"/>
        <w:tabs>
          <w:tab w:val="clear" w:pos="8640"/>
        </w:tabs>
        <w:rPr>
          <w:lang w:val="en-US"/>
        </w:rPr>
      </w:pPr>
      <w:r w:rsidRPr="004B465B">
        <w:rPr>
          <w:lang w:val="en-US"/>
        </w:rPr>
        <w:lastRenderedPageBreak/>
        <w:t>This notation outlines that the stimuli A1 and A2 are part of the stimulus class B</w:t>
      </w:r>
      <w:r w:rsidR="00530AB1">
        <w:rPr>
          <w:lang w:val="en-US"/>
        </w:rPr>
        <w:t>,</w:t>
      </w:r>
      <w:r w:rsidRPr="004B465B">
        <w:rPr>
          <w:lang w:val="en-US"/>
        </w:rPr>
        <w:t xml:space="preserve"> which is part of the stimulus class C. From this information, an individual can derive a degree of </w:t>
      </w:r>
      <w:r w:rsidR="00653556" w:rsidRPr="004B465B">
        <w:rPr>
          <w:lang w:val="en-US"/>
        </w:rPr>
        <w:t xml:space="preserve">functional </w:t>
      </w:r>
      <w:r w:rsidRPr="004B465B">
        <w:rPr>
          <w:lang w:val="en-US"/>
        </w:rPr>
        <w:t>sameness between stimuli A1 and A2, while simultaneously deriving that the stimuli A1 and A2 are part of the stimulus class C. This also leads to further derivations including that stimulus class C contains stimuli A1, A2</w:t>
      </w:r>
      <w:r w:rsidR="00530AB1">
        <w:rPr>
          <w:lang w:val="en-US"/>
        </w:rPr>
        <w:t>,</w:t>
      </w:r>
      <w:r w:rsidRPr="004B465B">
        <w:rPr>
          <w:lang w:val="en-US"/>
        </w:rPr>
        <w:t xml:space="preserve"> and B, while the stimulus class B contains the stimuli A1 and A2. The complexity of these relational networks are further outlined when the transformation of stimulus function is considered.</w:t>
      </w:r>
    </w:p>
    <w:p w14:paraId="2C9FF757" w14:textId="77777777" w:rsidR="00FF0A70" w:rsidRPr="004B465B" w:rsidRDefault="00075CBD" w:rsidP="00075CBD">
      <w:pPr>
        <w:pStyle w:val="BodyText"/>
        <w:tabs>
          <w:tab w:val="clear" w:pos="8640"/>
        </w:tabs>
        <w:ind w:firstLine="0"/>
        <w:jc w:val="center"/>
        <w:rPr>
          <w:lang w:val="en-US"/>
        </w:rPr>
      </w:pPr>
      <w:r w:rsidRPr="004B465B">
        <w:rPr>
          <w:lang w:val="en-US"/>
        </w:rPr>
        <w:t>C</w:t>
      </w:r>
      <w:r w:rsidRPr="004B465B">
        <w:rPr>
          <w:vertAlign w:val="subscript"/>
          <w:lang w:val="en-US"/>
        </w:rPr>
        <w:t>func</w:t>
      </w:r>
      <w:r w:rsidRPr="004B465B">
        <w:rPr>
          <w:lang w:val="en-US"/>
        </w:rPr>
        <w:t xml:space="preserve"> [C</w:t>
      </w:r>
      <w:r w:rsidRPr="004B465B">
        <w:rPr>
          <w:vertAlign w:val="subscript"/>
          <w:lang w:val="en-US"/>
        </w:rPr>
        <w:t>rel</w:t>
      </w:r>
      <w:r w:rsidRPr="004B465B">
        <w:rPr>
          <w:lang w:val="en-US"/>
        </w:rPr>
        <w:t xml:space="preserve"> {(A r</w:t>
      </w:r>
      <w:r w:rsidRPr="004B465B">
        <w:rPr>
          <w:vertAlign w:val="subscript"/>
          <w:lang w:val="en-US"/>
        </w:rPr>
        <w:t>c</w:t>
      </w:r>
      <w:r w:rsidRPr="004B465B">
        <w:rPr>
          <w:lang w:val="en-US"/>
        </w:rPr>
        <w:t xml:space="preserve"> B; B r</w:t>
      </w:r>
      <w:r w:rsidRPr="004B465B">
        <w:rPr>
          <w:vertAlign w:val="subscript"/>
          <w:lang w:val="en-US"/>
        </w:rPr>
        <w:t>c</w:t>
      </w:r>
      <w:r w:rsidRPr="004B465B">
        <w:rPr>
          <w:lang w:val="en-US"/>
        </w:rPr>
        <w:t xml:space="preserve"> C) ||| (A r</w:t>
      </w:r>
      <w:r w:rsidRPr="004B465B">
        <w:rPr>
          <w:vertAlign w:val="subscript"/>
          <w:lang w:val="en-US"/>
        </w:rPr>
        <w:t>c</w:t>
      </w:r>
      <w:r w:rsidRPr="004B465B">
        <w:rPr>
          <w:lang w:val="en-US"/>
        </w:rPr>
        <w:t xml:space="preserve"> C; C r</w:t>
      </w:r>
      <w:r w:rsidRPr="004B465B">
        <w:rPr>
          <w:vertAlign w:val="subscript"/>
          <w:lang w:val="en-US"/>
        </w:rPr>
        <w:t>p</w:t>
      </w:r>
      <w:r w:rsidRPr="004B465B">
        <w:rPr>
          <w:lang w:val="en-US"/>
        </w:rPr>
        <w:t xml:space="preserve"> A; C r</w:t>
      </w:r>
      <w:r w:rsidRPr="004B465B">
        <w:rPr>
          <w:vertAlign w:val="subscript"/>
          <w:lang w:val="en-US"/>
        </w:rPr>
        <w:t>p</w:t>
      </w:r>
      <w:r w:rsidRPr="004B465B">
        <w:rPr>
          <w:lang w:val="en-US"/>
        </w:rPr>
        <w:t xml:space="preserve"> B; B r</w:t>
      </w:r>
      <w:r w:rsidRPr="004B465B">
        <w:rPr>
          <w:vertAlign w:val="subscript"/>
          <w:lang w:val="en-US"/>
        </w:rPr>
        <w:t>p</w:t>
      </w:r>
      <w:r w:rsidRPr="004B465B">
        <w:rPr>
          <w:lang w:val="en-US"/>
        </w:rPr>
        <w:t xml:space="preserve"> A)};</w:t>
      </w:r>
    </w:p>
    <w:p w14:paraId="0FE08ABE" w14:textId="77777777" w:rsidR="00FF0A70" w:rsidRPr="004B465B" w:rsidRDefault="00FF0A70" w:rsidP="008B4202">
      <w:pPr>
        <w:pStyle w:val="BodyText"/>
        <w:tabs>
          <w:tab w:val="clear" w:pos="8640"/>
        </w:tabs>
        <w:ind w:firstLine="0"/>
        <w:rPr>
          <w:lang w:val="en-US"/>
        </w:rPr>
      </w:pPr>
      <w:r w:rsidRPr="004B465B">
        <w:rPr>
          <w:lang w:val="en-US"/>
        </w:rPr>
        <w:t>If we derive “A contains B, and B contains C” for functional purposes, then</w:t>
      </w:r>
    </w:p>
    <w:p w14:paraId="34374F1A" w14:textId="77777777" w:rsidR="00C0355C" w:rsidRPr="004B465B" w:rsidRDefault="00075CBD" w:rsidP="008B4202">
      <w:pPr>
        <w:pStyle w:val="BodyText"/>
        <w:tabs>
          <w:tab w:val="clear" w:pos="8640"/>
        </w:tabs>
        <w:ind w:firstLine="0"/>
        <w:jc w:val="center"/>
        <w:rPr>
          <w:lang w:val="en-US"/>
        </w:rPr>
      </w:pPr>
      <w:r w:rsidRPr="004B465B">
        <w:rPr>
          <w:lang w:val="en-US"/>
        </w:rPr>
        <w:t>{Af</w:t>
      </w:r>
      <w:r w:rsidRPr="004B465B">
        <w:rPr>
          <w:vertAlign w:val="superscript"/>
          <w:lang w:val="en-US"/>
        </w:rPr>
        <w:t>1</w:t>
      </w:r>
      <w:r w:rsidRPr="004B465B">
        <w:rPr>
          <w:lang w:val="en-US"/>
        </w:rPr>
        <w:t>; Bf</w:t>
      </w:r>
      <w:r w:rsidRPr="004B465B">
        <w:rPr>
          <w:vertAlign w:val="superscript"/>
          <w:lang w:val="en-US"/>
        </w:rPr>
        <w:t>n</w:t>
      </w:r>
      <w:r w:rsidRPr="004B465B">
        <w:rPr>
          <w:lang w:val="en-US"/>
        </w:rPr>
        <w:t>; Cf</w:t>
      </w:r>
      <w:r w:rsidRPr="004B465B">
        <w:rPr>
          <w:vertAlign w:val="superscript"/>
          <w:lang w:val="en-US"/>
        </w:rPr>
        <w:t>n</w:t>
      </w:r>
      <w:r w:rsidRPr="004B465B">
        <w:rPr>
          <w:lang w:val="en-US"/>
        </w:rPr>
        <w:t>} ||| (Bf</w:t>
      </w:r>
      <w:r w:rsidRPr="004B465B">
        <w:rPr>
          <w:vertAlign w:val="superscript"/>
          <w:lang w:val="en-US"/>
        </w:rPr>
        <w:t>2</w:t>
      </w:r>
      <w:r w:rsidRPr="004B465B">
        <w:rPr>
          <w:lang w:val="en-US"/>
        </w:rPr>
        <w:t>; Cf</w:t>
      </w:r>
      <w:r w:rsidRPr="004B465B">
        <w:rPr>
          <w:vertAlign w:val="superscript"/>
          <w:lang w:val="en-US"/>
        </w:rPr>
        <w:t>3</w:t>
      </w:r>
      <w:r w:rsidRPr="004B465B">
        <w:rPr>
          <w:lang w:val="en-US"/>
        </w:rPr>
        <w:t>);</w:t>
      </w:r>
    </w:p>
    <w:p w14:paraId="48E25523" w14:textId="77777777" w:rsidR="00C0355C" w:rsidRPr="004B465B" w:rsidRDefault="00C0355C" w:rsidP="008B4202">
      <w:pPr>
        <w:pStyle w:val="BodyText"/>
        <w:tabs>
          <w:tab w:val="clear" w:pos="8640"/>
        </w:tabs>
        <w:ind w:firstLine="0"/>
        <w:rPr>
          <w:lang w:val="en-US"/>
        </w:rPr>
      </w:pPr>
      <w:r w:rsidRPr="004B465B">
        <w:rPr>
          <w:lang w:val="en-US"/>
        </w:rPr>
        <w:t xml:space="preserve">That is, </w:t>
      </w:r>
      <w:r w:rsidR="00FF0A70" w:rsidRPr="004B465B">
        <w:rPr>
          <w:lang w:val="en-US"/>
        </w:rPr>
        <w:t xml:space="preserve">if we know the </w:t>
      </w:r>
      <w:r w:rsidRPr="004B465B">
        <w:rPr>
          <w:lang w:val="en-US"/>
        </w:rPr>
        <w:t>functions of superordinate class A</w:t>
      </w:r>
      <w:r w:rsidR="00FF0A70" w:rsidRPr="004B465B">
        <w:rPr>
          <w:lang w:val="en-US"/>
        </w:rPr>
        <w:t>, they will</w:t>
      </w:r>
      <w:r w:rsidRPr="004B465B">
        <w:rPr>
          <w:lang w:val="en-US"/>
        </w:rPr>
        <w:t xml:space="preserve"> change the functions of subordinate classes B and C. Furthermore,</w:t>
      </w:r>
    </w:p>
    <w:p w14:paraId="2DE8FE80" w14:textId="77777777" w:rsidR="00C0355C" w:rsidRPr="004B465B" w:rsidRDefault="00075CBD" w:rsidP="008B4202">
      <w:pPr>
        <w:pStyle w:val="BodyText"/>
        <w:tabs>
          <w:tab w:val="clear" w:pos="8640"/>
        </w:tabs>
        <w:ind w:firstLine="0"/>
        <w:jc w:val="center"/>
        <w:rPr>
          <w:lang w:val="en-US"/>
        </w:rPr>
      </w:pPr>
      <w:r w:rsidRPr="004B465B">
        <w:rPr>
          <w:lang w:val="en-US"/>
        </w:rPr>
        <w:t>{Af</w:t>
      </w:r>
      <w:r w:rsidRPr="004B465B">
        <w:rPr>
          <w:vertAlign w:val="superscript"/>
          <w:lang w:val="en-US"/>
        </w:rPr>
        <w:t>n</w:t>
      </w:r>
      <w:r w:rsidRPr="004B465B">
        <w:rPr>
          <w:lang w:val="en-US"/>
        </w:rPr>
        <w:t>; Bf</w:t>
      </w:r>
      <w:r w:rsidRPr="004B465B">
        <w:rPr>
          <w:vertAlign w:val="superscript"/>
          <w:lang w:val="en-US"/>
        </w:rPr>
        <w:t>1</w:t>
      </w:r>
      <w:r w:rsidRPr="004B465B">
        <w:rPr>
          <w:lang w:val="en-US"/>
        </w:rPr>
        <w:t>; Cf</w:t>
      </w:r>
      <w:r w:rsidRPr="004B465B">
        <w:rPr>
          <w:vertAlign w:val="superscript"/>
          <w:lang w:val="en-US"/>
        </w:rPr>
        <w:t>n</w:t>
      </w:r>
      <w:r w:rsidRPr="004B465B">
        <w:rPr>
          <w:lang w:val="en-US"/>
        </w:rPr>
        <w:t>} ||| (Af</w:t>
      </w:r>
      <w:r w:rsidRPr="004B465B">
        <w:rPr>
          <w:vertAlign w:val="superscript"/>
          <w:lang w:val="en-US"/>
        </w:rPr>
        <w:t>n</w:t>
      </w:r>
      <w:r w:rsidRPr="004B465B">
        <w:rPr>
          <w:lang w:val="en-US"/>
        </w:rPr>
        <w:t>; Cf</w:t>
      </w:r>
      <w:r w:rsidRPr="004B465B">
        <w:rPr>
          <w:vertAlign w:val="superscript"/>
          <w:lang w:val="en-US"/>
        </w:rPr>
        <w:t>2</w:t>
      </w:r>
      <w:r w:rsidRPr="004B465B">
        <w:rPr>
          <w:lang w:val="en-US"/>
        </w:rPr>
        <w:t>);</w:t>
      </w:r>
    </w:p>
    <w:p w14:paraId="5E7845B9" w14:textId="77777777" w:rsidR="00C0355C" w:rsidRPr="004B465B" w:rsidRDefault="00C0355C" w:rsidP="008B4202">
      <w:pPr>
        <w:pStyle w:val="BodyText"/>
        <w:tabs>
          <w:tab w:val="clear" w:pos="8640"/>
        </w:tabs>
        <w:ind w:firstLine="0"/>
        <w:rPr>
          <w:lang w:val="en-US"/>
        </w:rPr>
      </w:pPr>
      <w:r w:rsidRPr="004B465B">
        <w:rPr>
          <w:lang w:val="en-US"/>
        </w:rPr>
        <w:t xml:space="preserve">If we only knew the function of class B, it would transform the functions of </w:t>
      </w:r>
      <w:r w:rsidR="00103F64" w:rsidRPr="004B465B">
        <w:rPr>
          <w:lang w:val="en-US"/>
        </w:rPr>
        <w:t xml:space="preserve">subordinate </w:t>
      </w:r>
      <w:r w:rsidRPr="004B465B">
        <w:rPr>
          <w:lang w:val="en-US"/>
        </w:rPr>
        <w:t xml:space="preserve">class C and not </w:t>
      </w:r>
      <w:r w:rsidR="00103F64" w:rsidRPr="004B465B">
        <w:rPr>
          <w:lang w:val="en-US"/>
        </w:rPr>
        <w:t xml:space="preserve">superordinate class </w:t>
      </w:r>
      <w:r w:rsidRPr="004B465B">
        <w:rPr>
          <w:lang w:val="en-US"/>
        </w:rPr>
        <w:t>A. Finally,</w:t>
      </w:r>
    </w:p>
    <w:p w14:paraId="4717A026" w14:textId="77777777" w:rsidR="00075CBD" w:rsidRPr="004B465B" w:rsidRDefault="00075CBD" w:rsidP="008B4202">
      <w:pPr>
        <w:pStyle w:val="BodyText"/>
        <w:tabs>
          <w:tab w:val="clear" w:pos="8640"/>
        </w:tabs>
        <w:ind w:firstLine="0"/>
        <w:jc w:val="center"/>
        <w:rPr>
          <w:lang w:val="en-US"/>
        </w:rPr>
      </w:pPr>
      <w:r w:rsidRPr="004B465B">
        <w:rPr>
          <w:lang w:val="en-US"/>
        </w:rPr>
        <w:t>{Af</w:t>
      </w:r>
      <w:r w:rsidRPr="004B465B">
        <w:rPr>
          <w:vertAlign w:val="superscript"/>
          <w:lang w:val="en-US"/>
        </w:rPr>
        <w:t>n</w:t>
      </w:r>
      <w:r w:rsidRPr="004B465B">
        <w:rPr>
          <w:lang w:val="en-US"/>
        </w:rPr>
        <w:t>; Bf</w:t>
      </w:r>
      <w:r w:rsidRPr="004B465B">
        <w:rPr>
          <w:vertAlign w:val="superscript"/>
          <w:lang w:val="en-US"/>
        </w:rPr>
        <w:t>n</w:t>
      </w:r>
      <w:r w:rsidRPr="004B465B">
        <w:rPr>
          <w:lang w:val="en-US"/>
        </w:rPr>
        <w:t>; Cf</w:t>
      </w:r>
      <w:r w:rsidRPr="004B465B">
        <w:rPr>
          <w:vertAlign w:val="superscript"/>
          <w:lang w:val="en-US"/>
        </w:rPr>
        <w:t>1</w:t>
      </w:r>
      <w:r w:rsidRPr="004B465B">
        <w:rPr>
          <w:lang w:val="en-US"/>
        </w:rPr>
        <w:t>} ||| (Af</w:t>
      </w:r>
      <w:r w:rsidRPr="004B465B">
        <w:rPr>
          <w:vertAlign w:val="superscript"/>
          <w:lang w:val="en-US"/>
        </w:rPr>
        <w:t>n</w:t>
      </w:r>
      <w:r w:rsidRPr="004B465B">
        <w:rPr>
          <w:lang w:val="en-US"/>
        </w:rPr>
        <w:t>; Bf</w:t>
      </w:r>
      <w:r w:rsidRPr="004B465B">
        <w:rPr>
          <w:vertAlign w:val="superscript"/>
          <w:lang w:val="en-US"/>
        </w:rPr>
        <w:t>n</w:t>
      </w:r>
      <w:r w:rsidRPr="004B465B">
        <w:rPr>
          <w:lang w:val="en-US"/>
        </w:rPr>
        <w:t>)]</w:t>
      </w:r>
    </w:p>
    <w:p w14:paraId="7067B8C1" w14:textId="6F275433" w:rsidR="00075CBD" w:rsidRPr="004B465B" w:rsidRDefault="00C0355C" w:rsidP="008B4202">
      <w:pPr>
        <w:pStyle w:val="BodyText"/>
        <w:tabs>
          <w:tab w:val="clear" w:pos="8640"/>
        </w:tabs>
        <w:ind w:firstLine="0"/>
        <w:rPr>
          <w:lang w:val="en-US"/>
        </w:rPr>
      </w:pPr>
      <w:r w:rsidRPr="004B465B">
        <w:rPr>
          <w:lang w:val="en-US"/>
        </w:rPr>
        <w:t>If we only knew the function of subordinate class</w:t>
      </w:r>
      <w:r w:rsidR="00FF0A70" w:rsidRPr="004B465B">
        <w:rPr>
          <w:lang w:val="en-US"/>
        </w:rPr>
        <w:t>/stimulus</w:t>
      </w:r>
      <w:r w:rsidRPr="004B465B">
        <w:rPr>
          <w:lang w:val="en-US"/>
        </w:rPr>
        <w:t xml:space="preserve"> C, then it does</w:t>
      </w:r>
      <w:r w:rsidR="0033609B" w:rsidRPr="004B465B">
        <w:rPr>
          <w:lang w:val="en-US"/>
        </w:rPr>
        <w:t xml:space="preserve"> no</w:t>
      </w:r>
      <w:r w:rsidRPr="004B465B">
        <w:rPr>
          <w:lang w:val="en-US"/>
        </w:rPr>
        <w:t>t necessarily tell us about the functions of its superordinate classes A and B. That is</w:t>
      </w:r>
      <w:r w:rsidR="00075CBD" w:rsidRPr="004B465B">
        <w:rPr>
          <w:lang w:val="en-US"/>
        </w:rPr>
        <w:t>, we might expect all of the functions of the containing network to transform the functions of the member network, but the member network should not transform the functions of the class.</w:t>
      </w:r>
      <w:r w:rsidR="00103F64" w:rsidRPr="004B465B">
        <w:rPr>
          <w:lang w:val="en-US"/>
        </w:rPr>
        <w:t xml:space="preserve"> This is</w:t>
      </w:r>
      <w:r w:rsidR="001A35A0" w:rsidRPr="004B465B">
        <w:rPr>
          <w:lang w:val="en-US"/>
        </w:rPr>
        <w:t>,</w:t>
      </w:r>
      <w:r w:rsidR="00103F64" w:rsidRPr="004B465B">
        <w:rPr>
          <w:lang w:val="en-US"/>
        </w:rPr>
        <w:t xml:space="preserve"> of course</w:t>
      </w:r>
      <w:r w:rsidR="001A35A0" w:rsidRPr="004B465B">
        <w:rPr>
          <w:lang w:val="en-US"/>
        </w:rPr>
        <w:t>,</w:t>
      </w:r>
      <w:r w:rsidR="00103F64" w:rsidRPr="004B465B">
        <w:rPr>
          <w:lang w:val="en-US"/>
        </w:rPr>
        <w:t xml:space="preserve"> a testable hypothesis. It is also possible that </w:t>
      </w:r>
      <w:r w:rsidR="00C906E2" w:rsidRPr="004B465B">
        <w:rPr>
          <w:lang w:val="en-US"/>
        </w:rPr>
        <w:t xml:space="preserve">the salient functions of a group are abstractions of what’s common across its constituents, which might mean that individual members transform functions of the group as a whole. </w:t>
      </w:r>
      <w:r w:rsidR="0066297B" w:rsidRPr="004B465B">
        <w:rPr>
          <w:lang w:val="en-US"/>
        </w:rPr>
        <w:t xml:space="preserve">This can be good, </w:t>
      </w:r>
      <w:r w:rsidR="00530AB1">
        <w:rPr>
          <w:lang w:val="en-US"/>
        </w:rPr>
        <w:t>because</w:t>
      </w:r>
      <w:r w:rsidR="0066297B" w:rsidRPr="004B465B">
        <w:rPr>
          <w:lang w:val="en-US"/>
        </w:rPr>
        <w:t xml:space="preserve"> it is useful to know the truth criteria for </w:t>
      </w:r>
      <w:r w:rsidR="0066297B" w:rsidRPr="004B465B">
        <w:rPr>
          <w:lang w:val="en-US"/>
        </w:rPr>
        <w:lastRenderedPageBreak/>
        <w:t xml:space="preserve">category membership; </w:t>
      </w:r>
      <w:r w:rsidR="001A35A0" w:rsidRPr="004B465B">
        <w:rPr>
          <w:lang w:val="en-US"/>
        </w:rPr>
        <w:t>categories help</w:t>
      </w:r>
      <w:r w:rsidR="0066297B" w:rsidRPr="004B465B">
        <w:rPr>
          <w:lang w:val="en-US"/>
        </w:rPr>
        <w:t xml:space="preserve"> us to simplify the world around us. In other cases, perhaps</w:t>
      </w:r>
      <w:r w:rsidR="001A35A0" w:rsidRPr="004B465B">
        <w:rPr>
          <w:lang w:val="en-US"/>
        </w:rPr>
        <w:t>,</w:t>
      </w:r>
      <w:r w:rsidR="0066297B" w:rsidRPr="004B465B">
        <w:rPr>
          <w:lang w:val="en-US"/>
        </w:rPr>
        <w:t xml:space="preserve"> </w:t>
      </w:r>
      <w:r w:rsidR="001A35A0" w:rsidRPr="004B465B">
        <w:rPr>
          <w:lang w:val="en-US"/>
        </w:rPr>
        <w:t>this may not be so adaptive</w:t>
      </w:r>
      <w:r w:rsidR="0066297B" w:rsidRPr="004B465B">
        <w:rPr>
          <w:lang w:val="en-US"/>
        </w:rPr>
        <w:t xml:space="preserve">. </w:t>
      </w:r>
      <w:r w:rsidR="00C906E2" w:rsidRPr="004B465B">
        <w:rPr>
          <w:lang w:val="en-US"/>
        </w:rPr>
        <w:t xml:space="preserve">For example, I might think that a key feature of </w:t>
      </w:r>
      <w:r w:rsidR="00D641BE" w:rsidRPr="004B465B">
        <w:rPr>
          <w:lang w:val="en-US"/>
        </w:rPr>
        <w:t xml:space="preserve">what it means to be a </w:t>
      </w:r>
      <w:r w:rsidR="0066297B" w:rsidRPr="004B465B">
        <w:rPr>
          <w:lang w:val="en-US"/>
        </w:rPr>
        <w:t>RAEF</w:t>
      </w:r>
      <w:r w:rsidR="00C906E2" w:rsidRPr="004B465B">
        <w:rPr>
          <w:lang w:val="en-US"/>
        </w:rPr>
        <w:t xml:space="preserve"> (superordinate group) is that they </w:t>
      </w:r>
      <w:r w:rsidR="0066297B" w:rsidRPr="004B465B">
        <w:rPr>
          <w:lang w:val="en-US"/>
        </w:rPr>
        <w:t xml:space="preserve">have </w:t>
      </w:r>
      <w:r w:rsidR="005A3B9D" w:rsidRPr="004B465B">
        <w:rPr>
          <w:lang w:val="en-US"/>
        </w:rPr>
        <w:t>DOB</w:t>
      </w:r>
      <w:r w:rsidR="0066297B" w:rsidRPr="004B465B">
        <w:rPr>
          <w:lang w:val="en-US"/>
        </w:rPr>
        <w:t>s</w:t>
      </w:r>
      <w:r w:rsidR="00C906E2" w:rsidRPr="004B465B">
        <w:rPr>
          <w:lang w:val="en-US"/>
        </w:rPr>
        <w:t xml:space="preserve">. Then I might hear about individual </w:t>
      </w:r>
      <w:r w:rsidR="0066297B" w:rsidRPr="004B465B">
        <w:rPr>
          <w:lang w:val="en-US"/>
        </w:rPr>
        <w:t>RAEF</w:t>
      </w:r>
      <w:r w:rsidR="00C906E2" w:rsidRPr="004B465B">
        <w:rPr>
          <w:lang w:val="en-US"/>
        </w:rPr>
        <w:t xml:space="preserve">s (named Jeff, Toby, and Ben): Ben </w:t>
      </w:r>
      <w:r w:rsidR="005A3B9D" w:rsidRPr="004B465B">
        <w:rPr>
          <w:lang w:val="en-US"/>
        </w:rPr>
        <w:t>explains things condescend</w:t>
      </w:r>
      <w:r w:rsidR="00C906E2" w:rsidRPr="004B465B">
        <w:rPr>
          <w:lang w:val="en-US"/>
        </w:rPr>
        <w:t xml:space="preserve">ingly; Toby is unfaithful to his </w:t>
      </w:r>
      <w:r w:rsidR="0066297B" w:rsidRPr="004B465B">
        <w:rPr>
          <w:lang w:val="en-US"/>
        </w:rPr>
        <w:t>partner</w:t>
      </w:r>
      <w:r w:rsidR="00C906E2" w:rsidRPr="004B465B">
        <w:rPr>
          <w:lang w:val="en-US"/>
        </w:rPr>
        <w:t xml:space="preserve">; Ben </w:t>
      </w:r>
      <w:r w:rsidR="00D641BE" w:rsidRPr="004B465B">
        <w:rPr>
          <w:lang w:val="en-US"/>
        </w:rPr>
        <w:t>is prejudiced against non-</w:t>
      </w:r>
      <w:r w:rsidR="0066297B" w:rsidRPr="004B465B">
        <w:rPr>
          <w:lang w:val="en-US"/>
        </w:rPr>
        <w:t>RAEF</w:t>
      </w:r>
      <w:r w:rsidR="00D641BE" w:rsidRPr="004B465B">
        <w:rPr>
          <w:lang w:val="en-US"/>
        </w:rPr>
        <w:t>s. Being mean and undesirable is common across</w:t>
      </w:r>
      <w:r w:rsidR="008201BF" w:rsidRPr="004B465B">
        <w:rPr>
          <w:lang w:val="en-US"/>
        </w:rPr>
        <w:t xml:space="preserve"> Jeff, Toby, and Ben, and so it i</w:t>
      </w:r>
      <w:r w:rsidR="00D641BE" w:rsidRPr="004B465B">
        <w:rPr>
          <w:lang w:val="en-US"/>
        </w:rPr>
        <w:t>s possible that individuals transform the functions of groups</w:t>
      </w:r>
      <w:r w:rsidR="001A35A0" w:rsidRPr="004B465B">
        <w:rPr>
          <w:lang w:val="en-US"/>
        </w:rPr>
        <w:t xml:space="preserve"> for the worse</w:t>
      </w:r>
      <w:r w:rsidR="00D641BE" w:rsidRPr="004B465B">
        <w:rPr>
          <w:lang w:val="en-US"/>
        </w:rPr>
        <w:t>. In other words, I might now generali</w:t>
      </w:r>
      <w:r w:rsidR="003A5D17" w:rsidRPr="004B465B">
        <w:rPr>
          <w:lang w:val="en-US"/>
        </w:rPr>
        <w:t>z</w:t>
      </w:r>
      <w:r w:rsidR="00D641BE" w:rsidRPr="004B465B">
        <w:rPr>
          <w:lang w:val="en-US"/>
        </w:rPr>
        <w:t xml:space="preserve">e from these </w:t>
      </w:r>
      <w:r w:rsidR="001A35A0" w:rsidRPr="004B465B">
        <w:rPr>
          <w:lang w:val="en-US"/>
        </w:rPr>
        <w:t xml:space="preserve">exceptional </w:t>
      </w:r>
      <w:r w:rsidR="00D641BE" w:rsidRPr="004B465B">
        <w:rPr>
          <w:lang w:val="en-US"/>
        </w:rPr>
        <w:t xml:space="preserve">exemplars to say that </w:t>
      </w:r>
      <w:r w:rsidR="0066297B" w:rsidRPr="004B465B">
        <w:rPr>
          <w:lang w:val="en-US"/>
        </w:rPr>
        <w:t>RAEF</w:t>
      </w:r>
      <w:r w:rsidR="00D641BE" w:rsidRPr="004B465B">
        <w:rPr>
          <w:lang w:val="en-US"/>
        </w:rPr>
        <w:t>s are mean-spirited</w:t>
      </w:r>
      <w:r w:rsidR="005A3B9D" w:rsidRPr="004B465B">
        <w:rPr>
          <w:lang w:val="en-US"/>
        </w:rPr>
        <w:t xml:space="preserve"> (or worse)</w:t>
      </w:r>
      <w:r w:rsidR="00D641BE" w:rsidRPr="004B465B">
        <w:rPr>
          <w:lang w:val="en-US"/>
        </w:rPr>
        <w:t xml:space="preserve">, and </w:t>
      </w:r>
      <w:r w:rsidR="0066297B" w:rsidRPr="004B465B">
        <w:rPr>
          <w:lang w:val="en-US"/>
        </w:rPr>
        <w:t xml:space="preserve">conclude that </w:t>
      </w:r>
      <w:r w:rsidR="00D641BE" w:rsidRPr="004B465B">
        <w:rPr>
          <w:lang w:val="en-US"/>
        </w:rPr>
        <w:t>we need to create quotas of non-</w:t>
      </w:r>
      <w:r w:rsidR="0066297B" w:rsidRPr="004B465B">
        <w:rPr>
          <w:lang w:val="en-US"/>
        </w:rPr>
        <w:t>RAEF</w:t>
      </w:r>
      <w:r w:rsidR="00D641BE" w:rsidRPr="004B465B">
        <w:rPr>
          <w:lang w:val="en-US"/>
        </w:rPr>
        <w:t xml:space="preserve">s to keep them in check. The problem here would be that </w:t>
      </w:r>
      <w:r w:rsidR="0066297B" w:rsidRPr="004B465B">
        <w:rPr>
          <w:lang w:val="en-US"/>
        </w:rPr>
        <w:t xml:space="preserve">any person who has a </w:t>
      </w:r>
      <w:r w:rsidR="005A3B9D" w:rsidRPr="004B465B">
        <w:rPr>
          <w:lang w:val="en-US"/>
        </w:rPr>
        <w:t>DOB</w:t>
      </w:r>
      <w:r w:rsidR="0066297B" w:rsidRPr="004B465B">
        <w:rPr>
          <w:lang w:val="en-US"/>
        </w:rPr>
        <w:t xml:space="preserve"> and</w:t>
      </w:r>
      <w:r w:rsidR="003A5D17" w:rsidRPr="004B465B">
        <w:rPr>
          <w:lang w:val="en-US"/>
        </w:rPr>
        <w:t>,</w:t>
      </w:r>
      <w:r w:rsidR="0066297B" w:rsidRPr="004B465B">
        <w:rPr>
          <w:lang w:val="en-US"/>
        </w:rPr>
        <w:t xml:space="preserve"> </w:t>
      </w:r>
      <w:r w:rsidR="001A35A0" w:rsidRPr="004B465B">
        <w:rPr>
          <w:lang w:val="en-US"/>
        </w:rPr>
        <w:t>therefore</w:t>
      </w:r>
      <w:r w:rsidR="003A5D17" w:rsidRPr="004B465B">
        <w:rPr>
          <w:lang w:val="en-US"/>
        </w:rPr>
        <w:t>,</w:t>
      </w:r>
      <w:r w:rsidR="001A35A0" w:rsidRPr="004B465B">
        <w:rPr>
          <w:lang w:val="en-US"/>
        </w:rPr>
        <w:t xml:space="preserve"> </w:t>
      </w:r>
      <w:r w:rsidR="0066297B" w:rsidRPr="004B465B">
        <w:rPr>
          <w:lang w:val="en-US"/>
        </w:rPr>
        <w:t>fits into the category “RAEF</w:t>
      </w:r>
      <w:r w:rsidR="00530AB1">
        <w:rPr>
          <w:lang w:val="en-US"/>
        </w:rPr>
        <w:t>,</w:t>
      </w:r>
      <w:r w:rsidR="0066297B" w:rsidRPr="004B465B">
        <w:rPr>
          <w:lang w:val="en-US"/>
        </w:rPr>
        <w:t>” or demonstrates any other</w:t>
      </w:r>
      <w:r w:rsidR="001A35A0" w:rsidRPr="004B465B">
        <w:rPr>
          <w:lang w:val="en-US"/>
        </w:rPr>
        <w:t>wise advantageous</w:t>
      </w:r>
      <w:r w:rsidR="0066297B" w:rsidRPr="004B465B">
        <w:rPr>
          <w:lang w:val="en-US"/>
        </w:rPr>
        <w:t xml:space="preserve"> trait associated with being RAEF</w:t>
      </w:r>
      <w:r w:rsidR="001A35A0" w:rsidRPr="004B465B">
        <w:rPr>
          <w:lang w:val="en-US"/>
        </w:rPr>
        <w:t>-like</w:t>
      </w:r>
      <w:r w:rsidR="0066297B" w:rsidRPr="004B465B">
        <w:rPr>
          <w:lang w:val="en-US"/>
        </w:rPr>
        <w:t>,</w:t>
      </w:r>
      <w:r w:rsidR="00D641BE" w:rsidRPr="004B465B">
        <w:rPr>
          <w:lang w:val="en-US"/>
        </w:rPr>
        <w:t xml:space="preserve"> may be stereotyped as being like Jeff, Toby, and Ben</w:t>
      </w:r>
      <w:r w:rsidR="0033609B" w:rsidRPr="004B465B">
        <w:rPr>
          <w:lang w:val="en-US"/>
        </w:rPr>
        <w:t>. This</w:t>
      </w:r>
      <w:r w:rsidR="0066297B" w:rsidRPr="004B465B">
        <w:rPr>
          <w:lang w:val="en-US"/>
        </w:rPr>
        <w:t xml:space="preserve"> would be a logical non</w:t>
      </w:r>
      <w:r w:rsidR="00530AB1">
        <w:rPr>
          <w:lang w:val="en-US"/>
        </w:rPr>
        <w:t xml:space="preserve"> </w:t>
      </w:r>
      <w:r w:rsidR="0066297B" w:rsidRPr="004B465B">
        <w:rPr>
          <w:lang w:val="en-US"/>
        </w:rPr>
        <w:t>sequitur</w:t>
      </w:r>
      <w:r w:rsidR="001A35A0" w:rsidRPr="004B465B">
        <w:rPr>
          <w:lang w:val="en-US"/>
        </w:rPr>
        <w:t>, and potentially obscure the fact that, in some contexts, it’s good to be RAEF-like</w:t>
      </w:r>
      <w:r w:rsidR="00D641BE" w:rsidRPr="004B465B">
        <w:rPr>
          <w:lang w:val="en-US"/>
        </w:rPr>
        <w:t>.</w:t>
      </w:r>
      <w:r w:rsidR="005A3B9D" w:rsidRPr="004B465B">
        <w:rPr>
          <w:lang w:val="en-US"/>
        </w:rPr>
        <w:t xml:space="preserve"> If the hypothesis in the notation above were to be rejected in an experiment</w:t>
      </w:r>
      <w:r w:rsidR="002249DE" w:rsidRPr="004B465B">
        <w:rPr>
          <w:lang w:val="en-US"/>
        </w:rPr>
        <w:t xml:space="preserve"> (i.e., if </w:t>
      </w:r>
      <w:r w:rsidR="00051DFD" w:rsidRPr="004B465B">
        <w:rPr>
          <w:lang w:val="en-US"/>
        </w:rPr>
        <w:t>participants</w:t>
      </w:r>
      <w:r w:rsidR="002249DE" w:rsidRPr="004B465B">
        <w:rPr>
          <w:lang w:val="en-US"/>
        </w:rPr>
        <w:t xml:space="preserve"> derived functions of a category that don’t generally apply</w:t>
      </w:r>
      <w:r w:rsidR="00051DFD" w:rsidRPr="004B465B">
        <w:rPr>
          <w:lang w:val="en-US"/>
        </w:rPr>
        <w:t xml:space="preserve"> to it</w:t>
      </w:r>
      <w:r w:rsidR="002249DE" w:rsidRPr="004B465B">
        <w:rPr>
          <w:lang w:val="en-US"/>
        </w:rPr>
        <w:t>)</w:t>
      </w:r>
      <w:r w:rsidR="005A3B9D" w:rsidRPr="004B465B">
        <w:rPr>
          <w:lang w:val="en-US"/>
        </w:rPr>
        <w:t xml:space="preserve">, </w:t>
      </w:r>
      <w:r w:rsidR="00051DFD" w:rsidRPr="004B465B">
        <w:rPr>
          <w:lang w:val="en-US"/>
        </w:rPr>
        <w:t>the errors</w:t>
      </w:r>
      <w:r w:rsidR="002249DE" w:rsidRPr="004B465B">
        <w:rPr>
          <w:lang w:val="en-US"/>
        </w:rPr>
        <w:t xml:space="preserve"> may be indicative of a deficit in hierarchical AARR abilities</w:t>
      </w:r>
      <w:r w:rsidR="00051DFD" w:rsidRPr="004B465B">
        <w:rPr>
          <w:lang w:val="en-US"/>
        </w:rPr>
        <w:t>, and so training these generalizable patterns of behavior could be justified</w:t>
      </w:r>
      <w:r w:rsidR="005A3B9D" w:rsidRPr="004B465B">
        <w:rPr>
          <w:lang w:val="en-US"/>
        </w:rPr>
        <w:t>.</w:t>
      </w:r>
      <w:r w:rsidR="00051DFD" w:rsidRPr="004B465B">
        <w:rPr>
          <w:lang w:val="en-US"/>
        </w:rPr>
        <w:t xml:space="preserve"> Indeed, t</w:t>
      </w:r>
      <w:r w:rsidR="002249DE" w:rsidRPr="004B465B">
        <w:rPr>
          <w:lang w:val="en-US"/>
        </w:rPr>
        <w:t xml:space="preserve">here are precedents in the literature for training both simple AARR (e.g., Cassidy et al., 2011) and more complex </w:t>
      </w:r>
      <w:r w:rsidR="00051DFD" w:rsidRPr="004B465B">
        <w:rPr>
          <w:lang w:val="en-US"/>
        </w:rPr>
        <w:t xml:space="preserve">AARR </w:t>
      </w:r>
      <w:r w:rsidR="002249DE" w:rsidRPr="004B465B">
        <w:rPr>
          <w:lang w:val="en-US"/>
        </w:rPr>
        <w:t xml:space="preserve">repertoires (e.g., </w:t>
      </w:r>
      <w:r w:rsidR="00051DFD" w:rsidRPr="004B465B">
        <w:rPr>
          <w:lang w:val="en-US"/>
        </w:rPr>
        <w:t>McLoughlin, Tyndall, &amp; Pereira,</w:t>
      </w:r>
      <w:r w:rsidR="00173F3E" w:rsidRPr="004B465B">
        <w:rPr>
          <w:lang w:val="en-US"/>
        </w:rPr>
        <w:t xml:space="preserve"> 2018;</w:t>
      </w:r>
      <w:r w:rsidR="00051DFD" w:rsidRPr="004B465B">
        <w:rPr>
          <w:lang w:val="en-US"/>
        </w:rPr>
        <w:t xml:space="preserve"> see also Guinther, 2018).</w:t>
      </w:r>
    </w:p>
    <w:p w14:paraId="5627B3FB" w14:textId="77777777" w:rsidR="00075CBD" w:rsidRPr="004B465B" w:rsidRDefault="00075CBD" w:rsidP="00075CBD">
      <w:pPr>
        <w:pStyle w:val="BodyText"/>
        <w:tabs>
          <w:tab w:val="clear" w:pos="8640"/>
        </w:tabs>
        <w:rPr>
          <w:lang w:val="en-US"/>
        </w:rPr>
      </w:pPr>
      <w:r w:rsidRPr="004B465B">
        <w:rPr>
          <w:lang w:val="en-US"/>
        </w:rPr>
        <w:t xml:space="preserve">We may also refine more basic assumptions using empirical tests. For example, does transformation of stimulus functions always happen as expected across a combinatorial relation? It is possible to conceive of an instance when it </w:t>
      </w:r>
      <w:r w:rsidR="00263AE8" w:rsidRPr="004B465B">
        <w:rPr>
          <w:lang w:val="en-US"/>
        </w:rPr>
        <w:t>does</w:t>
      </w:r>
      <w:r w:rsidRPr="004B465B">
        <w:rPr>
          <w:lang w:val="en-US"/>
        </w:rPr>
        <w:t xml:space="preserve"> not. </w:t>
      </w:r>
    </w:p>
    <w:p w14:paraId="4C30855D" w14:textId="77777777" w:rsidR="00075CBD" w:rsidRPr="004B465B" w:rsidRDefault="00075CBD" w:rsidP="00CE2D85">
      <w:pPr>
        <w:pStyle w:val="BodyText"/>
        <w:tabs>
          <w:tab w:val="clear" w:pos="8640"/>
        </w:tabs>
        <w:ind w:firstLine="0"/>
        <w:jc w:val="center"/>
        <w:outlineLvl w:val="0"/>
        <w:rPr>
          <w:lang w:val="en-US"/>
        </w:rPr>
      </w:pPr>
      <w:r w:rsidRPr="004B465B">
        <w:rPr>
          <w:lang w:val="en-US"/>
        </w:rPr>
        <w:t>C</w:t>
      </w:r>
      <w:r w:rsidRPr="004B465B">
        <w:rPr>
          <w:vertAlign w:val="subscript"/>
          <w:lang w:val="en-US"/>
        </w:rPr>
        <w:t>rel</w:t>
      </w:r>
      <w:r w:rsidRPr="004B465B">
        <w:rPr>
          <w:lang w:val="en-US"/>
        </w:rPr>
        <w:t xml:space="preserve"> (A r</w:t>
      </w:r>
      <w:r w:rsidRPr="004B465B">
        <w:rPr>
          <w:vertAlign w:val="subscript"/>
          <w:lang w:val="en-US"/>
        </w:rPr>
        <w:t>x</w:t>
      </w:r>
      <w:r w:rsidRPr="004B465B">
        <w:rPr>
          <w:lang w:val="en-US"/>
        </w:rPr>
        <w:t xml:space="preserve"> B); (B r</w:t>
      </w:r>
      <w:r w:rsidRPr="004B465B">
        <w:rPr>
          <w:vertAlign w:val="subscript"/>
          <w:lang w:val="en-US"/>
        </w:rPr>
        <w:t>x</w:t>
      </w:r>
      <w:r w:rsidRPr="004B465B">
        <w:rPr>
          <w:lang w:val="en-US"/>
        </w:rPr>
        <w:t xml:space="preserve"> C) ||| (A r</w:t>
      </w:r>
      <w:r w:rsidRPr="004B465B">
        <w:rPr>
          <w:vertAlign w:val="subscript"/>
          <w:lang w:val="en-US"/>
        </w:rPr>
        <w:t>x</w:t>
      </w:r>
      <w:r w:rsidRPr="004B465B">
        <w:rPr>
          <w:lang w:val="en-US"/>
        </w:rPr>
        <w:t xml:space="preserve"> C); (C r</w:t>
      </w:r>
      <w:r w:rsidRPr="004B465B">
        <w:rPr>
          <w:vertAlign w:val="subscript"/>
          <w:lang w:val="en-US"/>
        </w:rPr>
        <w:t>y</w:t>
      </w:r>
      <w:r w:rsidRPr="004B465B">
        <w:rPr>
          <w:lang w:val="en-US"/>
        </w:rPr>
        <w:t xml:space="preserve"> A)</w:t>
      </w:r>
    </w:p>
    <w:p w14:paraId="7C79312D" w14:textId="77777777" w:rsidR="00075CBD" w:rsidRPr="004B465B" w:rsidRDefault="00075CBD" w:rsidP="00075CBD">
      <w:pPr>
        <w:pStyle w:val="BodyText"/>
        <w:tabs>
          <w:tab w:val="clear" w:pos="8640"/>
        </w:tabs>
        <w:rPr>
          <w:lang w:val="en-US"/>
        </w:rPr>
      </w:pPr>
      <w:r w:rsidRPr="004B465B">
        <w:rPr>
          <w:lang w:val="en-US"/>
        </w:rPr>
        <w:lastRenderedPageBreak/>
        <w:t>In the above account of combinatorial entailment, the relation between A and B (r</w:t>
      </w:r>
      <w:r w:rsidRPr="004B465B">
        <w:rPr>
          <w:vertAlign w:val="subscript"/>
          <w:lang w:val="en-US"/>
        </w:rPr>
        <w:t>x</w:t>
      </w:r>
      <w:r w:rsidRPr="004B465B">
        <w:rPr>
          <w:lang w:val="en-US"/>
        </w:rPr>
        <w:t>) is the same as the B:C relation. This entails that the A:C relation should be the same as the A:B and B:C relations, apart from by order of magnitude. However, as has been shown, a relationship may be transitive or intransitive, and combinatorial entailment should only occur in the former. Perhaps this explains why some participants do not</w:t>
      </w:r>
      <w:r w:rsidR="00263AE8" w:rsidRPr="004B465B">
        <w:rPr>
          <w:lang w:val="en-US"/>
        </w:rPr>
        <w:t xml:space="preserve"> always</w:t>
      </w:r>
      <w:r w:rsidRPr="004B465B">
        <w:rPr>
          <w:lang w:val="en-US"/>
        </w:rPr>
        <w:t xml:space="preserve"> combinatorially entail in studies of this nature (e.g.</w:t>
      </w:r>
      <w:r w:rsidR="000C472F" w:rsidRPr="004B465B">
        <w:rPr>
          <w:lang w:val="en-US"/>
        </w:rPr>
        <w:t>,</w:t>
      </w:r>
      <w:r w:rsidRPr="004B465B">
        <w:rPr>
          <w:lang w:val="en-US"/>
        </w:rPr>
        <w:t xml:space="preserve"> Quinones &amp; Hayes, 2014). A future experiment could examine whether participants could be influenced to treat relationships as transitive or intransitive. For example, participants could be repeatedly trained on relationships such as:</w:t>
      </w:r>
    </w:p>
    <w:p w14:paraId="506076DE" w14:textId="77777777" w:rsidR="00075CBD" w:rsidRPr="004B465B" w:rsidRDefault="00075CBD" w:rsidP="00075CBD">
      <w:pPr>
        <w:pStyle w:val="BodyText"/>
        <w:tabs>
          <w:tab w:val="clear" w:pos="8640"/>
        </w:tabs>
        <w:ind w:firstLine="0"/>
        <w:jc w:val="center"/>
        <w:rPr>
          <w:lang w:val="en-US"/>
        </w:rPr>
      </w:pPr>
      <w:r w:rsidRPr="004B465B">
        <w:rPr>
          <w:lang w:val="en-US"/>
        </w:rPr>
        <w:t>C</w:t>
      </w:r>
      <w:r w:rsidRPr="004B465B">
        <w:rPr>
          <w:vertAlign w:val="subscript"/>
          <w:lang w:val="en-US"/>
        </w:rPr>
        <w:t>rel</w:t>
      </w:r>
      <w:r w:rsidRPr="004B465B">
        <w:rPr>
          <w:lang w:val="en-US"/>
        </w:rPr>
        <w:t xml:space="preserve"> (A r</w:t>
      </w:r>
      <w:r w:rsidRPr="004B465B">
        <w:rPr>
          <w:vertAlign w:val="subscript"/>
          <w:lang w:val="en-US"/>
        </w:rPr>
        <w:t>xa</w:t>
      </w:r>
      <w:r w:rsidRPr="004B465B">
        <w:rPr>
          <w:lang w:val="en-US"/>
        </w:rPr>
        <w:t xml:space="preserve"> B); (B r</w:t>
      </w:r>
      <w:r w:rsidRPr="004B465B">
        <w:rPr>
          <w:vertAlign w:val="subscript"/>
          <w:lang w:val="en-US"/>
        </w:rPr>
        <w:t>xa</w:t>
      </w:r>
      <w:r w:rsidRPr="004B465B">
        <w:rPr>
          <w:lang w:val="en-US"/>
        </w:rPr>
        <w:t xml:space="preserve"> C) ||| /(A r</w:t>
      </w:r>
      <w:r w:rsidRPr="004B465B">
        <w:rPr>
          <w:vertAlign w:val="subscript"/>
          <w:lang w:val="en-US"/>
        </w:rPr>
        <w:t xml:space="preserve">x </w:t>
      </w:r>
      <w:r w:rsidRPr="004B465B">
        <w:rPr>
          <w:lang w:val="en-US"/>
        </w:rPr>
        <w:t>C)</w:t>
      </w:r>
    </w:p>
    <w:p w14:paraId="1FBD15AA" w14:textId="77777777" w:rsidR="00263AE8" w:rsidRPr="004B465B" w:rsidRDefault="00263AE8" w:rsidP="00075CBD">
      <w:pPr>
        <w:pStyle w:val="BodyText"/>
        <w:tabs>
          <w:tab w:val="clear" w:pos="8640"/>
        </w:tabs>
        <w:ind w:firstLine="0"/>
        <w:jc w:val="center"/>
        <w:rPr>
          <w:lang w:val="en-US"/>
        </w:rPr>
      </w:pPr>
      <w:r w:rsidRPr="004B465B">
        <w:rPr>
          <w:lang w:val="en-US"/>
        </w:rPr>
        <w:t>or</w:t>
      </w:r>
    </w:p>
    <w:p w14:paraId="33F4EDA1" w14:textId="77777777" w:rsidR="00075CBD" w:rsidRPr="004B465B" w:rsidRDefault="00075CBD" w:rsidP="00075CBD">
      <w:pPr>
        <w:pStyle w:val="BodyText"/>
        <w:tabs>
          <w:tab w:val="clear" w:pos="8640"/>
        </w:tabs>
        <w:ind w:firstLine="0"/>
        <w:jc w:val="center"/>
        <w:rPr>
          <w:lang w:val="en-US"/>
        </w:rPr>
      </w:pPr>
      <w:r w:rsidRPr="004B465B">
        <w:rPr>
          <w:lang w:val="en-US"/>
        </w:rPr>
        <w:t>C</w:t>
      </w:r>
      <w:r w:rsidRPr="004B465B">
        <w:rPr>
          <w:vertAlign w:val="subscript"/>
          <w:lang w:val="en-US"/>
        </w:rPr>
        <w:t>rel</w:t>
      </w:r>
      <w:r w:rsidRPr="004B465B">
        <w:rPr>
          <w:lang w:val="en-US"/>
        </w:rPr>
        <w:t xml:space="preserve"> (A r</w:t>
      </w:r>
      <w:r w:rsidRPr="004B465B">
        <w:rPr>
          <w:vertAlign w:val="subscript"/>
          <w:lang w:val="en-US"/>
        </w:rPr>
        <w:t>xi</w:t>
      </w:r>
      <w:r w:rsidRPr="004B465B">
        <w:rPr>
          <w:lang w:val="en-US"/>
        </w:rPr>
        <w:t xml:space="preserve"> B); (B r</w:t>
      </w:r>
      <w:r w:rsidRPr="004B465B">
        <w:rPr>
          <w:vertAlign w:val="subscript"/>
          <w:lang w:val="en-US"/>
        </w:rPr>
        <w:t>xi</w:t>
      </w:r>
      <w:r w:rsidRPr="004B465B">
        <w:rPr>
          <w:lang w:val="en-US"/>
        </w:rPr>
        <w:t xml:space="preserve"> C) |||</w:t>
      </w:r>
    </w:p>
    <w:p w14:paraId="564D0F48" w14:textId="77777777" w:rsidR="00075CBD" w:rsidRPr="004B465B" w:rsidRDefault="00075CBD" w:rsidP="00075CBD">
      <w:pPr>
        <w:pStyle w:val="BodyText"/>
        <w:tabs>
          <w:tab w:val="clear" w:pos="8640"/>
        </w:tabs>
        <w:rPr>
          <w:lang w:val="en-US"/>
        </w:rPr>
      </w:pPr>
      <w:r w:rsidRPr="004B465B">
        <w:rPr>
          <w:lang w:val="en-US"/>
        </w:rPr>
        <w:t xml:space="preserve">If participants could be so influenced, it may be possible to train participants not to combinatorially entail so readily, which would lead to </w:t>
      </w:r>
      <w:r w:rsidR="00653556" w:rsidRPr="004B465B">
        <w:rPr>
          <w:lang w:val="en-US"/>
        </w:rPr>
        <w:t xml:space="preserve">patterns of </w:t>
      </w:r>
      <w:r w:rsidRPr="004B465B">
        <w:rPr>
          <w:lang w:val="en-US"/>
        </w:rPr>
        <w:t xml:space="preserve">relational </w:t>
      </w:r>
      <w:r w:rsidR="00653556" w:rsidRPr="004B465B">
        <w:rPr>
          <w:lang w:val="en-US"/>
        </w:rPr>
        <w:t xml:space="preserve">framing </w:t>
      </w:r>
      <w:r w:rsidRPr="004B465B">
        <w:rPr>
          <w:lang w:val="en-US"/>
        </w:rPr>
        <w:t xml:space="preserve">that are </w:t>
      </w:r>
      <w:r w:rsidR="00653556" w:rsidRPr="004B465B">
        <w:rPr>
          <w:lang w:val="en-US"/>
        </w:rPr>
        <w:t>more selectively applied</w:t>
      </w:r>
      <w:r w:rsidRPr="004B465B">
        <w:rPr>
          <w:lang w:val="en-US"/>
        </w:rPr>
        <w:t>, and in doing so this could prevent the spread of negative stimulus functions through overgeneralization and reduce cognitive errors.</w:t>
      </w:r>
    </w:p>
    <w:p w14:paraId="6550162B" w14:textId="77777777" w:rsidR="00075CBD" w:rsidRPr="004B465B" w:rsidRDefault="00051DFD" w:rsidP="00CE2D85">
      <w:pPr>
        <w:pStyle w:val="BodyText"/>
        <w:tabs>
          <w:tab w:val="clear" w:pos="8640"/>
        </w:tabs>
        <w:ind w:firstLine="0"/>
        <w:jc w:val="center"/>
        <w:outlineLvl w:val="0"/>
        <w:rPr>
          <w:b/>
          <w:lang w:val="en-US"/>
        </w:rPr>
      </w:pPr>
      <w:r w:rsidRPr="004B465B">
        <w:rPr>
          <w:b/>
          <w:lang w:val="en-US"/>
        </w:rPr>
        <w:t>Concluding Remarks</w:t>
      </w:r>
    </w:p>
    <w:p w14:paraId="4C6F67BB" w14:textId="79A6A521" w:rsidR="00AB3021" w:rsidRPr="004B465B" w:rsidRDefault="00075CBD" w:rsidP="00075CBD">
      <w:pPr>
        <w:pStyle w:val="BodyText"/>
        <w:tabs>
          <w:tab w:val="clear" w:pos="8640"/>
        </w:tabs>
        <w:rPr>
          <w:lang w:val="en-US"/>
        </w:rPr>
      </w:pPr>
      <w:r w:rsidRPr="004B465B">
        <w:rPr>
          <w:lang w:val="en-US"/>
        </w:rPr>
        <w:t xml:space="preserve">Of the few </w:t>
      </w:r>
      <w:r w:rsidRPr="004B465B">
        <w:rPr>
          <w:i/>
          <w:lang w:val="en-US"/>
        </w:rPr>
        <w:t>principles</w:t>
      </w:r>
      <w:r w:rsidRPr="004B465B">
        <w:rPr>
          <w:lang w:val="en-US"/>
        </w:rPr>
        <w:t xml:space="preserve"> in psychology, behavioral selection by consequences is arguably the most fundamental offered by the field. </w:t>
      </w:r>
      <w:r w:rsidR="000C472F" w:rsidRPr="004B465B">
        <w:rPr>
          <w:lang w:val="en-US"/>
        </w:rPr>
        <w:t>There appears to be somewhat of a c</w:t>
      </w:r>
      <w:r w:rsidRPr="004B465B">
        <w:rPr>
          <w:lang w:val="en-US"/>
        </w:rPr>
        <w:t>onverging consensus from various fields, including behavioral psychology (Hayes et al., 2001), cognitive psychology (Halford</w:t>
      </w:r>
      <w:r w:rsidR="00831061" w:rsidRPr="004B465B">
        <w:rPr>
          <w:lang w:val="en-US"/>
        </w:rPr>
        <w:t>,</w:t>
      </w:r>
      <w:r w:rsidRPr="004B465B">
        <w:rPr>
          <w:lang w:val="en-US"/>
        </w:rPr>
        <w:t xml:space="preserve"> </w:t>
      </w:r>
      <w:r w:rsidR="00831061" w:rsidRPr="004B465B">
        <w:rPr>
          <w:lang w:val="en-US"/>
        </w:rPr>
        <w:t>Wilson, &amp; Phillips,</w:t>
      </w:r>
      <w:r w:rsidRPr="004B465B">
        <w:rPr>
          <w:lang w:val="en-US"/>
        </w:rPr>
        <w:t xml:space="preserve"> 2010)</w:t>
      </w:r>
      <w:r w:rsidR="006116EC">
        <w:rPr>
          <w:lang w:val="en-US"/>
        </w:rPr>
        <w:t>,</w:t>
      </w:r>
      <w:r w:rsidRPr="004B465B">
        <w:rPr>
          <w:lang w:val="en-US"/>
        </w:rPr>
        <w:t xml:space="preserve"> and linguistics (Garcia, 2015), </w:t>
      </w:r>
      <w:r w:rsidR="00842AD4" w:rsidRPr="004B465B">
        <w:rPr>
          <w:lang w:val="en-US"/>
        </w:rPr>
        <w:t>that</w:t>
      </w:r>
      <w:r w:rsidR="000C472F" w:rsidRPr="004B465B">
        <w:rPr>
          <w:lang w:val="en-US"/>
        </w:rPr>
        <w:t xml:space="preserve"> </w:t>
      </w:r>
      <w:r w:rsidRPr="004B465B">
        <w:rPr>
          <w:lang w:val="en-US"/>
        </w:rPr>
        <w:t>indicates that language and cognition are relational in nature, with increasingly complex language and cognition involving the utilization of progressively complex relational responses (see Barnes-Holmes et al., 2005; Cassidy et al., 2011</w:t>
      </w:r>
      <w:r w:rsidR="00831061" w:rsidRPr="004B465B">
        <w:rPr>
          <w:lang w:val="en-US"/>
        </w:rPr>
        <w:t>;</w:t>
      </w:r>
      <w:r w:rsidRPr="004B465B">
        <w:rPr>
          <w:lang w:val="en-US"/>
        </w:rPr>
        <w:t xml:space="preserve"> </w:t>
      </w:r>
      <w:r w:rsidR="00831061" w:rsidRPr="004B465B">
        <w:rPr>
          <w:lang w:val="en-US"/>
        </w:rPr>
        <w:t xml:space="preserve">Cassidy, Roche, Colbert, Stewart, &amp; Grey, </w:t>
      </w:r>
      <w:r w:rsidRPr="004B465B">
        <w:rPr>
          <w:lang w:val="en-US"/>
        </w:rPr>
        <w:t xml:space="preserve">2016; </w:t>
      </w:r>
      <w:r w:rsidRPr="004B465B">
        <w:rPr>
          <w:lang w:val="en-US"/>
        </w:rPr>
        <w:lastRenderedPageBreak/>
        <w:t>Hayes &amp; Stewart, 2016; Moran</w:t>
      </w:r>
      <w:r w:rsidR="000C472F" w:rsidRPr="004B465B">
        <w:rPr>
          <w:lang w:val="en-US"/>
        </w:rPr>
        <w:t>, Walsh, Stewart, McGhee, &amp; Ming</w:t>
      </w:r>
      <w:r w:rsidRPr="004B465B">
        <w:rPr>
          <w:lang w:val="en-US"/>
        </w:rPr>
        <w:t>, 2015; O’Hora</w:t>
      </w:r>
      <w:r w:rsidR="000C472F" w:rsidRPr="004B465B">
        <w:rPr>
          <w:lang w:val="en-US"/>
        </w:rPr>
        <w:t>, Barnes-Holmes, Roche, &amp; Smeets</w:t>
      </w:r>
      <w:r w:rsidRPr="004B465B">
        <w:rPr>
          <w:lang w:val="en-US"/>
        </w:rPr>
        <w:t>, 2004; Stewart, Barnes-Holmes, &amp; Roche, 2004).</w:t>
      </w:r>
      <w:r w:rsidR="00143BD7" w:rsidRPr="004B465B">
        <w:rPr>
          <w:lang w:val="en-US"/>
        </w:rPr>
        <w:t xml:space="preserve"> </w:t>
      </w:r>
      <w:r w:rsidR="00F74F1E" w:rsidRPr="004B465B">
        <w:rPr>
          <w:lang w:val="en-US"/>
        </w:rPr>
        <w:t xml:space="preserve">It should be acknowledged that </w:t>
      </w:r>
      <w:r w:rsidRPr="004B465B">
        <w:rPr>
          <w:lang w:val="en-US"/>
        </w:rPr>
        <w:t xml:space="preserve">RFT </w:t>
      </w:r>
      <w:r w:rsidR="00755B70" w:rsidRPr="004B465B">
        <w:rPr>
          <w:lang w:val="en-US"/>
        </w:rPr>
        <w:t>a</w:t>
      </w:r>
      <w:r w:rsidRPr="004B465B">
        <w:rPr>
          <w:lang w:val="en-US"/>
        </w:rPr>
        <w:t>s a functional-analytic account of human language and cognition</w:t>
      </w:r>
      <w:r w:rsidR="000C472F" w:rsidRPr="004B465B">
        <w:rPr>
          <w:lang w:val="en-US"/>
        </w:rPr>
        <w:t xml:space="preserve"> (Hayes &amp; Barnes, 1997)</w:t>
      </w:r>
      <w:r w:rsidRPr="004B465B">
        <w:rPr>
          <w:lang w:val="en-US"/>
        </w:rPr>
        <w:t xml:space="preserve"> has shed a considerable amount of light on complex relational processing in a relatively short period of time. As this field develops, it may become difficult to articulate hypotheses in-text as the kinds of </w:t>
      </w:r>
      <w:r w:rsidR="00755B70" w:rsidRPr="004B465B">
        <w:rPr>
          <w:lang w:val="en-US"/>
        </w:rPr>
        <w:t xml:space="preserve">high-level </w:t>
      </w:r>
      <w:r w:rsidRPr="004B465B">
        <w:rPr>
          <w:lang w:val="en-US"/>
        </w:rPr>
        <w:t>operant responses trained and tested incrementally become more complex.</w:t>
      </w:r>
    </w:p>
    <w:p w14:paraId="68EB514A" w14:textId="1EABCFEE" w:rsidR="00A72DF1" w:rsidRPr="004B465B" w:rsidRDefault="00075CBD" w:rsidP="00075CBD">
      <w:pPr>
        <w:pStyle w:val="BodyText"/>
        <w:tabs>
          <w:tab w:val="clear" w:pos="8640"/>
        </w:tabs>
        <w:rPr>
          <w:lang w:val="en-US"/>
        </w:rPr>
      </w:pPr>
      <w:r w:rsidRPr="004B465B">
        <w:rPr>
          <w:lang w:val="en-US"/>
        </w:rPr>
        <w:t xml:space="preserve">In this short </w:t>
      </w:r>
      <w:r w:rsidR="00FF10D5">
        <w:rPr>
          <w:lang w:val="en-US"/>
        </w:rPr>
        <w:t>article</w:t>
      </w:r>
      <w:r w:rsidRPr="004B465B">
        <w:rPr>
          <w:lang w:val="en-US"/>
        </w:rPr>
        <w:t>, we have proposed that the notation style appearing in early RFT literature may be useful in that regard. In addition, we have attempted to illustrate its utility using multiple exemplars and have provided a “key” (see Table</w:t>
      </w:r>
      <w:r w:rsidR="00831061" w:rsidRPr="004B465B">
        <w:rPr>
          <w:lang w:val="en-US"/>
        </w:rPr>
        <w:t xml:space="preserve">s </w:t>
      </w:r>
      <w:r w:rsidRPr="004B465B">
        <w:rPr>
          <w:lang w:val="en-US"/>
        </w:rPr>
        <w:t>1</w:t>
      </w:r>
      <w:r w:rsidR="00831061" w:rsidRPr="004B465B">
        <w:rPr>
          <w:lang w:val="en-US"/>
        </w:rPr>
        <w:t xml:space="preserve"> and</w:t>
      </w:r>
      <w:r w:rsidRPr="004B465B">
        <w:rPr>
          <w:lang w:val="en-US"/>
        </w:rPr>
        <w:t xml:space="preserve"> 2) regarding some useful </w:t>
      </w:r>
      <w:r w:rsidR="00653556" w:rsidRPr="004B465B">
        <w:rPr>
          <w:lang w:val="en-US"/>
        </w:rPr>
        <w:t xml:space="preserve">notation </w:t>
      </w:r>
      <w:r w:rsidRPr="004B465B">
        <w:rPr>
          <w:lang w:val="en-US"/>
        </w:rPr>
        <w:t>for formulating hypotheses for exploring AARR.</w:t>
      </w:r>
      <w:r w:rsidR="00C273F6" w:rsidRPr="004B465B">
        <w:rPr>
          <w:lang w:val="en-US"/>
        </w:rPr>
        <w:t xml:space="preserve"> </w:t>
      </w:r>
      <w:r w:rsidR="00B2025D">
        <w:rPr>
          <w:lang w:val="en-US"/>
        </w:rPr>
        <w:t>It is salient that</w:t>
      </w:r>
      <w:r w:rsidR="00C273F6" w:rsidRPr="004B465B">
        <w:rPr>
          <w:lang w:val="en-US"/>
        </w:rPr>
        <w:t xml:space="preserve"> the use of such notation might al</w:t>
      </w:r>
      <w:r w:rsidR="000C472F" w:rsidRPr="004B465B">
        <w:rPr>
          <w:lang w:val="en-US"/>
        </w:rPr>
        <w:t>s</w:t>
      </w:r>
      <w:r w:rsidR="00C273F6" w:rsidRPr="004B465B">
        <w:rPr>
          <w:lang w:val="en-US"/>
        </w:rPr>
        <w:t xml:space="preserve">o conceivably assist in the design of experiments that may help to counteract research that claims empirical findings in RFT studies can generally be accounted for by appealing to contextual control of equivalence relations alone (e.g., Sidman, 1994; </w:t>
      </w:r>
      <w:r w:rsidR="009A07C8" w:rsidRPr="004B465B">
        <w:rPr>
          <w:lang w:val="en-US"/>
        </w:rPr>
        <w:t>Alonso-</w:t>
      </w:r>
      <w:r w:rsidR="008B43FD" w:rsidRPr="004B465B">
        <w:rPr>
          <w:lang w:val="en-US"/>
        </w:rPr>
        <w:t>Á</w:t>
      </w:r>
      <w:r w:rsidR="009A07C8" w:rsidRPr="004B465B">
        <w:rPr>
          <w:lang w:val="en-US"/>
        </w:rPr>
        <w:t>lverez &amp; P</w:t>
      </w:r>
      <w:r w:rsidR="008B43FD" w:rsidRPr="004B465B">
        <w:rPr>
          <w:lang w:val="en-US"/>
        </w:rPr>
        <w:t>é</w:t>
      </w:r>
      <w:r w:rsidR="009A07C8" w:rsidRPr="004B465B">
        <w:rPr>
          <w:lang w:val="en-US"/>
        </w:rPr>
        <w:t>rez-Gonz</w:t>
      </w:r>
      <w:r w:rsidR="008B43FD" w:rsidRPr="004B465B">
        <w:rPr>
          <w:lang w:val="en-US"/>
        </w:rPr>
        <w:t>á</w:t>
      </w:r>
      <w:r w:rsidR="009A07C8" w:rsidRPr="004B465B">
        <w:rPr>
          <w:lang w:val="en-US"/>
        </w:rPr>
        <w:t>lez, 2017). For example, Alonso-</w:t>
      </w:r>
      <w:r w:rsidR="008B43FD" w:rsidRPr="004B465B">
        <w:rPr>
          <w:lang w:val="en-US"/>
        </w:rPr>
        <w:t xml:space="preserve">Álvarez </w:t>
      </w:r>
      <w:r w:rsidR="009A07C8" w:rsidRPr="004B465B">
        <w:rPr>
          <w:lang w:val="en-US"/>
        </w:rPr>
        <w:t xml:space="preserve">and </w:t>
      </w:r>
      <w:r w:rsidR="008B43FD" w:rsidRPr="004B465B">
        <w:rPr>
          <w:lang w:val="en-US"/>
        </w:rPr>
        <w:t>Pérez</w:t>
      </w:r>
      <w:r w:rsidR="009A07C8" w:rsidRPr="004B465B">
        <w:rPr>
          <w:lang w:val="en-US"/>
        </w:rPr>
        <w:t>-</w:t>
      </w:r>
      <w:r w:rsidR="008B43FD" w:rsidRPr="004B465B">
        <w:rPr>
          <w:lang w:val="en-US"/>
        </w:rPr>
        <w:t xml:space="preserve">González </w:t>
      </w:r>
      <w:r w:rsidR="009A07C8" w:rsidRPr="004B465B">
        <w:rPr>
          <w:lang w:val="en-US"/>
        </w:rPr>
        <w:t xml:space="preserve">(2017) proposed that prior RFT empirical demonstrations of derivations of </w:t>
      </w:r>
      <w:r w:rsidR="00B44267">
        <w:rPr>
          <w:lang w:val="en-US"/>
        </w:rPr>
        <w:t>“</w:t>
      </w:r>
      <w:r w:rsidR="009A07C8" w:rsidRPr="004B465B">
        <w:rPr>
          <w:lang w:val="en-US"/>
        </w:rPr>
        <w:t>Same</w:t>
      </w:r>
      <w:r w:rsidR="00B44267">
        <w:rPr>
          <w:lang w:val="en-US"/>
        </w:rPr>
        <w:t>”</w:t>
      </w:r>
      <w:r w:rsidR="009A07C8" w:rsidRPr="004B465B">
        <w:rPr>
          <w:lang w:val="en-US"/>
        </w:rPr>
        <w:t xml:space="preserve"> and </w:t>
      </w:r>
      <w:r w:rsidR="00B44267">
        <w:rPr>
          <w:lang w:val="en-US"/>
        </w:rPr>
        <w:t>“</w:t>
      </w:r>
      <w:r w:rsidR="009A07C8" w:rsidRPr="004B465B">
        <w:rPr>
          <w:lang w:val="en-US"/>
        </w:rPr>
        <w:t>Opposite</w:t>
      </w:r>
      <w:r w:rsidR="00B44267">
        <w:rPr>
          <w:lang w:val="en-US"/>
        </w:rPr>
        <w:t>”</w:t>
      </w:r>
      <w:r w:rsidR="009A07C8" w:rsidRPr="004B465B">
        <w:rPr>
          <w:lang w:val="en-US"/>
        </w:rPr>
        <w:t xml:space="preserve"> relations </w:t>
      </w:r>
      <w:r w:rsidR="000C472F" w:rsidRPr="004B465B">
        <w:rPr>
          <w:lang w:val="en-US"/>
        </w:rPr>
        <w:t xml:space="preserve">(e.g., Dymond &amp; Barnes, 1995; Dymond, Roche, Forsyth, Whelan, &amp; Rhoden, 2007; Whelan &amp; Barnes-Holmes, 2004) </w:t>
      </w:r>
      <w:r w:rsidR="009A07C8" w:rsidRPr="004B465B">
        <w:rPr>
          <w:lang w:val="en-US"/>
        </w:rPr>
        <w:t xml:space="preserve">could </w:t>
      </w:r>
      <w:r w:rsidR="00B2025D">
        <w:rPr>
          <w:lang w:val="en-US"/>
        </w:rPr>
        <w:t>also</w:t>
      </w:r>
      <w:r w:rsidR="009A07C8" w:rsidRPr="004B465B">
        <w:rPr>
          <w:lang w:val="en-US"/>
        </w:rPr>
        <w:t xml:space="preserve"> be explained by contextual control over equivalence and nonequivalence relations, respectively. </w:t>
      </w:r>
      <w:r w:rsidR="00143BD7" w:rsidRPr="004B465B">
        <w:rPr>
          <w:lang w:val="en-US"/>
        </w:rPr>
        <w:t>Although</w:t>
      </w:r>
      <w:r w:rsidR="009A07C8" w:rsidRPr="004B465B">
        <w:rPr>
          <w:lang w:val="en-US"/>
        </w:rPr>
        <w:t xml:space="preserve"> Alonso-</w:t>
      </w:r>
      <w:r w:rsidR="008B43FD" w:rsidRPr="004B465B">
        <w:rPr>
          <w:lang w:val="en-US"/>
        </w:rPr>
        <w:t>Á</w:t>
      </w:r>
      <w:r w:rsidR="009A07C8" w:rsidRPr="004B465B">
        <w:rPr>
          <w:lang w:val="en-US"/>
        </w:rPr>
        <w:t>lvarez and P</w:t>
      </w:r>
      <w:r w:rsidR="008B43FD" w:rsidRPr="004B465B">
        <w:rPr>
          <w:lang w:val="en-US"/>
        </w:rPr>
        <w:t>é</w:t>
      </w:r>
      <w:r w:rsidR="009A07C8" w:rsidRPr="004B465B">
        <w:rPr>
          <w:lang w:val="en-US"/>
        </w:rPr>
        <w:t>rez-Gonz</w:t>
      </w:r>
      <w:r w:rsidR="008B43FD" w:rsidRPr="004B465B">
        <w:rPr>
          <w:lang w:val="en-US"/>
        </w:rPr>
        <w:t>á</w:t>
      </w:r>
      <w:r w:rsidR="009A07C8" w:rsidRPr="004B465B">
        <w:rPr>
          <w:lang w:val="en-US"/>
        </w:rPr>
        <w:t>lez’s proposal might have immediate appeal in terms of simplicity and parsimony, it is difficult to conceive how their position might potentially account for many of the more complex AARR relations that the use of RFT’s technical notation might predict.</w:t>
      </w:r>
    </w:p>
    <w:p w14:paraId="090F4F28" w14:textId="2A575269" w:rsidR="00A72DF1" w:rsidRPr="004B465B" w:rsidRDefault="00AB3021" w:rsidP="0033325C">
      <w:pPr>
        <w:pStyle w:val="BodyText"/>
        <w:tabs>
          <w:tab w:val="clear" w:pos="8640"/>
        </w:tabs>
        <w:rPr>
          <w:lang w:val="en-US"/>
        </w:rPr>
      </w:pPr>
      <w:r w:rsidRPr="004B465B">
        <w:rPr>
          <w:lang w:val="en-US"/>
        </w:rPr>
        <w:lastRenderedPageBreak/>
        <w:t>For translational RFT-to-practice researchers targeting complex repertoires such as perspective-taking</w:t>
      </w:r>
      <w:r w:rsidR="009D19C8" w:rsidRPr="004B465B">
        <w:rPr>
          <w:lang w:val="en-US"/>
        </w:rPr>
        <w:t xml:space="preserve"> or psychological flexibility</w:t>
      </w:r>
      <w:r w:rsidRPr="004B465B">
        <w:rPr>
          <w:lang w:val="en-US"/>
        </w:rPr>
        <w:t>, perhaps the challenge of operationali</w:t>
      </w:r>
      <w:r w:rsidR="00164B85" w:rsidRPr="004B465B">
        <w:rPr>
          <w:lang w:val="en-US"/>
        </w:rPr>
        <w:t>z</w:t>
      </w:r>
      <w:r w:rsidRPr="004B465B">
        <w:rPr>
          <w:lang w:val="en-US"/>
        </w:rPr>
        <w:t>ing such concepts in more technical terms might help them to identify relevant manipulable behavioral contingencies.</w:t>
      </w:r>
      <w:r w:rsidR="00A72DF1" w:rsidRPr="004B465B">
        <w:rPr>
          <w:lang w:val="en-US"/>
        </w:rPr>
        <w:t xml:space="preserve"> However, </w:t>
      </w:r>
      <w:r w:rsidR="009926EF" w:rsidRPr="004B465B">
        <w:rPr>
          <w:lang w:val="en-US"/>
        </w:rPr>
        <w:t xml:space="preserve">as noted above, </w:t>
      </w:r>
      <w:r w:rsidR="00A72DF1" w:rsidRPr="004B465B">
        <w:rPr>
          <w:lang w:val="en-US"/>
        </w:rPr>
        <w:t>at present mid</w:t>
      </w:r>
      <w:r w:rsidR="009926EF" w:rsidRPr="004B465B">
        <w:rPr>
          <w:lang w:val="en-US"/>
        </w:rPr>
        <w:t>dle</w:t>
      </w:r>
      <w:r w:rsidR="00A72DF1" w:rsidRPr="004B465B">
        <w:rPr>
          <w:lang w:val="en-US"/>
        </w:rPr>
        <w:t>-level terms such as “psychological flexibility” have not yet been clearly operationali</w:t>
      </w:r>
      <w:r w:rsidR="0033609B" w:rsidRPr="004B465B">
        <w:rPr>
          <w:lang w:val="en-US"/>
        </w:rPr>
        <w:t>z</w:t>
      </w:r>
      <w:r w:rsidR="00A72DF1" w:rsidRPr="004B465B">
        <w:rPr>
          <w:lang w:val="en-US"/>
        </w:rPr>
        <w:t>ed in technical terms, but in colloquial terms</w:t>
      </w:r>
      <w:r w:rsidR="0033609B" w:rsidRPr="004B465B">
        <w:rPr>
          <w:lang w:val="en-US"/>
        </w:rPr>
        <w:t xml:space="preserve"> (Barnes-Holmes et al., 2016)</w:t>
      </w:r>
      <w:r w:rsidR="00A72DF1" w:rsidRPr="004B465B">
        <w:rPr>
          <w:lang w:val="en-US"/>
        </w:rPr>
        <w:t xml:space="preserve">. </w:t>
      </w:r>
      <w:r w:rsidR="00E61298" w:rsidRPr="004B465B">
        <w:rPr>
          <w:lang w:val="en-US"/>
        </w:rPr>
        <w:t>This is not to say that mid-level terms such as these are not useful</w:t>
      </w:r>
      <w:r w:rsidR="00FF0A70" w:rsidRPr="004B465B">
        <w:rPr>
          <w:lang w:val="en-US"/>
        </w:rPr>
        <w:t xml:space="preserve"> in certain contexts</w:t>
      </w:r>
      <w:r w:rsidR="00E61298" w:rsidRPr="004B465B">
        <w:rPr>
          <w:lang w:val="en-US"/>
        </w:rPr>
        <w:t>, but they may warrant further exploration given that these are concepts upon which many practitioners (e.g., ACT therapists) base their practice, rather than principles that survive through basic experimentation.</w:t>
      </w:r>
    </w:p>
    <w:p w14:paraId="2B5C70D9" w14:textId="73014528" w:rsidR="00075CBD" w:rsidRPr="004B465B" w:rsidRDefault="009A07C8" w:rsidP="00075CBD">
      <w:pPr>
        <w:pStyle w:val="BodyText"/>
        <w:tabs>
          <w:tab w:val="clear" w:pos="8640"/>
        </w:tabs>
        <w:rPr>
          <w:lang w:val="en-US"/>
        </w:rPr>
      </w:pPr>
      <w:r w:rsidRPr="004B465B">
        <w:rPr>
          <w:lang w:val="en-US"/>
        </w:rPr>
        <w:t>In summary, s</w:t>
      </w:r>
      <w:r w:rsidR="00075CBD" w:rsidRPr="004B465B">
        <w:rPr>
          <w:lang w:val="en-US"/>
        </w:rPr>
        <w:t xml:space="preserve">cientists studying AARR may be able to use this notation to communicate increasingly complex hypotheses with precision, as complexities in </w:t>
      </w:r>
      <w:r w:rsidR="00E13D7D" w:rsidRPr="004B465B">
        <w:rPr>
          <w:lang w:val="en-US"/>
        </w:rPr>
        <w:t>experiments</w:t>
      </w:r>
      <w:r w:rsidR="00075CBD" w:rsidRPr="004B465B">
        <w:rPr>
          <w:lang w:val="en-US"/>
        </w:rPr>
        <w:t xml:space="preserve"> evolve. </w:t>
      </w:r>
      <w:r w:rsidR="00E13D7D" w:rsidRPr="004B465B">
        <w:rPr>
          <w:lang w:val="en-US"/>
        </w:rPr>
        <w:t>Naturally</w:t>
      </w:r>
      <w:r w:rsidR="00075CBD" w:rsidRPr="004B465B">
        <w:rPr>
          <w:lang w:val="en-US"/>
        </w:rPr>
        <w:t>, this notation remains one of the more arcane aspects of RFT and may not have initial appeal to a casual</w:t>
      </w:r>
      <w:r w:rsidR="00755B70" w:rsidRPr="004B465B">
        <w:rPr>
          <w:lang w:val="en-US"/>
        </w:rPr>
        <w:t xml:space="preserve"> or applied practice</w:t>
      </w:r>
      <w:r w:rsidR="00075CBD" w:rsidRPr="004B465B">
        <w:rPr>
          <w:lang w:val="en-US"/>
        </w:rPr>
        <w:t xml:space="preserve"> readership. </w:t>
      </w:r>
      <w:r w:rsidR="00A26E38" w:rsidRPr="004B465B">
        <w:rPr>
          <w:lang w:val="en-US"/>
        </w:rPr>
        <w:t>It is important to acknowledge that from an RFT perspective all definitions will be judged ultimately by their utility</w:t>
      </w:r>
      <w:r w:rsidR="001876FD" w:rsidRPr="004B465B">
        <w:rPr>
          <w:lang w:val="en-US"/>
        </w:rPr>
        <w:t xml:space="preserve">. Thus, our goal is not to test RFT predictions </w:t>
      </w:r>
      <w:r w:rsidR="001876FD" w:rsidRPr="0033325C">
        <w:rPr>
          <w:lang w:val="en-US"/>
        </w:rPr>
        <w:t>per se</w:t>
      </w:r>
      <w:r w:rsidR="001876FD" w:rsidRPr="004B465B">
        <w:rPr>
          <w:lang w:val="en-US"/>
        </w:rPr>
        <w:t xml:space="preserve"> or even provide tools for assessing the coherence</w:t>
      </w:r>
      <w:r w:rsidR="00842AD4" w:rsidRPr="004B465B">
        <w:rPr>
          <w:lang w:val="en-US"/>
        </w:rPr>
        <w:t xml:space="preserve"> </w:t>
      </w:r>
      <w:r w:rsidR="001876FD" w:rsidRPr="004B465B">
        <w:rPr>
          <w:lang w:val="en-US"/>
        </w:rPr>
        <w:t xml:space="preserve">of the definitions with logical notation but rather to put notation on RFT as it was originally proposed. </w:t>
      </w:r>
      <w:r w:rsidR="00C524E8" w:rsidRPr="004B465B">
        <w:rPr>
          <w:lang w:val="en-US"/>
        </w:rPr>
        <w:t xml:space="preserve">Nonetheless, technical notation can prove extremely useful to basic RFT researchers for the formulation of succinct hypotheses, particularly in relation to complex cognition. </w:t>
      </w:r>
      <w:r w:rsidR="003C5D79" w:rsidRPr="004B465B">
        <w:rPr>
          <w:lang w:val="en-US"/>
        </w:rPr>
        <w:t>Technical notation may also provide</w:t>
      </w:r>
      <w:r w:rsidR="00075CBD" w:rsidRPr="004B465B">
        <w:rPr>
          <w:lang w:val="en-US"/>
        </w:rPr>
        <w:t xml:space="preserve"> clarity in terms of communicating AARR research to those who are inclined to engage with </w:t>
      </w:r>
      <w:r w:rsidR="000F1F7C" w:rsidRPr="004B465B">
        <w:rPr>
          <w:lang w:val="en-US"/>
        </w:rPr>
        <w:t xml:space="preserve">RFT </w:t>
      </w:r>
      <w:r w:rsidR="00075CBD" w:rsidRPr="004B465B">
        <w:rPr>
          <w:lang w:val="en-US"/>
        </w:rPr>
        <w:t xml:space="preserve">at </w:t>
      </w:r>
      <w:r w:rsidR="000F1F7C" w:rsidRPr="004B465B">
        <w:rPr>
          <w:lang w:val="en-US"/>
        </w:rPr>
        <w:t xml:space="preserve">the basic science </w:t>
      </w:r>
      <w:r w:rsidR="00075CBD" w:rsidRPr="004B465B">
        <w:rPr>
          <w:lang w:val="en-US"/>
        </w:rPr>
        <w:t xml:space="preserve">level. This piece is intended to function as a </w:t>
      </w:r>
      <w:r w:rsidR="00874DBB">
        <w:rPr>
          <w:lang w:val="en-US"/>
        </w:rPr>
        <w:t>nondefinitive,</w:t>
      </w:r>
      <w:r w:rsidR="00262FF9" w:rsidRPr="004B465B">
        <w:rPr>
          <w:lang w:val="en-US"/>
        </w:rPr>
        <w:t xml:space="preserve"> but </w:t>
      </w:r>
      <w:r w:rsidR="00075CBD" w:rsidRPr="004B465B">
        <w:rPr>
          <w:lang w:val="en-US"/>
        </w:rPr>
        <w:t>useful resource in that regard.</w:t>
      </w:r>
    </w:p>
    <w:p w14:paraId="1461FAF8" w14:textId="77777777" w:rsidR="00842AD4" w:rsidRPr="004B465B" w:rsidRDefault="00842AD4" w:rsidP="00143BD7">
      <w:pPr>
        <w:pStyle w:val="BodyA"/>
        <w:spacing w:after="0" w:line="480" w:lineRule="auto"/>
        <w:jc w:val="center"/>
        <w:rPr>
          <w:rFonts w:ascii="Times New Roman" w:eastAsia="Times New Roman" w:hAnsi="Times New Roman" w:cs="Times New Roman"/>
          <w:b/>
          <w:bCs/>
          <w:sz w:val="24"/>
          <w:szCs w:val="24"/>
        </w:rPr>
      </w:pPr>
      <w:r w:rsidRPr="004B465B">
        <w:rPr>
          <w:rFonts w:ascii="Times New Roman" w:hAnsi="Times New Roman"/>
          <w:b/>
          <w:bCs/>
          <w:sz w:val="24"/>
          <w:szCs w:val="24"/>
        </w:rPr>
        <w:t>Compliance with Ethical Standards</w:t>
      </w:r>
    </w:p>
    <w:p w14:paraId="0DE5B02C" w14:textId="77777777" w:rsidR="00842AD4" w:rsidRPr="004B465B" w:rsidRDefault="00842AD4" w:rsidP="00143BD7">
      <w:pPr>
        <w:pStyle w:val="BodyA"/>
        <w:spacing w:after="0" w:line="480" w:lineRule="auto"/>
        <w:rPr>
          <w:rFonts w:ascii="Times New Roman" w:eastAsia="Times New Roman" w:hAnsi="Times New Roman" w:cs="Times New Roman"/>
          <w:sz w:val="24"/>
          <w:szCs w:val="24"/>
        </w:rPr>
      </w:pPr>
      <w:r w:rsidRPr="004B465B">
        <w:rPr>
          <w:rFonts w:ascii="Times New Roman" w:hAnsi="Times New Roman"/>
          <w:b/>
          <w:bCs/>
          <w:sz w:val="24"/>
          <w:szCs w:val="24"/>
        </w:rPr>
        <w:lastRenderedPageBreak/>
        <w:t>Disclosure of Conflicts of Interest</w:t>
      </w:r>
      <w:r w:rsidRPr="004B465B">
        <w:rPr>
          <w:rFonts w:ascii="Times New Roman" w:hAnsi="Times New Roman"/>
          <w:sz w:val="24"/>
          <w:szCs w:val="24"/>
        </w:rPr>
        <w:t>: On behalf of all the authors the corresponding author confirms that no author has a conflict of interest to declare.</w:t>
      </w:r>
    </w:p>
    <w:p w14:paraId="3FA444AD" w14:textId="77777777" w:rsidR="00842AD4" w:rsidRPr="004B465B" w:rsidRDefault="00842AD4" w:rsidP="00143BD7">
      <w:pPr>
        <w:pStyle w:val="BodyA"/>
        <w:spacing w:after="0" w:line="480" w:lineRule="auto"/>
        <w:rPr>
          <w:rFonts w:ascii="Times New Roman" w:eastAsia="Times New Roman" w:hAnsi="Times New Roman" w:cs="Times New Roman"/>
          <w:sz w:val="24"/>
          <w:szCs w:val="24"/>
        </w:rPr>
      </w:pPr>
      <w:r w:rsidRPr="004B465B">
        <w:rPr>
          <w:rFonts w:ascii="Times New Roman" w:hAnsi="Times New Roman"/>
          <w:b/>
          <w:bCs/>
          <w:sz w:val="24"/>
          <w:szCs w:val="24"/>
        </w:rPr>
        <w:t>Funding</w:t>
      </w:r>
      <w:r w:rsidRPr="004B465B">
        <w:rPr>
          <w:rFonts w:ascii="Times New Roman" w:hAnsi="Times New Roman"/>
          <w:sz w:val="24"/>
          <w:szCs w:val="24"/>
        </w:rPr>
        <w:t>: The study was not supported by any grant funding from any institution or organization.</w:t>
      </w:r>
    </w:p>
    <w:p w14:paraId="1BEB7FA2" w14:textId="556542AB" w:rsidR="00842AD4" w:rsidRPr="004B465B" w:rsidRDefault="00842AD4" w:rsidP="00143BD7">
      <w:pPr>
        <w:pStyle w:val="BodyA"/>
        <w:spacing w:after="0" w:line="480" w:lineRule="auto"/>
        <w:rPr>
          <w:rFonts w:ascii="Times New Roman" w:eastAsia="Times New Roman" w:hAnsi="Times New Roman" w:cs="Times New Roman"/>
          <w:sz w:val="24"/>
          <w:szCs w:val="24"/>
        </w:rPr>
      </w:pPr>
      <w:r w:rsidRPr="004B465B">
        <w:rPr>
          <w:rFonts w:ascii="Times New Roman" w:hAnsi="Times New Roman"/>
          <w:b/>
          <w:bCs/>
          <w:sz w:val="24"/>
          <w:szCs w:val="24"/>
        </w:rPr>
        <w:t>Ethical Approval</w:t>
      </w:r>
      <w:r w:rsidRPr="004B465B">
        <w:rPr>
          <w:rFonts w:ascii="Times New Roman" w:hAnsi="Times New Roman"/>
          <w:sz w:val="24"/>
          <w:szCs w:val="24"/>
        </w:rPr>
        <w:t>: Not applicable as not an empirical study paper.</w:t>
      </w:r>
    </w:p>
    <w:p w14:paraId="348C3B13" w14:textId="77777777" w:rsidR="00842AD4" w:rsidRPr="004B465B" w:rsidRDefault="00842AD4" w:rsidP="00143BD7">
      <w:pPr>
        <w:pStyle w:val="BodyText"/>
        <w:tabs>
          <w:tab w:val="clear" w:pos="8640"/>
        </w:tabs>
        <w:rPr>
          <w:lang w:val="en-US"/>
        </w:rPr>
      </w:pPr>
    </w:p>
    <w:p w14:paraId="02C31DD9" w14:textId="77777777" w:rsidR="00F560A9" w:rsidRPr="004B465B" w:rsidRDefault="004177E8" w:rsidP="004177E8">
      <w:pPr>
        <w:pStyle w:val="BodyText"/>
        <w:rPr>
          <w:lang w:val="en-US"/>
        </w:rPr>
      </w:pPr>
      <w:r w:rsidRPr="004B465B">
        <w:rPr>
          <w:lang w:val="en-US"/>
        </w:rPr>
        <w:t xml:space="preserve"> </w:t>
      </w:r>
      <w:r w:rsidR="00F560A9" w:rsidRPr="004B465B">
        <w:rPr>
          <w:lang w:val="en-US"/>
        </w:rPr>
        <w:tab/>
      </w:r>
    </w:p>
    <w:p w14:paraId="125CCE6C" w14:textId="77777777" w:rsidR="001D3B4A" w:rsidRPr="004B465B" w:rsidRDefault="00583355" w:rsidP="00CE2D85">
      <w:pPr>
        <w:pStyle w:val="SectionHeading"/>
        <w:outlineLvl w:val="0"/>
        <w:rPr>
          <w:rFonts w:ascii="Times New Roman" w:hAnsi="Times New Roman"/>
          <w:b/>
        </w:rPr>
      </w:pPr>
      <w:r w:rsidRPr="004B465B">
        <w:rPr>
          <w:rFonts w:ascii="Times New Roman" w:hAnsi="Times New Roman"/>
          <w:b/>
        </w:rPr>
        <w:lastRenderedPageBreak/>
        <w:t>References</w:t>
      </w:r>
    </w:p>
    <w:p w14:paraId="0D67CEBF" w14:textId="7851E0DF" w:rsidR="002D6F4D" w:rsidRPr="004B465B" w:rsidRDefault="00075CBD" w:rsidP="00143BD7">
      <w:pPr>
        <w:spacing w:line="480" w:lineRule="auto"/>
        <w:ind w:left="720" w:hanging="720"/>
      </w:pPr>
      <w:bookmarkStart w:id="2" w:name="_Hlk532295159"/>
      <w:r w:rsidRPr="004B465B">
        <w:t>Alonso-Álvarez, B., &amp; Pérez-González, L. A. (20</w:t>
      </w:r>
      <w:r w:rsidR="009A07C8" w:rsidRPr="004B465B">
        <w:t>17</w:t>
      </w:r>
      <w:r w:rsidRPr="004B465B">
        <w:t>).</w:t>
      </w:r>
      <w:r w:rsidR="007F452C" w:rsidRPr="004B465B">
        <w:t xml:space="preserve"> </w:t>
      </w:r>
      <w:r w:rsidR="009A07C8" w:rsidRPr="004B465B">
        <w:t>Contextual control over equivalence and nonequivalence explains apparent arbitrarily applicable relational responding in accordance with sameness and opposition.</w:t>
      </w:r>
      <w:r w:rsidR="00CA2E10" w:rsidRPr="004B465B">
        <w:t xml:space="preserve"> </w:t>
      </w:r>
      <w:r w:rsidR="009A07C8" w:rsidRPr="004B465B">
        <w:rPr>
          <w:i/>
        </w:rPr>
        <w:t>Learning &amp; Behavior</w:t>
      </w:r>
      <w:r w:rsidR="009A07C8" w:rsidRPr="004B465B">
        <w:t xml:space="preserve">, </w:t>
      </w:r>
      <w:r w:rsidR="00C524E8" w:rsidRPr="004B465B">
        <w:rPr>
          <w:i/>
        </w:rPr>
        <w:t>45</w:t>
      </w:r>
      <w:r w:rsidR="00C524E8" w:rsidRPr="004B465B">
        <w:t>, 228</w:t>
      </w:r>
      <w:r w:rsidR="00D32A26" w:rsidRPr="004B465B">
        <w:t>–</w:t>
      </w:r>
      <w:r w:rsidR="00C524E8" w:rsidRPr="004B465B">
        <w:t>242.</w:t>
      </w:r>
      <w:r w:rsidR="00D32A26" w:rsidRPr="004B465B">
        <w:t xml:space="preserve"> </w:t>
      </w:r>
      <w:r w:rsidR="009A07C8" w:rsidRPr="004B465B">
        <w:t>doi</w:t>
      </w:r>
      <w:r w:rsidR="00D32A26" w:rsidRPr="004B465B">
        <w:t>:</w:t>
      </w:r>
      <w:r w:rsidR="009A07C8" w:rsidRPr="004B465B">
        <w:t xml:space="preserve"> 10.3758/s13480.017.0258-1</w:t>
      </w:r>
      <w:r w:rsidRPr="004B465B">
        <w:t>.</w:t>
      </w:r>
    </w:p>
    <w:p w14:paraId="627320C5" w14:textId="782CD2EE" w:rsidR="00A855DA" w:rsidRPr="004B465B" w:rsidRDefault="00CA2E10" w:rsidP="00143BD7">
      <w:pPr>
        <w:spacing w:line="480" w:lineRule="auto"/>
        <w:ind w:left="720" w:hanging="720"/>
      </w:pPr>
      <w:r w:rsidRPr="004B465B">
        <w:t>Barnes-Holmes, D., Regan, D., Barnes-Holmes, Y., Commins, S., Walsh, D., Stewart, I.</w:t>
      </w:r>
      <w:r w:rsidR="00D32A26" w:rsidRPr="004B465B">
        <w:t xml:space="preserve"> . . .</w:t>
      </w:r>
      <w:r w:rsidRPr="004B465B">
        <w:t xml:space="preserve"> Dymond, S. (2005). Relating derived relations as a model of analogical reasoning: reaction times and event-related potentials. </w:t>
      </w:r>
      <w:r w:rsidRPr="004B465B">
        <w:rPr>
          <w:i/>
        </w:rPr>
        <w:t>Journal of the Experimental Analysis of Behavior, 84</w:t>
      </w:r>
      <w:r w:rsidRPr="004B465B">
        <w:t>, 435–451.</w:t>
      </w:r>
    </w:p>
    <w:p w14:paraId="75BD05EC" w14:textId="6AA4E17B" w:rsidR="00DF3311" w:rsidRPr="004B465B" w:rsidRDefault="00DF3311" w:rsidP="00143BD7">
      <w:pPr>
        <w:spacing w:line="480" w:lineRule="auto"/>
        <w:ind w:left="720" w:hanging="720"/>
      </w:pPr>
      <w:r w:rsidRPr="004B465B">
        <w:t xml:space="preserve">Barnes-Holmes, Y., Hussey, I., McEnteggart, C., Barnes-Holmes, D., &amp; Foody, M. (2016). Scientific ambition: The relationship between Relational Frame Theory and middle- level terms in Acceptance and Commitment Therapy. In R. D. Zettle, S. C. Hayes, D. Barnes-Holmes &amp; A. Biglan, (Eds.) </w:t>
      </w:r>
      <w:r w:rsidRPr="004B465B">
        <w:rPr>
          <w:i/>
        </w:rPr>
        <w:t xml:space="preserve">The Wiley </w:t>
      </w:r>
      <w:r w:rsidR="00D32A26" w:rsidRPr="004B465B">
        <w:rPr>
          <w:i/>
        </w:rPr>
        <w:t>handbook of contextual behavioral science</w:t>
      </w:r>
      <w:r w:rsidR="00D32A26" w:rsidRPr="004B465B">
        <w:t xml:space="preserve"> </w:t>
      </w:r>
      <w:r w:rsidR="00C524E8" w:rsidRPr="004B465B">
        <w:t>(pp. 365</w:t>
      </w:r>
      <w:r w:rsidR="00D32A26" w:rsidRPr="004B465B">
        <w:t>–</w:t>
      </w:r>
      <w:r w:rsidR="00C524E8" w:rsidRPr="004B465B">
        <w:t>382). Chichester</w:t>
      </w:r>
      <w:r w:rsidRPr="004B465B">
        <w:t>, UK: Wiley-Blackwell.</w:t>
      </w:r>
    </w:p>
    <w:p w14:paraId="6F991F33" w14:textId="7EACD964" w:rsidR="00075CBD" w:rsidRPr="004B465B" w:rsidRDefault="002D6F4D" w:rsidP="00143BD7">
      <w:pPr>
        <w:spacing w:line="480" w:lineRule="auto"/>
        <w:ind w:left="720" w:hanging="720"/>
      </w:pPr>
      <w:r w:rsidRPr="004B465B">
        <w:t>Barnes-Holmes, Y., Kavanagh, D., Barnes-Holmes, D., Finn, M., Harte,</w:t>
      </w:r>
      <w:r w:rsidR="00C524E8" w:rsidRPr="004B465B">
        <w:t xml:space="preserve"> C., Leech, A., &amp; McEnteggart. (2018). </w:t>
      </w:r>
      <w:r w:rsidRPr="004B465B">
        <w:t>Review</w:t>
      </w:r>
      <w:r w:rsidRPr="0033325C">
        <w:rPr>
          <w:i/>
        </w:rPr>
        <w:t xml:space="preserve">: Mastering the </w:t>
      </w:r>
      <w:r w:rsidR="00D32A26" w:rsidRPr="0033325C">
        <w:rPr>
          <w:i/>
        </w:rPr>
        <w:t>clinical conversation</w:t>
      </w:r>
      <w:r w:rsidRPr="0033325C">
        <w:rPr>
          <w:i/>
        </w:rPr>
        <w:t xml:space="preserve">: Language as </w:t>
      </w:r>
      <w:r w:rsidR="00D32A26" w:rsidRPr="0033325C">
        <w:rPr>
          <w:i/>
        </w:rPr>
        <w:t>intervention</w:t>
      </w:r>
      <w:r w:rsidRPr="004B465B">
        <w:t xml:space="preserve"> </w:t>
      </w:r>
      <w:r w:rsidR="00D32A26" w:rsidRPr="004B465B">
        <w:t xml:space="preserve">by M. </w:t>
      </w:r>
      <w:r w:rsidRPr="004B465B">
        <w:t xml:space="preserve">Villatte, </w:t>
      </w:r>
      <w:r w:rsidR="00D32A26" w:rsidRPr="004B465B">
        <w:t>J. L.</w:t>
      </w:r>
      <w:r w:rsidR="00342B23" w:rsidRPr="004B465B">
        <w:t xml:space="preserve"> Villatte, &amp; </w:t>
      </w:r>
      <w:r w:rsidR="00D32A26" w:rsidRPr="004B465B">
        <w:t xml:space="preserve">S. C. </w:t>
      </w:r>
      <w:r w:rsidR="00342B23" w:rsidRPr="004B465B">
        <w:t>Hayes</w:t>
      </w:r>
      <w:r w:rsidR="00D32A26" w:rsidRPr="004B465B">
        <w:t>.</w:t>
      </w:r>
      <w:r w:rsidR="00342B23" w:rsidRPr="004B465B">
        <w:t xml:space="preserve"> </w:t>
      </w:r>
      <w:r w:rsidR="00342B23" w:rsidRPr="004B465B">
        <w:rPr>
          <w:i/>
        </w:rPr>
        <w:t>The Psychological Record</w:t>
      </w:r>
      <w:r w:rsidR="00342B23" w:rsidRPr="004B465B">
        <w:t xml:space="preserve">. </w:t>
      </w:r>
      <w:r w:rsidR="00D32A26" w:rsidRPr="004B465B">
        <w:t>doi</w:t>
      </w:r>
      <w:r w:rsidR="00342B23" w:rsidRPr="004B465B">
        <w:t>: 10.1007/s40732-017-0229.</w:t>
      </w:r>
    </w:p>
    <w:p w14:paraId="604EDA17" w14:textId="481CCB63" w:rsidR="00075CBD" w:rsidRPr="004B465B" w:rsidRDefault="00075CBD" w:rsidP="00143BD7">
      <w:pPr>
        <w:spacing w:line="480" w:lineRule="auto"/>
        <w:ind w:left="720" w:hanging="720"/>
      </w:pPr>
      <w:r w:rsidRPr="004B465B">
        <w:t xml:space="preserve">Binder, C., Haughton, E., &amp; Bateman, B. (2002). Fluency: </w:t>
      </w:r>
      <w:r w:rsidR="00D32A26" w:rsidRPr="004B465B">
        <w:t>A</w:t>
      </w:r>
      <w:r w:rsidRPr="004B465B">
        <w:t xml:space="preserve">chieving true mastery in the learning process. </w:t>
      </w:r>
      <w:r w:rsidRPr="004B465B">
        <w:rPr>
          <w:i/>
        </w:rPr>
        <w:t>Professional Papers in Special Education</w:t>
      </w:r>
      <w:r w:rsidRPr="004B465B">
        <w:t xml:space="preserve">. </w:t>
      </w:r>
      <w:r w:rsidR="00D32A26" w:rsidRPr="004B465B">
        <w:t xml:space="preserve">Charlottesville, VA: </w:t>
      </w:r>
      <w:r w:rsidRPr="004B465B">
        <w:t>University of Virginia Curry</w:t>
      </w:r>
      <w:r w:rsidR="00B87835" w:rsidRPr="004B465B">
        <w:t xml:space="preserve"> School of Special Education, 2–</w:t>
      </w:r>
      <w:r w:rsidRPr="004B465B">
        <w:t>20.</w:t>
      </w:r>
    </w:p>
    <w:p w14:paraId="4C119A38" w14:textId="13B36AC3" w:rsidR="00075CBD" w:rsidRPr="004B465B" w:rsidRDefault="00075CBD" w:rsidP="00143BD7">
      <w:pPr>
        <w:spacing w:line="480" w:lineRule="auto"/>
        <w:ind w:left="720" w:hanging="720"/>
      </w:pPr>
      <w:r w:rsidRPr="004B465B">
        <w:lastRenderedPageBreak/>
        <w:t>Blackledge, J. T., &amp; Drake, C. E. (2013). Acceptance and commitment therapy: Empirical and</w:t>
      </w:r>
      <w:r w:rsidR="0006606E" w:rsidRPr="004B465B">
        <w:t xml:space="preserve"> </w:t>
      </w:r>
      <w:r w:rsidRPr="004B465B">
        <w:t xml:space="preserve">theoretical considerations. In S. Dymond &amp; B. Roche (Eds.), </w:t>
      </w:r>
      <w:r w:rsidRPr="004B465B">
        <w:rPr>
          <w:i/>
        </w:rPr>
        <w:t>Advances in relational frame theory: Research and application</w:t>
      </w:r>
      <w:r w:rsidRPr="004B465B">
        <w:t xml:space="preserve"> (pp. 219</w:t>
      </w:r>
      <w:r w:rsidR="00D32A26" w:rsidRPr="004B465B">
        <w:t>–</w:t>
      </w:r>
      <w:r w:rsidRPr="004B465B">
        <w:t>252). Oakland, CA: New Harbinger.</w:t>
      </w:r>
    </w:p>
    <w:p w14:paraId="5A562577" w14:textId="30F06AAD" w:rsidR="00B87835" w:rsidRPr="004B465B" w:rsidRDefault="00075CBD" w:rsidP="00143BD7">
      <w:pPr>
        <w:spacing w:line="480" w:lineRule="auto"/>
        <w:ind w:left="720" w:hanging="720"/>
      </w:pPr>
      <w:r w:rsidRPr="004B465B">
        <w:t xml:space="preserve">Cassidy, S., Roche, B., Colbert, D., Stewart, I., &amp; Grey, I. (2016). A relational frame skills training intervention to increase general intelligence and scholastic aptitude. </w:t>
      </w:r>
      <w:r w:rsidRPr="004B465B">
        <w:rPr>
          <w:i/>
        </w:rPr>
        <w:t xml:space="preserve">Learning </w:t>
      </w:r>
      <w:r w:rsidR="00D32A26" w:rsidRPr="004B465B">
        <w:rPr>
          <w:i/>
        </w:rPr>
        <w:t>&amp;</w:t>
      </w:r>
      <w:r w:rsidRPr="004B465B">
        <w:rPr>
          <w:i/>
        </w:rPr>
        <w:t xml:space="preserve"> Individual Differences, 47</w:t>
      </w:r>
      <w:r w:rsidRPr="004B465B">
        <w:t>, 222</w:t>
      </w:r>
      <w:r w:rsidR="00D32A26" w:rsidRPr="004B465B">
        <w:t>–</w:t>
      </w:r>
      <w:r w:rsidRPr="004B465B">
        <w:t xml:space="preserve">235. </w:t>
      </w:r>
      <w:r w:rsidR="00D32A26" w:rsidRPr="004B465B">
        <w:t xml:space="preserve">doi: </w:t>
      </w:r>
      <w:r w:rsidRPr="004B465B">
        <w:t>10.1016/j.lindif.2016.03.001</w:t>
      </w:r>
    </w:p>
    <w:p w14:paraId="35E83F3E" w14:textId="77777777" w:rsidR="00075CBD" w:rsidRPr="004B465B" w:rsidRDefault="00075CBD" w:rsidP="00143BD7">
      <w:pPr>
        <w:spacing w:line="480" w:lineRule="auto"/>
        <w:ind w:left="720" w:hanging="720"/>
      </w:pPr>
      <w:r w:rsidRPr="004B465B">
        <w:t xml:space="preserve">Cassidy, S., Roche, B., &amp; Hayes, S. C. (2011). A relational frame training intervention to raise intelligence quotients: A pilot study. </w:t>
      </w:r>
      <w:r w:rsidRPr="004B465B">
        <w:rPr>
          <w:i/>
        </w:rPr>
        <w:t>The Psychological Record, 61</w:t>
      </w:r>
      <w:r w:rsidRPr="004B465B">
        <w:t>, 173–198.</w:t>
      </w:r>
    </w:p>
    <w:p w14:paraId="29CEEE6A" w14:textId="123938F4" w:rsidR="00075CBD" w:rsidRPr="004B465B" w:rsidRDefault="00075CBD" w:rsidP="00143BD7">
      <w:pPr>
        <w:spacing w:line="480" w:lineRule="auto"/>
        <w:ind w:left="720" w:hanging="720"/>
      </w:pPr>
      <w:r w:rsidRPr="004B465B">
        <w:t xml:space="preserve">Devany, J. M., Hayes, S. C., &amp; Nelson, R. O. (1986). Equivalence class formation in language-able and language-disabled children. </w:t>
      </w:r>
      <w:r w:rsidRPr="004B465B">
        <w:rPr>
          <w:i/>
        </w:rPr>
        <w:t>Journal of the Experimental A</w:t>
      </w:r>
      <w:r w:rsidR="00B87835" w:rsidRPr="004B465B">
        <w:rPr>
          <w:i/>
        </w:rPr>
        <w:t>nalysis of Behavior, 46</w:t>
      </w:r>
      <w:r w:rsidR="00B87835" w:rsidRPr="004B465B">
        <w:t>, 243–</w:t>
      </w:r>
      <w:r w:rsidRPr="004B465B">
        <w:t>257. doi: 10.1901%2Fjeab.1986.46-243</w:t>
      </w:r>
    </w:p>
    <w:p w14:paraId="029D1787" w14:textId="77777777" w:rsidR="00075CBD" w:rsidRPr="004B465B" w:rsidRDefault="00075CBD" w:rsidP="00143BD7">
      <w:pPr>
        <w:spacing w:line="480" w:lineRule="auto"/>
        <w:ind w:left="720" w:hanging="720"/>
      </w:pPr>
      <w:r w:rsidRPr="004B465B">
        <w:t xml:space="preserve">Dickins, D. W., Singh, K. D., Roberts, N., Burns, P., Downes, J. J., Jimmieson, P., </w:t>
      </w:r>
      <w:r w:rsidR="00D32A26" w:rsidRPr="004B465B">
        <w:t xml:space="preserve">&amp; </w:t>
      </w:r>
      <w:r w:rsidRPr="004B465B">
        <w:t xml:space="preserve">Bentall, R. P. (2001). An fMRI study of stimulus equivalence. </w:t>
      </w:r>
      <w:r w:rsidRPr="004B465B">
        <w:rPr>
          <w:i/>
        </w:rPr>
        <w:t>NeuroReport, 12</w:t>
      </w:r>
      <w:r w:rsidR="00B87835" w:rsidRPr="004B465B">
        <w:t>, 405–</w:t>
      </w:r>
      <w:r w:rsidRPr="004B465B">
        <w:t>411.</w:t>
      </w:r>
    </w:p>
    <w:p w14:paraId="5F9C404D" w14:textId="384AB4C5" w:rsidR="00075CBD" w:rsidRPr="004B465B" w:rsidRDefault="00075CBD" w:rsidP="00143BD7">
      <w:pPr>
        <w:spacing w:line="480" w:lineRule="auto"/>
        <w:ind w:left="720" w:hanging="720"/>
      </w:pPr>
      <w:r w:rsidRPr="004B465B">
        <w:t xml:space="preserve">Dymond, S., &amp; Barnes, D. (1995). A transformation of self-discrimination response functions in accordance with the arbitrarily applicable relations of sameness, more-than, and less-than. </w:t>
      </w:r>
      <w:r w:rsidRPr="004B465B">
        <w:rPr>
          <w:i/>
        </w:rPr>
        <w:t>Journal of the Experimental Analysis of Behavior, 64</w:t>
      </w:r>
      <w:r w:rsidRPr="004B465B">
        <w:t>, 163</w:t>
      </w:r>
      <w:r w:rsidR="00D32A26" w:rsidRPr="004B465B">
        <w:t>–</w:t>
      </w:r>
      <w:r w:rsidRPr="004B465B">
        <w:t>184.</w:t>
      </w:r>
    </w:p>
    <w:p w14:paraId="085BB4E7" w14:textId="77777777" w:rsidR="00075CBD" w:rsidRPr="004B465B" w:rsidRDefault="00075CBD" w:rsidP="00143BD7">
      <w:pPr>
        <w:spacing w:line="480" w:lineRule="auto"/>
        <w:ind w:left="720" w:hanging="720"/>
      </w:pPr>
      <w:r w:rsidRPr="004B465B">
        <w:t xml:space="preserve">Dymond, S., &amp; Roche, B. (2013). </w:t>
      </w:r>
      <w:r w:rsidRPr="004B465B">
        <w:rPr>
          <w:i/>
        </w:rPr>
        <w:t>Advances in relational frame theory: Research and application</w:t>
      </w:r>
      <w:r w:rsidRPr="004B465B">
        <w:t>. Oakland, CA: New Harbinger.</w:t>
      </w:r>
    </w:p>
    <w:p w14:paraId="4137ADC0" w14:textId="0B66CAE6" w:rsidR="002B060D" w:rsidRPr="004B465B" w:rsidRDefault="002B060D" w:rsidP="00143BD7">
      <w:pPr>
        <w:spacing w:line="480" w:lineRule="auto"/>
        <w:ind w:left="720" w:hanging="720"/>
      </w:pPr>
      <w:r w:rsidRPr="004B465B">
        <w:t>Dymond, S., Roche, B., &amp; Bennett, M. (2013)</w:t>
      </w:r>
      <w:r w:rsidR="00D32A26" w:rsidRPr="004B465B">
        <w:t>.</w:t>
      </w:r>
      <w:r w:rsidRPr="004B465B">
        <w:t xml:space="preserve"> Relational frame theory and experimental psychopathology</w:t>
      </w:r>
      <w:r w:rsidR="00CA2E10" w:rsidRPr="004B465B">
        <w:t>,</w:t>
      </w:r>
      <w:r w:rsidRPr="004B465B">
        <w:t xml:space="preserve"> In </w:t>
      </w:r>
      <w:r w:rsidR="00D32A26" w:rsidRPr="004B465B">
        <w:t xml:space="preserve">S. Dymond &amp; B. Roche (Eds.), </w:t>
      </w:r>
      <w:r w:rsidRPr="004B465B">
        <w:rPr>
          <w:i/>
        </w:rPr>
        <w:t xml:space="preserve">Advances in </w:t>
      </w:r>
      <w:r w:rsidR="00D32A26" w:rsidRPr="004B465B">
        <w:rPr>
          <w:i/>
        </w:rPr>
        <w:t>relational frame theory &amp; contextual behavioral science</w:t>
      </w:r>
      <w:r w:rsidRPr="004B465B">
        <w:rPr>
          <w:i/>
        </w:rPr>
        <w:t xml:space="preserve">: Research </w:t>
      </w:r>
      <w:r w:rsidR="00D32A26" w:rsidRPr="004B465B">
        <w:rPr>
          <w:i/>
        </w:rPr>
        <w:t>and application</w:t>
      </w:r>
      <w:r w:rsidR="00D32A26" w:rsidRPr="004B465B">
        <w:t xml:space="preserve"> </w:t>
      </w:r>
      <w:r w:rsidR="00DF3311" w:rsidRPr="004B465B">
        <w:t>(pp. 199</w:t>
      </w:r>
      <w:r w:rsidR="00D32A26" w:rsidRPr="004B465B">
        <w:t>–</w:t>
      </w:r>
      <w:r w:rsidR="00DF3311" w:rsidRPr="004B465B">
        <w:t>218)</w:t>
      </w:r>
      <w:r w:rsidRPr="004B465B">
        <w:t>. Oakland, CA: New Harbinger.</w:t>
      </w:r>
    </w:p>
    <w:p w14:paraId="1011828F" w14:textId="77777777" w:rsidR="00075CBD" w:rsidRPr="004B465B" w:rsidRDefault="00075CBD" w:rsidP="00143BD7">
      <w:pPr>
        <w:spacing w:line="480" w:lineRule="auto"/>
        <w:ind w:left="720" w:hanging="720"/>
      </w:pPr>
      <w:r w:rsidRPr="004B465B">
        <w:lastRenderedPageBreak/>
        <w:t xml:space="preserve">Dymond, S., Roche, B., Forsyth, J. P., Whelan, R., &amp; Rhoden, J. (2007). Transformation of avoidance response functions in accordance with same and opposite relational frames. </w:t>
      </w:r>
      <w:r w:rsidRPr="004B465B">
        <w:rPr>
          <w:i/>
        </w:rPr>
        <w:t>Journal of the Experimental Analysis of Behavior, 88</w:t>
      </w:r>
      <w:r w:rsidRPr="004B465B">
        <w:t>, 249–262. doi: 0.1901/jeab.2007.88-249</w:t>
      </w:r>
    </w:p>
    <w:p w14:paraId="0ACA5955" w14:textId="01829D98" w:rsidR="00075CBD" w:rsidRPr="004B465B" w:rsidRDefault="00075CBD" w:rsidP="00143BD7">
      <w:pPr>
        <w:spacing w:line="480" w:lineRule="auto"/>
        <w:ind w:left="720" w:hanging="720"/>
      </w:pPr>
      <w:r w:rsidRPr="004B465B">
        <w:t xml:space="preserve">Garcia, A. M. (2015). A connectionist approach to functional-cognitive linguistics: Spanish pronominal clitics and verb endings in relational-network terms. </w:t>
      </w:r>
      <w:r w:rsidRPr="004B465B">
        <w:rPr>
          <w:i/>
        </w:rPr>
        <w:t>Revista Signos. Estudios de Lingüística, 48</w:t>
      </w:r>
      <w:r w:rsidRPr="004B465B">
        <w:t>, 197</w:t>
      </w:r>
      <w:r w:rsidR="00704A7A" w:rsidRPr="004B465B">
        <w:t>–</w:t>
      </w:r>
      <w:r w:rsidRPr="004B465B">
        <w:t>222.</w:t>
      </w:r>
    </w:p>
    <w:p w14:paraId="0FD1B9E5" w14:textId="0AE48100" w:rsidR="00051DFD" w:rsidRPr="004B465B" w:rsidRDefault="00051DFD" w:rsidP="00143BD7">
      <w:pPr>
        <w:spacing w:line="480" w:lineRule="auto"/>
        <w:ind w:left="720" w:hanging="720"/>
      </w:pPr>
      <w:r w:rsidRPr="004B465B">
        <w:t>Guinther, P. M. (2018). Contextual influence over deriving another's false beliefs using a relational triangulation perspective taking protocol (RT‐PTP‐M2). </w:t>
      </w:r>
      <w:r w:rsidR="00173F3E" w:rsidRPr="004B465B">
        <w:rPr>
          <w:i/>
          <w:iCs/>
        </w:rPr>
        <w:t>Journal of the Experimental Analysis of B</w:t>
      </w:r>
      <w:r w:rsidRPr="004B465B">
        <w:rPr>
          <w:i/>
          <w:iCs/>
        </w:rPr>
        <w:t>ehavior</w:t>
      </w:r>
      <w:r w:rsidRPr="004B465B">
        <w:t>, </w:t>
      </w:r>
      <w:r w:rsidRPr="004B465B">
        <w:rPr>
          <w:i/>
          <w:iCs/>
        </w:rPr>
        <w:t>110</w:t>
      </w:r>
      <w:r w:rsidRPr="004B465B">
        <w:t>, 500</w:t>
      </w:r>
      <w:r w:rsidR="00704A7A" w:rsidRPr="004B465B">
        <w:t>–</w:t>
      </w:r>
      <w:r w:rsidRPr="004B465B">
        <w:t>521.</w:t>
      </w:r>
    </w:p>
    <w:p w14:paraId="7BD53984" w14:textId="7B3599FD" w:rsidR="00075CBD" w:rsidRPr="004B465B" w:rsidRDefault="00075CBD" w:rsidP="00143BD7">
      <w:pPr>
        <w:spacing w:line="480" w:lineRule="auto"/>
        <w:ind w:left="720" w:hanging="720"/>
      </w:pPr>
      <w:r w:rsidRPr="004B465B">
        <w:t xml:space="preserve">Guinther, P. M., &amp; Dougher, M. J. (2015). The clinical relevance of stimulus equivalence and relational frame theory in influencing the behavior of verbally competent adults. </w:t>
      </w:r>
      <w:r w:rsidRPr="004B465B">
        <w:rPr>
          <w:i/>
        </w:rPr>
        <w:t>Current Opinion in Psychology, 2</w:t>
      </w:r>
      <w:r w:rsidRPr="004B465B">
        <w:t>, 21–25. doi: 10.1016/j.copsyc.2015.01.015</w:t>
      </w:r>
    </w:p>
    <w:p w14:paraId="3E0C670D" w14:textId="023AD30B" w:rsidR="00075CBD" w:rsidRPr="004B465B" w:rsidRDefault="00075CBD" w:rsidP="00143BD7">
      <w:pPr>
        <w:spacing w:line="480" w:lineRule="auto"/>
        <w:ind w:left="720" w:hanging="720"/>
      </w:pPr>
      <w:r w:rsidRPr="004B465B">
        <w:t xml:space="preserve">Halford, G. S., Wilson, W. H., &amp; Phillips, S. (2010). Relational knowledge: </w:t>
      </w:r>
      <w:r w:rsidR="00704A7A" w:rsidRPr="004B465B">
        <w:t>T</w:t>
      </w:r>
      <w:r w:rsidRPr="004B465B">
        <w:t xml:space="preserve">he foundation of higher cognition. </w:t>
      </w:r>
      <w:r w:rsidRPr="004B465B">
        <w:rPr>
          <w:i/>
        </w:rPr>
        <w:t>Trends in Cognitive Sciences, 14</w:t>
      </w:r>
      <w:r w:rsidRPr="004B465B">
        <w:t>, 497</w:t>
      </w:r>
      <w:r w:rsidR="00704A7A" w:rsidRPr="004B465B">
        <w:t>–</w:t>
      </w:r>
      <w:r w:rsidRPr="004B465B">
        <w:t>505. doi: 10.1016/j.tics.2010.08.005</w:t>
      </w:r>
    </w:p>
    <w:p w14:paraId="7CDA3F5A" w14:textId="77777777" w:rsidR="00075CBD" w:rsidRPr="004B465B" w:rsidRDefault="00075CBD" w:rsidP="00143BD7">
      <w:pPr>
        <w:spacing w:line="480" w:lineRule="auto"/>
        <w:ind w:left="720" w:hanging="720"/>
      </w:pPr>
      <w:r w:rsidRPr="004B465B">
        <w:t xml:space="preserve">Hayes, J., &amp; Stewart, I. (2016). Comparing the effects of derived relational training and computer coding on intellectual potential in school-age children. </w:t>
      </w:r>
      <w:r w:rsidRPr="004B465B">
        <w:rPr>
          <w:i/>
        </w:rPr>
        <w:t>British Journal of Educational Psychology, 86</w:t>
      </w:r>
      <w:r w:rsidRPr="004B465B">
        <w:t>(3), 397–411. doi: 10.1111/bjep.12114</w:t>
      </w:r>
    </w:p>
    <w:p w14:paraId="5BBD5388" w14:textId="77777777" w:rsidR="00075CBD" w:rsidRPr="004B465B" w:rsidRDefault="00075CBD" w:rsidP="00143BD7">
      <w:pPr>
        <w:spacing w:line="480" w:lineRule="auto"/>
        <w:ind w:left="720" w:hanging="720"/>
      </w:pPr>
      <w:r w:rsidRPr="004B465B">
        <w:t>Hayes, S. C., &amp; Barnes, D. (1997). Analy</w:t>
      </w:r>
      <w:r w:rsidR="006A1DD4" w:rsidRPr="004B465B">
        <w:t>z</w:t>
      </w:r>
      <w:r w:rsidRPr="004B465B">
        <w:t xml:space="preserve">ing derived stimulus relations requires more than the concept of stimulus class. </w:t>
      </w:r>
      <w:r w:rsidRPr="004B465B">
        <w:rPr>
          <w:i/>
        </w:rPr>
        <w:t>Journal of the Experimental Analysis of Behavior, 68</w:t>
      </w:r>
      <w:r w:rsidRPr="004B465B">
        <w:t>, 235–270.</w:t>
      </w:r>
    </w:p>
    <w:p w14:paraId="093A81B8" w14:textId="37B3BAC6" w:rsidR="00075CBD" w:rsidRPr="004B465B" w:rsidRDefault="00075CBD" w:rsidP="00143BD7">
      <w:pPr>
        <w:spacing w:line="480" w:lineRule="auto"/>
        <w:ind w:left="720" w:hanging="720"/>
      </w:pPr>
      <w:r w:rsidRPr="004B465B">
        <w:lastRenderedPageBreak/>
        <w:t xml:space="preserve">Hayes, S. C., Barnes-Holmes, D., &amp; Roche, B. (Eds.). (2001). </w:t>
      </w:r>
      <w:r w:rsidRPr="004B465B">
        <w:rPr>
          <w:i/>
        </w:rPr>
        <w:t>Relational Frame Theory: A Post-Skinnerian account of human language and cognition</w:t>
      </w:r>
      <w:r w:rsidRPr="004B465B">
        <w:t>. New York</w:t>
      </w:r>
      <w:r w:rsidR="000E4E02" w:rsidRPr="004B465B">
        <w:t>, NY</w:t>
      </w:r>
      <w:r w:rsidRPr="004B465B">
        <w:t>: Plenum Press.</w:t>
      </w:r>
    </w:p>
    <w:p w14:paraId="248F263E" w14:textId="25BEF5C2" w:rsidR="009140A6" w:rsidRPr="004B465B" w:rsidRDefault="009140A6" w:rsidP="00143BD7">
      <w:pPr>
        <w:spacing w:line="480" w:lineRule="auto"/>
        <w:ind w:left="720" w:hanging="720"/>
      </w:pPr>
      <w:r w:rsidRPr="004B465B">
        <w:t xml:space="preserve">Hayes, S. C., Barnes-Holmes, D., &amp; Wilson, K. G. (2012). Contextual Behavioral Science: Creating a science more adequate to the challenge of the human condition. </w:t>
      </w:r>
      <w:r w:rsidRPr="0033325C">
        <w:rPr>
          <w:i/>
        </w:rPr>
        <w:t>Journal of Contextual Behavioral Science, 1</w:t>
      </w:r>
      <w:r w:rsidRPr="004B465B">
        <w:t>, 1</w:t>
      </w:r>
      <w:r w:rsidR="000E4E02" w:rsidRPr="004B465B">
        <w:t>–</w:t>
      </w:r>
      <w:r w:rsidRPr="004B465B">
        <w:t>16.</w:t>
      </w:r>
    </w:p>
    <w:p w14:paraId="22BAED6B" w14:textId="29E6E620" w:rsidR="00075CBD" w:rsidRPr="004B465B" w:rsidRDefault="00075CBD" w:rsidP="00143BD7">
      <w:pPr>
        <w:spacing w:line="480" w:lineRule="auto"/>
        <w:ind w:left="720" w:hanging="720"/>
      </w:pPr>
      <w:r w:rsidRPr="004B465B">
        <w:t xml:space="preserve">Hayes, S. C., Strosahl, K. D., &amp; Wilson, K. G. (1999). </w:t>
      </w:r>
      <w:r w:rsidRPr="004B465B">
        <w:rPr>
          <w:i/>
        </w:rPr>
        <w:t xml:space="preserve">Acceptance and commitment therapy: </w:t>
      </w:r>
      <w:r w:rsidR="000E4E02" w:rsidRPr="004B465B">
        <w:rPr>
          <w:i/>
        </w:rPr>
        <w:t>A</w:t>
      </w:r>
      <w:r w:rsidRPr="004B465B">
        <w:rPr>
          <w:i/>
        </w:rPr>
        <w:t>n experiential approach to behavior change</w:t>
      </w:r>
      <w:r w:rsidRPr="004B465B">
        <w:t>. New York</w:t>
      </w:r>
      <w:r w:rsidR="000E4E02" w:rsidRPr="004B465B">
        <w:t>, NY</w:t>
      </w:r>
      <w:r w:rsidRPr="004B465B">
        <w:t>: Guilford Press.</w:t>
      </w:r>
    </w:p>
    <w:p w14:paraId="7832F3FD" w14:textId="1A173185" w:rsidR="00075CBD" w:rsidRPr="004B465B" w:rsidRDefault="00075CBD" w:rsidP="00143BD7">
      <w:pPr>
        <w:spacing w:line="480" w:lineRule="auto"/>
        <w:ind w:left="720" w:hanging="720"/>
      </w:pPr>
      <w:r w:rsidRPr="004B465B">
        <w:t xml:space="preserve">Johnson-Laird, P. N. (2010). Mental models and human reasoning. </w:t>
      </w:r>
      <w:r w:rsidRPr="004B465B">
        <w:rPr>
          <w:i/>
        </w:rPr>
        <w:t>Proceedings of the National Academy of Sciences, 107</w:t>
      </w:r>
      <w:r w:rsidRPr="004B465B">
        <w:t>, 18243</w:t>
      </w:r>
      <w:r w:rsidR="000E4E02" w:rsidRPr="004B465B">
        <w:t>–</w:t>
      </w:r>
      <w:r w:rsidRPr="004B465B">
        <w:t>28250.</w:t>
      </w:r>
    </w:p>
    <w:p w14:paraId="55C7341C" w14:textId="06D37145" w:rsidR="00E036D4" w:rsidRPr="004B465B" w:rsidRDefault="00E036D4" w:rsidP="00143BD7">
      <w:pPr>
        <w:spacing w:line="480" w:lineRule="auto"/>
        <w:ind w:left="720" w:hanging="720"/>
      </w:pPr>
      <w:r w:rsidRPr="004B465B">
        <w:t>Leisner, M., Bleris, L., Lohmueller, J., Xie, Z., &amp; Benenson, Y. (2010). Rationally designed logic integration of regulatory signals in mammalian cells.</w:t>
      </w:r>
      <w:r w:rsidR="00143BD7" w:rsidRPr="004B465B">
        <w:t xml:space="preserve"> </w:t>
      </w:r>
      <w:r w:rsidRPr="004B465B">
        <w:rPr>
          <w:i/>
          <w:iCs/>
        </w:rPr>
        <w:t>Nature</w:t>
      </w:r>
      <w:r w:rsidR="00355645" w:rsidRPr="004B465B">
        <w:rPr>
          <w:i/>
          <w:iCs/>
        </w:rPr>
        <w:t xml:space="preserve"> </w:t>
      </w:r>
      <w:r w:rsidR="0006606E" w:rsidRPr="004B465B">
        <w:rPr>
          <w:i/>
          <w:iCs/>
        </w:rPr>
        <w:t>N</w:t>
      </w:r>
      <w:r w:rsidRPr="004B465B">
        <w:rPr>
          <w:i/>
          <w:iCs/>
        </w:rPr>
        <w:t>anotechnology</w:t>
      </w:r>
      <w:r w:rsidRPr="004B465B">
        <w:t>,</w:t>
      </w:r>
      <w:r w:rsidR="00143BD7" w:rsidRPr="004B465B">
        <w:t xml:space="preserve"> </w:t>
      </w:r>
      <w:r w:rsidRPr="004B465B">
        <w:rPr>
          <w:i/>
          <w:iCs/>
        </w:rPr>
        <w:t>5</w:t>
      </w:r>
      <w:r w:rsidRPr="004B465B">
        <w:t>, 666</w:t>
      </w:r>
      <w:r w:rsidR="000E4E02" w:rsidRPr="004B465B">
        <w:t>–</w:t>
      </w:r>
      <w:r w:rsidRPr="004B465B">
        <w:t>670.</w:t>
      </w:r>
    </w:p>
    <w:p w14:paraId="5626F21C" w14:textId="78AD0F26" w:rsidR="00075CBD" w:rsidRPr="004B465B" w:rsidRDefault="00075CBD" w:rsidP="00143BD7">
      <w:pPr>
        <w:spacing w:line="480" w:lineRule="auto"/>
        <w:ind w:left="720" w:hanging="720"/>
      </w:pPr>
      <w:r w:rsidRPr="004B465B">
        <w:t xml:space="preserve">Malott, R. W. (2003). Behavior analysis and linguistic productivity. </w:t>
      </w:r>
      <w:r w:rsidRPr="004B465B">
        <w:rPr>
          <w:i/>
        </w:rPr>
        <w:t>Analysis of Verbal Behavior, 19</w:t>
      </w:r>
      <w:r w:rsidRPr="004B465B">
        <w:t>, 11–18.</w:t>
      </w:r>
    </w:p>
    <w:p w14:paraId="2F22F124" w14:textId="69045467" w:rsidR="00075CBD" w:rsidRPr="004B465B" w:rsidRDefault="00075CBD" w:rsidP="00143BD7">
      <w:pPr>
        <w:spacing w:line="480" w:lineRule="auto"/>
        <w:ind w:left="720" w:hanging="720"/>
      </w:pPr>
      <w:r w:rsidRPr="004B465B">
        <w:t>McLoughlin, S., &amp; Stewart, I. (</w:t>
      </w:r>
      <w:r w:rsidR="006633C2" w:rsidRPr="004B465B">
        <w:t>2017</w:t>
      </w:r>
      <w:r w:rsidRPr="004B465B">
        <w:t xml:space="preserve">). Empirical advances in studying relational networks. </w:t>
      </w:r>
      <w:r w:rsidRPr="004B465B">
        <w:rPr>
          <w:i/>
        </w:rPr>
        <w:t>Journal of Contextual Behavioral Science</w:t>
      </w:r>
      <w:r w:rsidR="006633C2" w:rsidRPr="004B465B">
        <w:rPr>
          <w:i/>
        </w:rPr>
        <w:t>, 6</w:t>
      </w:r>
      <w:r w:rsidR="006633C2" w:rsidRPr="004B465B">
        <w:t>, 329</w:t>
      </w:r>
      <w:r w:rsidR="000E4E02" w:rsidRPr="004B465B">
        <w:t>–</w:t>
      </w:r>
      <w:r w:rsidR="006633C2" w:rsidRPr="004B465B">
        <w:t>342</w:t>
      </w:r>
      <w:r w:rsidRPr="004B465B">
        <w:t xml:space="preserve">. </w:t>
      </w:r>
      <w:r w:rsidR="000E4E02" w:rsidRPr="004B465B">
        <w:t xml:space="preserve">doi: </w:t>
      </w:r>
      <w:r w:rsidR="00051DFD" w:rsidRPr="004B465B">
        <w:t>10.1016/j.jcbs.2016.11.009</w:t>
      </w:r>
    </w:p>
    <w:p w14:paraId="6A89CB2A" w14:textId="583A2F92" w:rsidR="00051DFD" w:rsidRPr="004B465B" w:rsidRDefault="00051DFD" w:rsidP="00143BD7">
      <w:pPr>
        <w:spacing w:line="480" w:lineRule="auto"/>
        <w:ind w:left="720" w:hanging="720"/>
      </w:pPr>
      <w:r w:rsidRPr="004B465B">
        <w:t>McLoughlin, S., Tyndall, I., &amp; Pereira, A. (2018). Piloting a brief relational operant training program: analyses of response latencies and intelligence test performance.</w:t>
      </w:r>
      <w:r w:rsidR="00143BD7" w:rsidRPr="004B465B">
        <w:t xml:space="preserve"> </w:t>
      </w:r>
      <w:r w:rsidRPr="004B465B">
        <w:rPr>
          <w:i/>
          <w:iCs/>
        </w:rPr>
        <w:t>European Journal of Behavior Analysis</w:t>
      </w:r>
      <w:r w:rsidRPr="004B465B">
        <w:t>, 1</w:t>
      </w:r>
      <w:r w:rsidR="000E4E02" w:rsidRPr="004B465B">
        <w:t>–</w:t>
      </w:r>
      <w:r w:rsidRPr="004B465B">
        <w:t xml:space="preserve">19. </w:t>
      </w:r>
      <w:r w:rsidR="000E4E02" w:rsidRPr="004B465B">
        <w:t xml:space="preserve">doi: </w:t>
      </w:r>
      <w:r w:rsidRPr="004B465B">
        <w:t>10.1080/15021149.2018.1507087</w:t>
      </w:r>
    </w:p>
    <w:p w14:paraId="43440956" w14:textId="77777777" w:rsidR="00075CBD" w:rsidRPr="004B465B" w:rsidRDefault="00075CBD" w:rsidP="00143BD7">
      <w:pPr>
        <w:spacing w:line="480" w:lineRule="auto"/>
        <w:ind w:left="720" w:hanging="720"/>
      </w:pPr>
      <w:r w:rsidRPr="004B465B">
        <w:t xml:space="preserve">McTiernan, A., Holloway, J., Healy, O., &amp; Hogan, M. (2015). A randomized controlled trial of the Morningside math facts curriculum on fluency, stability, endurance, and application outcomes. </w:t>
      </w:r>
      <w:r w:rsidRPr="004B465B">
        <w:rPr>
          <w:i/>
        </w:rPr>
        <w:t>Journal of Behavioral Education, 25</w:t>
      </w:r>
      <w:r w:rsidRPr="004B465B">
        <w:t>, 49–68.</w:t>
      </w:r>
    </w:p>
    <w:p w14:paraId="2427047B" w14:textId="4B3FE242" w:rsidR="00075CBD" w:rsidRPr="004B465B" w:rsidRDefault="00075CBD" w:rsidP="00143BD7">
      <w:pPr>
        <w:spacing w:line="480" w:lineRule="auto"/>
        <w:ind w:left="720" w:hanging="720"/>
      </w:pPr>
      <w:r w:rsidRPr="004B465B">
        <w:lastRenderedPageBreak/>
        <w:t xml:space="preserve">Moran, L., Walsh, L., Stewart, I., McElwee, J., &amp; Ming, S. (2015). Correlating derived relational responding with linguistic and cognitive ability in children with autism spectrum disorders. </w:t>
      </w:r>
      <w:r w:rsidRPr="004B465B">
        <w:rPr>
          <w:i/>
        </w:rPr>
        <w:t>Research in Autism Spectrum Disorders, 19</w:t>
      </w:r>
      <w:r w:rsidRPr="004B465B">
        <w:t xml:space="preserve">, 32–43. </w:t>
      </w:r>
      <w:r w:rsidR="000E4E02" w:rsidRPr="004B465B">
        <w:t xml:space="preserve">doi: </w:t>
      </w:r>
      <w:r w:rsidRPr="004B465B">
        <w:t>10.1016/j.rasd.2014.12.015</w:t>
      </w:r>
    </w:p>
    <w:p w14:paraId="07E3AD2B" w14:textId="77777777" w:rsidR="00075CBD" w:rsidRPr="004B465B" w:rsidRDefault="00075CBD" w:rsidP="00143BD7">
      <w:pPr>
        <w:spacing w:line="480" w:lineRule="auto"/>
        <w:ind w:left="720" w:hanging="720"/>
      </w:pPr>
      <w:r w:rsidRPr="004B465B">
        <w:t xml:space="preserve">O’Hora, D., Barnes-Holmes, D., Roche, B., &amp; Smeets, P. (2004). Derived relational networks as novel instructions: A possible model of generative verbal control. </w:t>
      </w:r>
      <w:r w:rsidRPr="004B465B">
        <w:rPr>
          <w:i/>
        </w:rPr>
        <w:t>The Psychological Record, 54</w:t>
      </w:r>
      <w:r w:rsidRPr="004B465B">
        <w:t>, 437–460.</w:t>
      </w:r>
    </w:p>
    <w:p w14:paraId="4476ECDD" w14:textId="6CD7DF3B" w:rsidR="00075CBD" w:rsidRPr="004B465B" w:rsidRDefault="00075CBD" w:rsidP="00143BD7">
      <w:pPr>
        <w:spacing w:line="480" w:lineRule="auto"/>
        <w:ind w:left="720" w:hanging="720"/>
      </w:pPr>
      <w:r w:rsidRPr="004B465B">
        <w:t xml:space="preserve">O’Hora, D., Pelaez, M., Barnes-Holmes, D., Rae, G., Robinson, K., &amp; Chaudhary, T. (2008). Temporal relations and intelligence: Correlating relational performance with performance on the WAIS-III. </w:t>
      </w:r>
      <w:r w:rsidRPr="004B465B">
        <w:rPr>
          <w:i/>
        </w:rPr>
        <w:t>The Psychological Record, 58</w:t>
      </w:r>
      <w:r w:rsidRPr="004B465B">
        <w:t>, 569</w:t>
      </w:r>
      <w:r w:rsidR="000E4E02" w:rsidRPr="004B465B">
        <w:t>–</w:t>
      </w:r>
      <w:r w:rsidRPr="004B465B">
        <w:t>584.</w:t>
      </w:r>
    </w:p>
    <w:p w14:paraId="2169B480" w14:textId="309BD1CC" w:rsidR="00F852E7" w:rsidRPr="004B465B" w:rsidRDefault="00F852E7" w:rsidP="00143BD7">
      <w:pPr>
        <w:spacing w:line="480" w:lineRule="auto"/>
        <w:ind w:left="720" w:hanging="720"/>
      </w:pPr>
      <w:r w:rsidRPr="004B465B">
        <w:t>Paternò, F., Mancini, C., &amp; Meniconi, S. (1997). ConcurTaskTrees: A diagrammatic notation for specifying task models. In</w:t>
      </w:r>
      <w:r w:rsidR="00143BD7" w:rsidRPr="004B465B">
        <w:t xml:space="preserve"> </w:t>
      </w:r>
      <w:r w:rsidRPr="004B465B">
        <w:rPr>
          <w:i/>
          <w:iCs/>
        </w:rPr>
        <w:t>Human-Computer Interaction INTERACT’97</w:t>
      </w:r>
      <w:r w:rsidR="00143BD7" w:rsidRPr="004B465B">
        <w:t xml:space="preserve"> </w:t>
      </w:r>
      <w:r w:rsidRPr="004B465B">
        <w:t>(pp. 362</w:t>
      </w:r>
      <w:r w:rsidR="000E4E02" w:rsidRPr="004B465B">
        <w:t>–</w:t>
      </w:r>
      <w:r w:rsidRPr="004B465B">
        <w:t xml:space="preserve">369). </w:t>
      </w:r>
      <w:r w:rsidR="0006606E" w:rsidRPr="004B465B">
        <w:t xml:space="preserve">New York, NY: </w:t>
      </w:r>
      <w:r w:rsidRPr="004B465B">
        <w:t>Springer</w:t>
      </w:r>
      <w:r w:rsidR="000E4E02" w:rsidRPr="004B465B">
        <w:t>.</w:t>
      </w:r>
    </w:p>
    <w:p w14:paraId="6F3E60A6" w14:textId="64CC4038" w:rsidR="008B43FD" w:rsidRPr="004B465B" w:rsidRDefault="008B43FD" w:rsidP="00143BD7">
      <w:pPr>
        <w:spacing w:line="480" w:lineRule="auto"/>
        <w:ind w:left="720" w:hanging="720"/>
      </w:pPr>
      <w:r w:rsidRPr="004B465B">
        <w:t xml:space="preserve">Peltomäki, M., &amp; Salakoski, T. (2004). Strict logical notation is not a part of the problem but a part of the solution for teaching high-school mathematics. </w:t>
      </w:r>
      <w:r w:rsidRPr="004B465B">
        <w:rPr>
          <w:i/>
        </w:rPr>
        <w:t>Proceedings of Koli Calling</w:t>
      </w:r>
      <w:r w:rsidRPr="004B465B">
        <w:t>, 116</w:t>
      </w:r>
      <w:r w:rsidR="000E4E02" w:rsidRPr="004B465B">
        <w:t>–</w:t>
      </w:r>
      <w:r w:rsidRPr="004B465B">
        <w:t>120.</w:t>
      </w:r>
    </w:p>
    <w:p w14:paraId="470EAB74" w14:textId="0AC89EA1" w:rsidR="00075CBD" w:rsidRPr="004B465B" w:rsidRDefault="00075CBD" w:rsidP="00143BD7">
      <w:pPr>
        <w:spacing w:line="480" w:lineRule="auto"/>
        <w:ind w:left="720" w:hanging="720"/>
      </w:pPr>
      <w:r w:rsidRPr="004B465B">
        <w:t xml:space="preserve">Perez, W. F., Fidalgo, A. P., Kovac, R., &amp; Nico, Y. C. (2015). The transfer of Cfunc contextual control through equivalence relations. </w:t>
      </w:r>
      <w:r w:rsidRPr="004B465B">
        <w:rPr>
          <w:i/>
        </w:rPr>
        <w:t>Journal of the Experimental Analysis of Behavior, 103</w:t>
      </w:r>
      <w:r w:rsidRPr="004B465B">
        <w:t>, 511–523. doi: 10.1002/jeab.150</w:t>
      </w:r>
    </w:p>
    <w:p w14:paraId="18D45164" w14:textId="4D7A4ABF" w:rsidR="00743CE2" w:rsidRPr="004B465B" w:rsidRDefault="00743CE2" w:rsidP="00143BD7">
      <w:pPr>
        <w:spacing w:line="480" w:lineRule="auto"/>
        <w:ind w:left="720" w:hanging="720"/>
      </w:pPr>
      <w:r w:rsidRPr="004B465B">
        <w:t xml:space="preserve">Quinones, J. L., &amp; Hayes, S. C. (2014). Relational coherence in ambiguous and unambiguous relational networks. </w:t>
      </w:r>
      <w:r w:rsidR="00C524E8" w:rsidRPr="004B465B">
        <w:rPr>
          <w:i/>
        </w:rPr>
        <w:t>Journal of the Experimental Analysis of B</w:t>
      </w:r>
      <w:r w:rsidRPr="004B465B">
        <w:rPr>
          <w:i/>
        </w:rPr>
        <w:t>ehavior, 101</w:t>
      </w:r>
      <w:r w:rsidRPr="004B465B">
        <w:t>, 76</w:t>
      </w:r>
      <w:r w:rsidR="000E4E02" w:rsidRPr="004B465B">
        <w:t>–</w:t>
      </w:r>
      <w:r w:rsidRPr="004B465B">
        <w:t>93. doi: 10.1002/jeab.67</w:t>
      </w:r>
    </w:p>
    <w:p w14:paraId="24433169" w14:textId="143482D9" w:rsidR="00075CBD" w:rsidRPr="004B465B" w:rsidRDefault="00075CBD" w:rsidP="00143BD7">
      <w:pPr>
        <w:spacing w:line="480" w:lineRule="auto"/>
        <w:ind w:left="720" w:hanging="720"/>
      </w:pPr>
      <w:r w:rsidRPr="004B465B">
        <w:lastRenderedPageBreak/>
        <w:t xml:space="preserve">Ramey, D., Lydon, S., Healy, O., McCoy, A., Holloway, J., &amp; Mulhern, T. (2016). A systematic review of the effectiveness of precision teaching for individuals with developmental disabilities. </w:t>
      </w:r>
      <w:r w:rsidRPr="004B465B">
        <w:rPr>
          <w:i/>
        </w:rPr>
        <w:t xml:space="preserve">Journal of Autism </w:t>
      </w:r>
      <w:r w:rsidR="000E4E02" w:rsidRPr="004B465B">
        <w:rPr>
          <w:i/>
        </w:rPr>
        <w:t>&amp;</w:t>
      </w:r>
      <w:r w:rsidRPr="004B465B">
        <w:rPr>
          <w:i/>
        </w:rPr>
        <w:t xml:space="preserve"> Developmental Disorders, 3</w:t>
      </w:r>
      <w:r w:rsidRPr="004B465B">
        <w:t>, 179–195.</w:t>
      </w:r>
    </w:p>
    <w:p w14:paraId="40CB58F2" w14:textId="3D8C7501" w:rsidR="00075CBD" w:rsidRPr="004B465B" w:rsidRDefault="00075CBD" w:rsidP="00143BD7">
      <w:pPr>
        <w:spacing w:line="480" w:lineRule="auto"/>
        <w:ind w:left="720" w:hanging="720"/>
      </w:pPr>
      <w:r w:rsidRPr="004B465B">
        <w:t xml:space="preserve">Sidman, M. (1971). Reading and auditory-visual equivalences. </w:t>
      </w:r>
      <w:r w:rsidRPr="004B465B">
        <w:rPr>
          <w:i/>
        </w:rPr>
        <w:t xml:space="preserve">Journal of Speech </w:t>
      </w:r>
      <w:r w:rsidR="000E4E02" w:rsidRPr="004B465B">
        <w:rPr>
          <w:i/>
        </w:rPr>
        <w:t>&amp;</w:t>
      </w:r>
      <w:r w:rsidRPr="004B465B">
        <w:rPr>
          <w:i/>
        </w:rPr>
        <w:t xml:space="preserve"> Hearing Research, 14</w:t>
      </w:r>
      <w:r w:rsidRPr="004B465B">
        <w:t>, 5–13.</w:t>
      </w:r>
    </w:p>
    <w:p w14:paraId="5420008C" w14:textId="23356205" w:rsidR="00075CBD" w:rsidRPr="004B465B" w:rsidRDefault="00075CBD" w:rsidP="00143BD7">
      <w:pPr>
        <w:spacing w:line="480" w:lineRule="auto"/>
        <w:ind w:left="720" w:hanging="720"/>
      </w:pPr>
      <w:r w:rsidRPr="004B465B">
        <w:t xml:space="preserve">Sidman, M. (1994). </w:t>
      </w:r>
      <w:r w:rsidRPr="004B465B">
        <w:rPr>
          <w:i/>
        </w:rPr>
        <w:t xml:space="preserve">Equivalence relations and behaviour: </w:t>
      </w:r>
      <w:r w:rsidR="0006606E" w:rsidRPr="004B465B">
        <w:rPr>
          <w:i/>
        </w:rPr>
        <w:t>A</w:t>
      </w:r>
      <w:r w:rsidRPr="004B465B">
        <w:rPr>
          <w:i/>
        </w:rPr>
        <w:t xml:space="preserve"> research story</w:t>
      </w:r>
      <w:r w:rsidRPr="004B465B">
        <w:t>. Boston</w:t>
      </w:r>
      <w:r w:rsidR="000E4E02" w:rsidRPr="004B465B">
        <w:t>, MA</w:t>
      </w:r>
      <w:r w:rsidRPr="004B465B">
        <w:t>: Authors Cooperative.</w:t>
      </w:r>
      <w:r w:rsidR="00143BD7" w:rsidRPr="004B465B">
        <w:t xml:space="preserve"> </w:t>
      </w:r>
    </w:p>
    <w:p w14:paraId="6AC1E362" w14:textId="50718DB7" w:rsidR="00173F3E" w:rsidRPr="004B465B" w:rsidRDefault="00173F3E" w:rsidP="00143BD7">
      <w:pPr>
        <w:spacing w:line="480" w:lineRule="auto"/>
        <w:ind w:left="720" w:hanging="720"/>
      </w:pPr>
      <w:r w:rsidRPr="004B465B">
        <w:t xml:space="preserve">Simons, D. J., &amp; Levin, D. T. (1997). Change blindness. </w:t>
      </w:r>
      <w:r w:rsidRPr="004B465B">
        <w:rPr>
          <w:i/>
        </w:rPr>
        <w:t>Trends in Cognitive Science, 1</w:t>
      </w:r>
      <w:r w:rsidRPr="004B465B">
        <w:t>, 261</w:t>
      </w:r>
      <w:r w:rsidR="000E4E02" w:rsidRPr="004B465B">
        <w:t>–</w:t>
      </w:r>
      <w:r w:rsidRPr="004B465B">
        <w:t>267.</w:t>
      </w:r>
    </w:p>
    <w:p w14:paraId="2B3D0F5A" w14:textId="77777777" w:rsidR="00075CBD" w:rsidRPr="004B465B" w:rsidRDefault="00075CBD" w:rsidP="00143BD7">
      <w:pPr>
        <w:spacing w:line="480" w:lineRule="auto"/>
        <w:ind w:left="720" w:hanging="720"/>
      </w:pPr>
      <w:r w:rsidRPr="004B465B">
        <w:t xml:space="preserve">Slattery, B., &amp; Stewart, I. (2014). Hierarchical classification as relational framing. </w:t>
      </w:r>
      <w:r w:rsidRPr="004B465B">
        <w:rPr>
          <w:i/>
        </w:rPr>
        <w:t>Journal of the Experimental Analysis of Behavior, 101</w:t>
      </w:r>
      <w:r w:rsidRPr="004B465B">
        <w:t>, 61–75.</w:t>
      </w:r>
    </w:p>
    <w:p w14:paraId="6082C6FC" w14:textId="77777777" w:rsidR="00075CBD" w:rsidRPr="004B465B" w:rsidRDefault="00075CBD" w:rsidP="00143BD7">
      <w:pPr>
        <w:spacing w:line="480" w:lineRule="auto"/>
        <w:ind w:left="720" w:hanging="720"/>
      </w:pPr>
      <w:r w:rsidRPr="004B465B">
        <w:t xml:space="preserve">Slattery, B., Stewart, I., &amp; O’Hora, D. (2011). Testing for transitive class containment as a feature of hierarchical classification. </w:t>
      </w:r>
      <w:r w:rsidRPr="004B465B">
        <w:rPr>
          <w:i/>
        </w:rPr>
        <w:t>Journal of the Experimental Analysis of Behavior, 96</w:t>
      </w:r>
      <w:r w:rsidRPr="004B465B">
        <w:t>, 243–260. doi: 10.1901/jeab.2011.96-243</w:t>
      </w:r>
    </w:p>
    <w:p w14:paraId="1418A2D7" w14:textId="77777777" w:rsidR="00075CBD" w:rsidRPr="004B465B" w:rsidRDefault="00075CBD" w:rsidP="00143BD7">
      <w:pPr>
        <w:spacing w:line="480" w:lineRule="auto"/>
        <w:ind w:left="720" w:hanging="720"/>
      </w:pPr>
      <w:r w:rsidRPr="004B465B">
        <w:t xml:space="preserve">Steele, D. L., &amp; Hayes, S. C. (1991). Stimulus equivalence and arbitrarily applicable relational responding. </w:t>
      </w:r>
      <w:r w:rsidRPr="004B465B">
        <w:rPr>
          <w:i/>
        </w:rPr>
        <w:t>Journal of the Experimental Analysis of Behavior, 56</w:t>
      </w:r>
      <w:r w:rsidRPr="004B465B">
        <w:t>, 519–555. doi:10.1901/jeab.1991.56-519</w:t>
      </w:r>
    </w:p>
    <w:p w14:paraId="102BDE29" w14:textId="77777777" w:rsidR="00075CBD" w:rsidRPr="004B465B" w:rsidRDefault="00075CBD" w:rsidP="00143BD7">
      <w:pPr>
        <w:spacing w:line="480" w:lineRule="auto"/>
        <w:ind w:left="720" w:hanging="720"/>
      </w:pPr>
      <w:r w:rsidRPr="004B465B">
        <w:t xml:space="preserve">Stewart, I., Barnes-Holmes, D., &amp; Roche, B. (2004). A functional-analytic model of analogy using the relational evaluation procedure. </w:t>
      </w:r>
      <w:r w:rsidRPr="004B465B">
        <w:rPr>
          <w:i/>
        </w:rPr>
        <w:t>The Psychological Record, 54</w:t>
      </w:r>
      <w:r w:rsidRPr="004B465B">
        <w:t>, 531–552.</w:t>
      </w:r>
    </w:p>
    <w:p w14:paraId="7DF68C61" w14:textId="29F9B37B" w:rsidR="00075CBD" w:rsidRPr="004B465B" w:rsidRDefault="00075CBD" w:rsidP="00143BD7">
      <w:pPr>
        <w:spacing w:line="480" w:lineRule="auto"/>
        <w:ind w:left="720" w:hanging="720"/>
      </w:pPr>
      <w:r w:rsidRPr="004B465B">
        <w:t xml:space="preserve">Stewart, I., McElwee, J., &amp; Ming, S. (2013). Language generativity, response generalization, and derived relational responding. </w:t>
      </w:r>
      <w:r w:rsidRPr="004B465B">
        <w:rPr>
          <w:i/>
        </w:rPr>
        <w:t>Analysis of Verbal Behavior, 29</w:t>
      </w:r>
      <w:r w:rsidRPr="004B465B">
        <w:t>, 137–155.</w:t>
      </w:r>
    </w:p>
    <w:p w14:paraId="76745BFF" w14:textId="71606785" w:rsidR="00075CBD" w:rsidRPr="004B465B" w:rsidRDefault="00075CBD" w:rsidP="00143BD7">
      <w:pPr>
        <w:spacing w:line="480" w:lineRule="auto"/>
        <w:ind w:left="720" w:hanging="720"/>
      </w:pPr>
      <w:r w:rsidRPr="004B465B">
        <w:lastRenderedPageBreak/>
        <w:t xml:space="preserve">Stewart, C., Stewart, I., &amp; Hughes, S. (2016). A contextual behavioral approach to the study of (persecutory) delusions. </w:t>
      </w:r>
      <w:r w:rsidRPr="004B465B">
        <w:rPr>
          <w:i/>
        </w:rPr>
        <w:t>Journal of Contextual Behavioral Science, 5</w:t>
      </w:r>
      <w:r w:rsidRPr="004B465B">
        <w:t>, 235–246. doi: 10.1016/j.jcbs.2016.09.002</w:t>
      </w:r>
    </w:p>
    <w:p w14:paraId="68FA4217" w14:textId="1A704032" w:rsidR="00075CBD" w:rsidRPr="004B465B" w:rsidRDefault="00F556AE" w:rsidP="00143BD7">
      <w:pPr>
        <w:spacing w:line="480" w:lineRule="auto"/>
        <w:ind w:left="720" w:hanging="720"/>
      </w:pPr>
      <w:r w:rsidRPr="004B465B">
        <w:t>Törneke</w:t>
      </w:r>
      <w:r w:rsidR="00075CBD" w:rsidRPr="004B465B">
        <w:t xml:space="preserve">, N. (2010). </w:t>
      </w:r>
      <w:r w:rsidR="00075CBD" w:rsidRPr="004B465B">
        <w:rPr>
          <w:i/>
        </w:rPr>
        <w:t>Learning RFT: an introduction to relational frame theory and its clinical application</w:t>
      </w:r>
      <w:r w:rsidR="00075CBD" w:rsidRPr="004B465B">
        <w:t>. Oakland, CA: New Harbinger</w:t>
      </w:r>
      <w:r w:rsidR="000E4E02" w:rsidRPr="004B465B">
        <w:t>.</w:t>
      </w:r>
    </w:p>
    <w:p w14:paraId="63C66151" w14:textId="5F5B80C6" w:rsidR="00075CBD" w:rsidRPr="004B465B" w:rsidRDefault="00075CBD" w:rsidP="00143BD7">
      <w:pPr>
        <w:spacing w:line="480" w:lineRule="auto"/>
        <w:ind w:left="720" w:hanging="720"/>
      </w:pPr>
      <w:r w:rsidRPr="004B465B">
        <w:t>Villatte, M.,</w:t>
      </w:r>
      <w:r w:rsidR="00143BD7" w:rsidRPr="004B465B">
        <w:t xml:space="preserve"> </w:t>
      </w:r>
      <w:r w:rsidRPr="004B465B">
        <w:t>Villatte, J. L.</w:t>
      </w:r>
      <w:r w:rsidR="002D6F4D" w:rsidRPr="004B465B">
        <w:t>, &amp; Hayes, S. C.</w:t>
      </w:r>
      <w:r w:rsidRPr="004B465B">
        <w:t xml:space="preserve"> (2015). </w:t>
      </w:r>
      <w:r w:rsidRPr="004B465B">
        <w:rPr>
          <w:i/>
        </w:rPr>
        <w:t xml:space="preserve">Mastering the clinical conversation: </w:t>
      </w:r>
      <w:r w:rsidR="000E4E02" w:rsidRPr="004B465B">
        <w:rPr>
          <w:i/>
        </w:rPr>
        <w:t>L</w:t>
      </w:r>
      <w:r w:rsidRPr="004B465B">
        <w:rPr>
          <w:i/>
        </w:rPr>
        <w:t>anguage as intervention</w:t>
      </w:r>
      <w:r w:rsidRPr="004B465B">
        <w:t>. New York</w:t>
      </w:r>
      <w:r w:rsidR="0006606E" w:rsidRPr="004B465B">
        <w:t>, NY</w:t>
      </w:r>
      <w:r w:rsidRPr="004B465B">
        <w:t>:</w:t>
      </w:r>
      <w:r w:rsidR="00143BD7" w:rsidRPr="004B465B">
        <w:t xml:space="preserve"> </w:t>
      </w:r>
      <w:r w:rsidRPr="004B465B">
        <w:t>Guilford Press.</w:t>
      </w:r>
    </w:p>
    <w:p w14:paraId="4C904F05" w14:textId="54681820" w:rsidR="00075CBD" w:rsidRPr="004B465B" w:rsidRDefault="00075CBD" w:rsidP="00143BD7">
      <w:pPr>
        <w:spacing w:line="480" w:lineRule="auto"/>
        <w:ind w:left="720" w:hanging="720"/>
      </w:pPr>
      <w:r w:rsidRPr="004B465B">
        <w:t>Whelan, R.</w:t>
      </w:r>
      <w:r w:rsidR="000E4E02" w:rsidRPr="004B465B">
        <w:t>,</w:t>
      </w:r>
      <w:r w:rsidRPr="004B465B">
        <w:t xml:space="preserve"> &amp; Barnes-Holmes, D. (2004). The transformation of consequential functions in accordance with the relational frames of same and opposite. </w:t>
      </w:r>
      <w:r w:rsidRPr="004B465B">
        <w:rPr>
          <w:i/>
        </w:rPr>
        <w:t>Journal of the Experimental Analysis of Behavior, 82</w:t>
      </w:r>
      <w:r w:rsidRPr="004B465B">
        <w:t>(2), 177</w:t>
      </w:r>
      <w:r w:rsidR="000E4E02" w:rsidRPr="004B465B">
        <w:t>–</w:t>
      </w:r>
      <w:r w:rsidRPr="004B465B">
        <w:t>195.</w:t>
      </w:r>
    </w:p>
    <w:bookmarkEnd w:id="2"/>
    <w:p w14:paraId="5734508D" w14:textId="77777777" w:rsidR="00CB195D" w:rsidRPr="004B465B" w:rsidRDefault="00CB195D" w:rsidP="00CB195D">
      <w:pPr>
        <w:spacing w:line="480" w:lineRule="auto"/>
      </w:pPr>
    </w:p>
    <w:p w14:paraId="0D0313FB" w14:textId="77777777" w:rsidR="00CB195D" w:rsidRPr="004B465B" w:rsidRDefault="00CB195D" w:rsidP="00CB195D">
      <w:pPr>
        <w:spacing w:line="480" w:lineRule="auto"/>
      </w:pPr>
    </w:p>
    <w:p w14:paraId="4A224718" w14:textId="77777777" w:rsidR="00075CBD" w:rsidRPr="004B465B" w:rsidRDefault="00075CBD" w:rsidP="00CB195D">
      <w:pPr>
        <w:spacing w:line="480" w:lineRule="auto"/>
      </w:pPr>
      <w:r w:rsidRPr="004B465B">
        <w:br w:type="page"/>
      </w:r>
    </w:p>
    <w:tbl>
      <w:tblPr>
        <w:tblW w:w="8925" w:type="dxa"/>
        <w:tblBorders>
          <w:top w:val="single" w:sz="12" w:space="0" w:color="000000"/>
          <w:bottom w:val="single" w:sz="12" w:space="0" w:color="000000"/>
        </w:tblBorders>
        <w:tblLayout w:type="fixed"/>
        <w:tblLook w:val="04A0" w:firstRow="1" w:lastRow="0" w:firstColumn="1" w:lastColumn="0" w:noHBand="0" w:noVBand="1"/>
      </w:tblPr>
      <w:tblGrid>
        <w:gridCol w:w="1101"/>
        <w:gridCol w:w="7516"/>
        <w:gridCol w:w="308"/>
      </w:tblGrid>
      <w:tr w:rsidR="00075CBD" w:rsidRPr="004B465B" w14:paraId="7807E3AB" w14:textId="77777777" w:rsidTr="006C6A04">
        <w:trPr>
          <w:gridAfter w:val="1"/>
          <w:wAfter w:w="308" w:type="dxa"/>
          <w:trHeight w:val="624"/>
        </w:trPr>
        <w:tc>
          <w:tcPr>
            <w:tcW w:w="1101" w:type="dxa"/>
            <w:tcBorders>
              <w:top w:val="nil"/>
              <w:left w:val="nil"/>
              <w:bottom w:val="nil"/>
              <w:right w:val="single" w:sz="4" w:space="0" w:color="FFFFFF"/>
            </w:tcBorders>
          </w:tcPr>
          <w:p w14:paraId="200E456D" w14:textId="77777777" w:rsidR="00075CBD" w:rsidRPr="004B465B" w:rsidRDefault="00075CBD" w:rsidP="006C6A04">
            <w:pPr>
              <w:pStyle w:val="BodyText"/>
              <w:tabs>
                <w:tab w:val="clear" w:pos="8640"/>
              </w:tabs>
              <w:ind w:firstLine="0"/>
              <w:rPr>
                <w:iCs/>
                <w:lang w:val="en-US"/>
              </w:rPr>
            </w:pPr>
            <w:r w:rsidRPr="004B465B">
              <w:rPr>
                <w:iCs/>
                <w:lang w:val="en-US"/>
              </w:rPr>
              <w:lastRenderedPageBreak/>
              <w:t>Table 1</w:t>
            </w:r>
          </w:p>
        </w:tc>
        <w:tc>
          <w:tcPr>
            <w:tcW w:w="7516" w:type="dxa"/>
            <w:tcBorders>
              <w:top w:val="nil"/>
              <w:left w:val="single" w:sz="4" w:space="0" w:color="FFFFFF"/>
              <w:bottom w:val="nil"/>
              <w:right w:val="nil"/>
            </w:tcBorders>
          </w:tcPr>
          <w:p w14:paraId="5E8A3B0A" w14:textId="77777777" w:rsidR="00075CBD" w:rsidRPr="004B465B" w:rsidRDefault="00075CBD" w:rsidP="006C6A04">
            <w:pPr>
              <w:pStyle w:val="BodyText"/>
              <w:tabs>
                <w:tab w:val="clear" w:pos="8640"/>
              </w:tabs>
              <w:ind w:firstLine="0"/>
              <w:rPr>
                <w:iCs/>
                <w:lang w:val="en-US"/>
              </w:rPr>
            </w:pPr>
          </w:p>
        </w:tc>
      </w:tr>
      <w:tr w:rsidR="00075CBD" w:rsidRPr="004B465B" w14:paraId="20116F44" w14:textId="77777777" w:rsidTr="006C6A04">
        <w:trPr>
          <w:gridAfter w:val="1"/>
          <w:wAfter w:w="308" w:type="dxa"/>
          <w:trHeight w:val="624"/>
        </w:trPr>
        <w:tc>
          <w:tcPr>
            <w:tcW w:w="8617" w:type="dxa"/>
            <w:gridSpan w:val="2"/>
            <w:tcBorders>
              <w:top w:val="nil"/>
              <w:left w:val="nil"/>
              <w:bottom w:val="single" w:sz="6" w:space="0" w:color="000000"/>
              <w:right w:val="single" w:sz="4" w:space="0" w:color="FFFFFF"/>
            </w:tcBorders>
          </w:tcPr>
          <w:p w14:paraId="61B60CAF" w14:textId="77777777" w:rsidR="00075CBD" w:rsidRPr="004B465B" w:rsidRDefault="00075CBD" w:rsidP="006C6A04">
            <w:pPr>
              <w:pStyle w:val="BodyText"/>
              <w:tabs>
                <w:tab w:val="clear" w:pos="8640"/>
              </w:tabs>
              <w:ind w:firstLine="0"/>
              <w:rPr>
                <w:i/>
                <w:iCs/>
                <w:lang w:val="en-US"/>
              </w:rPr>
            </w:pPr>
            <w:r w:rsidRPr="004B465B">
              <w:rPr>
                <w:i/>
                <w:iCs/>
                <w:lang w:val="en-US"/>
              </w:rPr>
              <w:t>Relational Frame Theory Notation</w:t>
            </w:r>
          </w:p>
        </w:tc>
      </w:tr>
      <w:tr w:rsidR="00075CBD" w:rsidRPr="004B465B" w14:paraId="5B549843" w14:textId="77777777" w:rsidTr="006C6A04">
        <w:trPr>
          <w:gridAfter w:val="1"/>
          <w:wAfter w:w="308" w:type="dxa"/>
          <w:trHeight w:val="624"/>
        </w:trPr>
        <w:tc>
          <w:tcPr>
            <w:tcW w:w="1101" w:type="dxa"/>
            <w:tcBorders>
              <w:top w:val="single" w:sz="4" w:space="0" w:color="auto"/>
              <w:left w:val="nil"/>
              <w:bottom w:val="single" w:sz="6" w:space="0" w:color="000000"/>
              <w:right w:val="single" w:sz="4" w:space="0" w:color="FFFFFF"/>
            </w:tcBorders>
          </w:tcPr>
          <w:p w14:paraId="57E64770" w14:textId="77777777" w:rsidR="00075CBD" w:rsidRPr="004B465B" w:rsidRDefault="00075CBD" w:rsidP="006C6A04">
            <w:pPr>
              <w:pStyle w:val="BodyText"/>
              <w:tabs>
                <w:tab w:val="clear" w:pos="8640"/>
              </w:tabs>
              <w:ind w:firstLine="0"/>
              <w:rPr>
                <w:iCs/>
                <w:lang w:val="en-US"/>
              </w:rPr>
            </w:pPr>
            <w:r w:rsidRPr="004B465B">
              <w:rPr>
                <w:iCs/>
                <w:lang w:val="en-US"/>
              </w:rPr>
              <w:t>Syntax</w:t>
            </w:r>
          </w:p>
        </w:tc>
        <w:tc>
          <w:tcPr>
            <w:tcW w:w="7516" w:type="dxa"/>
            <w:tcBorders>
              <w:top w:val="single" w:sz="4" w:space="0" w:color="auto"/>
              <w:left w:val="single" w:sz="4" w:space="0" w:color="FFFFFF"/>
              <w:bottom w:val="single" w:sz="6" w:space="0" w:color="000000"/>
              <w:right w:val="nil"/>
            </w:tcBorders>
          </w:tcPr>
          <w:p w14:paraId="384F7552" w14:textId="77777777" w:rsidR="00075CBD" w:rsidRPr="004B465B" w:rsidRDefault="00075CBD" w:rsidP="006C6A04">
            <w:pPr>
              <w:pStyle w:val="BodyText"/>
              <w:tabs>
                <w:tab w:val="clear" w:pos="8640"/>
              </w:tabs>
              <w:ind w:firstLine="0"/>
              <w:rPr>
                <w:iCs/>
                <w:lang w:val="en-US"/>
              </w:rPr>
            </w:pPr>
            <w:r w:rsidRPr="004B465B">
              <w:rPr>
                <w:iCs/>
                <w:lang w:val="en-US"/>
              </w:rPr>
              <w:t>Meaning</w:t>
            </w:r>
          </w:p>
        </w:tc>
      </w:tr>
      <w:tr w:rsidR="00075CBD" w:rsidRPr="004B465B" w14:paraId="75A0AD54" w14:textId="77777777" w:rsidTr="006C6A04">
        <w:tc>
          <w:tcPr>
            <w:tcW w:w="1101" w:type="dxa"/>
            <w:tcBorders>
              <w:top w:val="nil"/>
              <w:left w:val="nil"/>
              <w:bottom w:val="nil"/>
              <w:right w:val="single" w:sz="4" w:space="0" w:color="FFFFFF"/>
            </w:tcBorders>
            <w:hideMark/>
          </w:tcPr>
          <w:p w14:paraId="57623B7F" w14:textId="77777777" w:rsidR="00075CBD" w:rsidRPr="004B465B" w:rsidRDefault="00075CBD" w:rsidP="006C6A04">
            <w:pPr>
              <w:pStyle w:val="BodyText"/>
              <w:tabs>
                <w:tab w:val="clear" w:pos="8640"/>
              </w:tabs>
              <w:ind w:firstLine="0"/>
              <w:rPr>
                <w:lang w:val="en-US"/>
              </w:rPr>
            </w:pPr>
            <w:r w:rsidRPr="004B465B">
              <w:rPr>
                <w:lang w:val="en-US"/>
              </w:rPr>
              <w:t>C</w:t>
            </w:r>
            <w:r w:rsidRPr="004B465B">
              <w:rPr>
                <w:vertAlign w:val="subscript"/>
                <w:lang w:val="en-US"/>
              </w:rPr>
              <w:t>rel</w:t>
            </w:r>
          </w:p>
        </w:tc>
        <w:tc>
          <w:tcPr>
            <w:tcW w:w="7516" w:type="dxa"/>
            <w:tcBorders>
              <w:top w:val="nil"/>
              <w:left w:val="single" w:sz="4" w:space="0" w:color="FFFFFF"/>
              <w:bottom w:val="nil"/>
              <w:right w:val="nil"/>
            </w:tcBorders>
            <w:hideMark/>
          </w:tcPr>
          <w:p w14:paraId="6E916C52" w14:textId="77777777" w:rsidR="00075CBD" w:rsidRPr="004B465B" w:rsidRDefault="00075CBD" w:rsidP="006C6A04">
            <w:pPr>
              <w:pStyle w:val="BodyText"/>
              <w:tabs>
                <w:tab w:val="clear" w:pos="8640"/>
              </w:tabs>
              <w:ind w:firstLine="0"/>
              <w:rPr>
                <w:lang w:val="en-US"/>
              </w:rPr>
            </w:pPr>
            <w:r w:rsidRPr="004B465B">
              <w:rPr>
                <w:lang w:val="en-US"/>
              </w:rPr>
              <w:t>Contextual contingencies selecting a relational response</w:t>
            </w:r>
          </w:p>
        </w:tc>
        <w:tc>
          <w:tcPr>
            <w:tcW w:w="308" w:type="dxa"/>
            <w:vMerge w:val="restart"/>
            <w:tcBorders>
              <w:top w:val="nil"/>
              <w:left w:val="nil"/>
              <w:right w:val="nil"/>
            </w:tcBorders>
          </w:tcPr>
          <w:p w14:paraId="5BF58949" w14:textId="77777777" w:rsidR="00075CBD" w:rsidRPr="004B465B" w:rsidRDefault="00075CBD" w:rsidP="006C6A04">
            <w:pPr>
              <w:pStyle w:val="BodyText"/>
              <w:ind w:firstLine="0"/>
              <w:rPr>
                <w:lang w:val="en-US"/>
              </w:rPr>
            </w:pPr>
          </w:p>
        </w:tc>
      </w:tr>
      <w:tr w:rsidR="00075CBD" w:rsidRPr="004B465B" w14:paraId="63471CB9" w14:textId="77777777" w:rsidTr="006C6A04">
        <w:tc>
          <w:tcPr>
            <w:tcW w:w="1101" w:type="dxa"/>
            <w:tcBorders>
              <w:top w:val="nil"/>
              <w:left w:val="nil"/>
              <w:bottom w:val="nil"/>
              <w:right w:val="single" w:sz="4" w:space="0" w:color="FFFFFF"/>
            </w:tcBorders>
            <w:hideMark/>
          </w:tcPr>
          <w:p w14:paraId="30265A5D" w14:textId="77777777" w:rsidR="00075CBD" w:rsidRPr="004B465B" w:rsidRDefault="00075CBD" w:rsidP="006C6A04">
            <w:pPr>
              <w:pStyle w:val="BodyText"/>
              <w:tabs>
                <w:tab w:val="clear" w:pos="8640"/>
              </w:tabs>
              <w:ind w:firstLine="0"/>
              <w:rPr>
                <w:lang w:val="en-US"/>
              </w:rPr>
            </w:pPr>
            <w:r w:rsidRPr="004B465B">
              <w:rPr>
                <w:lang w:val="en-US"/>
              </w:rPr>
              <w:t>C</w:t>
            </w:r>
            <w:r w:rsidRPr="004B465B">
              <w:rPr>
                <w:vertAlign w:val="subscript"/>
                <w:lang w:val="en-US"/>
              </w:rPr>
              <w:t>func</w:t>
            </w:r>
          </w:p>
          <w:p w14:paraId="4A657C86" w14:textId="77777777" w:rsidR="00075CBD" w:rsidRPr="004B465B" w:rsidRDefault="00075CBD" w:rsidP="006C6A04">
            <w:pPr>
              <w:pStyle w:val="BodyText"/>
              <w:tabs>
                <w:tab w:val="clear" w:pos="8640"/>
              </w:tabs>
              <w:ind w:firstLine="0"/>
              <w:rPr>
                <w:lang w:val="en-US"/>
              </w:rPr>
            </w:pPr>
            <w:r w:rsidRPr="004B465B">
              <w:rPr>
                <w:lang w:val="en-US"/>
              </w:rPr>
              <w:t>r</w:t>
            </w:r>
          </w:p>
          <w:p w14:paraId="3266F93F" w14:textId="77777777" w:rsidR="00075CBD" w:rsidRPr="004B465B" w:rsidRDefault="00075CBD" w:rsidP="006C6A04">
            <w:pPr>
              <w:pStyle w:val="BodyText"/>
              <w:tabs>
                <w:tab w:val="clear" w:pos="8640"/>
              </w:tabs>
              <w:ind w:firstLine="0"/>
              <w:rPr>
                <w:lang w:val="en-US"/>
              </w:rPr>
            </w:pPr>
            <w:r w:rsidRPr="004B465B">
              <w:rPr>
                <w:lang w:val="en-US"/>
              </w:rPr>
              <w:t>f</w:t>
            </w:r>
          </w:p>
        </w:tc>
        <w:tc>
          <w:tcPr>
            <w:tcW w:w="7516" w:type="dxa"/>
            <w:tcBorders>
              <w:top w:val="nil"/>
              <w:left w:val="single" w:sz="4" w:space="0" w:color="FFFFFF"/>
              <w:bottom w:val="nil"/>
              <w:right w:val="nil"/>
            </w:tcBorders>
            <w:hideMark/>
          </w:tcPr>
          <w:p w14:paraId="3374B430" w14:textId="77777777" w:rsidR="00075CBD" w:rsidRPr="004B465B" w:rsidRDefault="00075CBD" w:rsidP="006C6A04">
            <w:pPr>
              <w:pStyle w:val="BodyText"/>
              <w:tabs>
                <w:tab w:val="clear" w:pos="8640"/>
              </w:tabs>
              <w:ind w:firstLine="0"/>
              <w:rPr>
                <w:lang w:val="en-US"/>
              </w:rPr>
            </w:pPr>
            <w:r w:rsidRPr="004B465B">
              <w:rPr>
                <w:lang w:val="en-US"/>
              </w:rPr>
              <w:t>Contextual contingencies selecting a behavioral function</w:t>
            </w:r>
          </w:p>
          <w:p w14:paraId="1F316829" w14:textId="77777777" w:rsidR="00075CBD" w:rsidRPr="004B465B" w:rsidRDefault="00075CBD" w:rsidP="006C6A04">
            <w:pPr>
              <w:pStyle w:val="BodyText"/>
              <w:tabs>
                <w:tab w:val="clear" w:pos="8640"/>
              </w:tabs>
              <w:ind w:firstLine="0"/>
              <w:rPr>
                <w:lang w:val="en-US"/>
              </w:rPr>
            </w:pPr>
            <w:r w:rsidRPr="004B465B">
              <w:rPr>
                <w:lang w:val="en-US"/>
              </w:rPr>
              <w:t>A relation</w:t>
            </w:r>
          </w:p>
          <w:p w14:paraId="4575B4C0" w14:textId="77777777" w:rsidR="00075CBD" w:rsidRPr="004B465B" w:rsidRDefault="00075CBD" w:rsidP="006C6A04">
            <w:pPr>
              <w:pStyle w:val="BodyText"/>
              <w:tabs>
                <w:tab w:val="clear" w:pos="8640"/>
              </w:tabs>
              <w:ind w:firstLine="0"/>
              <w:rPr>
                <w:lang w:val="en-US"/>
              </w:rPr>
            </w:pPr>
            <w:r w:rsidRPr="004B465B">
              <w:rPr>
                <w:lang w:val="en-US"/>
              </w:rPr>
              <w:t>A stimulus function</w:t>
            </w:r>
          </w:p>
        </w:tc>
        <w:tc>
          <w:tcPr>
            <w:tcW w:w="308" w:type="dxa"/>
            <w:vMerge/>
            <w:tcBorders>
              <w:left w:val="nil"/>
              <w:right w:val="nil"/>
            </w:tcBorders>
          </w:tcPr>
          <w:p w14:paraId="4FA40B02" w14:textId="77777777" w:rsidR="00075CBD" w:rsidRPr="004B465B" w:rsidRDefault="00075CBD" w:rsidP="006C6A04">
            <w:pPr>
              <w:pStyle w:val="BodyText"/>
              <w:jc w:val="center"/>
              <w:rPr>
                <w:lang w:val="en-US"/>
              </w:rPr>
            </w:pPr>
          </w:p>
        </w:tc>
      </w:tr>
      <w:tr w:rsidR="00075CBD" w:rsidRPr="004B465B" w14:paraId="5BA44C60" w14:textId="77777777" w:rsidTr="006C6A04">
        <w:tc>
          <w:tcPr>
            <w:tcW w:w="1101" w:type="dxa"/>
            <w:tcBorders>
              <w:top w:val="nil"/>
              <w:left w:val="nil"/>
              <w:bottom w:val="nil"/>
              <w:right w:val="single" w:sz="4" w:space="0" w:color="FFFFFF"/>
            </w:tcBorders>
            <w:hideMark/>
          </w:tcPr>
          <w:p w14:paraId="3A25CC9C" w14:textId="77777777" w:rsidR="00075CBD" w:rsidRPr="004B465B" w:rsidRDefault="00075CBD" w:rsidP="006C6A04">
            <w:pPr>
              <w:pStyle w:val="BodyText"/>
              <w:tabs>
                <w:tab w:val="clear" w:pos="8640"/>
              </w:tabs>
              <w:ind w:firstLine="0"/>
              <w:rPr>
                <w:lang w:val="en-US"/>
              </w:rPr>
            </w:pPr>
            <w:r w:rsidRPr="004B465B">
              <w:rPr>
                <w:lang w:val="en-US"/>
              </w:rPr>
              <w:t>f</w:t>
            </w:r>
            <w:r w:rsidRPr="004B465B">
              <w:rPr>
                <w:vertAlign w:val="superscript"/>
                <w:lang w:val="en-US"/>
              </w:rPr>
              <w:t>n</w:t>
            </w:r>
          </w:p>
          <w:p w14:paraId="5727499F" w14:textId="77777777" w:rsidR="00B72C5F" w:rsidRPr="004B465B" w:rsidRDefault="00B72C5F" w:rsidP="006C6A04">
            <w:pPr>
              <w:pStyle w:val="BodyText"/>
              <w:tabs>
                <w:tab w:val="clear" w:pos="8640"/>
              </w:tabs>
              <w:ind w:firstLine="0"/>
              <w:rPr>
                <w:lang w:val="en-US"/>
              </w:rPr>
            </w:pPr>
          </w:p>
          <w:p w14:paraId="19404782" w14:textId="77777777" w:rsidR="00075CBD" w:rsidRPr="004B465B" w:rsidRDefault="00D92F62" w:rsidP="006C6A04">
            <w:pPr>
              <w:pStyle w:val="BodyText"/>
              <w:tabs>
                <w:tab w:val="clear" w:pos="8640"/>
              </w:tabs>
              <w:ind w:firstLine="0"/>
              <w:rPr>
                <w:lang w:val="en-US"/>
              </w:rPr>
            </w:pPr>
            <w:r w:rsidRPr="004B465B">
              <w:rPr>
                <w:lang w:val="en-US"/>
              </w:rPr>
              <w:t>A:B</w:t>
            </w:r>
            <w:r w:rsidRPr="004B465B" w:rsidDel="00D92F62">
              <w:rPr>
                <w:lang w:val="en-US"/>
              </w:rPr>
              <w:t xml:space="preserve"> </w:t>
            </w:r>
          </w:p>
        </w:tc>
        <w:tc>
          <w:tcPr>
            <w:tcW w:w="7516" w:type="dxa"/>
            <w:tcBorders>
              <w:top w:val="nil"/>
              <w:left w:val="single" w:sz="4" w:space="0" w:color="FFFFFF"/>
              <w:bottom w:val="nil"/>
              <w:right w:val="nil"/>
            </w:tcBorders>
            <w:hideMark/>
          </w:tcPr>
          <w:p w14:paraId="52040B89" w14:textId="77777777" w:rsidR="00075CBD" w:rsidRPr="004B465B" w:rsidRDefault="00075CBD" w:rsidP="006C6A04">
            <w:pPr>
              <w:pStyle w:val="BodyText"/>
              <w:tabs>
                <w:tab w:val="clear" w:pos="8640"/>
              </w:tabs>
              <w:ind w:firstLine="0"/>
              <w:rPr>
                <w:lang w:val="en-US"/>
              </w:rPr>
            </w:pPr>
            <w:r w:rsidRPr="004B465B">
              <w:rPr>
                <w:lang w:val="en-US"/>
              </w:rPr>
              <w:t>The unspecified stimulus function “n” (superscript, specified via numeric characters*)</w:t>
            </w:r>
          </w:p>
          <w:p w14:paraId="003B614A" w14:textId="77777777" w:rsidR="00075CBD" w:rsidRPr="004B465B" w:rsidRDefault="00075CBD" w:rsidP="006C6A04">
            <w:pPr>
              <w:pStyle w:val="BodyText"/>
              <w:tabs>
                <w:tab w:val="clear" w:pos="8640"/>
              </w:tabs>
              <w:ind w:firstLine="0"/>
              <w:rPr>
                <w:lang w:val="en-US"/>
              </w:rPr>
            </w:pPr>
            <w:r w:rsidRPr="004B465B">
              <w:rPr>
                <w:lang w:val="en-US"/>
              </w:rPr>
              <w:t>An undefined relation between two stimuli, “A” and “B”; “A is to B”</w:t>
            </w:r>
          </w:p>
        </w:tc>
        <w:tc>
          <w:tcPr>
            <w:tcW w:w="308" w:type="dxa"/>
            <w:vMerge/>
            <w:tcBorders>
              <w:left w:val="nil"/>
              <w:right w:val="nil"/>
            </w:tcBorders>
          </w:tcPr>
          <w:p w14:paraId="010FF12F" w14:textId="77777777" w:rsidR="00075CBD" w:rsidRPr="004B465B" w:rsidRDefault="00075CBD" w:rsidP="006C6A04">
            <w:pPr>
              <w:pStyle w:val="BodyText"/>
              <w:jc w:val="center"/>
              <w:rPr>
                <w:lang w:val="en-US"/>
              </w:rPr>
            </w:pPr>
          </w:p>
        </w:tc>
      </w:tr>
      <w:tr w:rsidR="00075CBD" w:rsidRPr="004B465B" w14:paraId="08D2BBC8" w14:textId="77777777" w:rsidTr="006C6A04">
        <w:tc>
          <w:tcPr>
            <w:tcW w:w="1101" w:type="dxa"/>
            <w:tcBorders>
              <w:top w:val="nil"/>
              <w:left w:val="nil"/>
              <w:bottom w:val="nil"/>
              <w:right w:val="single" w:sz="4" w:space="0" w:color="FFFFFF"/>
            </w:tcBorders>
            <w:hideMark/>
          </w:tcPr>
          <w:p w14:paraId="4912DED8" w14:textId="77777777" w:rsidR="00075CBD" w:rsidRPr="004B465B" w:rsidRDefault="00075CBD" w:rsidP="006C6A04">
            <w:pPr>
              <w:pStyle w:val="BodyText"/>
              <w:tabs>
                <w:tab w:val="clear" w:pos="8640"/>
              </w:tabs>
              <w:ind w:firstLine="0"/>
              <w:rPr>
                <w:lang w:val="en-US"/>
              </w:rPr>
            </w:pPr>
            <w:r w:rsidRPr="004B465B">
              <w:rPr>
                <w:lang w:val="en-US"/>
              </w:rPr>
              <w:t>r</w:t>
            </w:r>
            <w:r w:rsidRPr="004B465B">
              <w:rPr>
                <w:vertAlign w:val="subscript"/>
                <w:lang w:val="en-US"/>
              </w:rPr>
              <w:t>x</w:t>
            </w:r>
          </w:p>
          <w:p w14:paraId="73FBED11" w14:textId="77777777" w:rsidR="00075CBD" w:rsidRPr="004B465B" w:rsidRDefault="00075CBD" w:rsidP="006C6A04">
            <w:pPr>
              <w:pStyle w:val="BodyText"/>
              <w:tabs>
                <w:tab w:val="clear" w:pos="8640"/>
              </w:tabs>
              <w:ind w:firstLine="0"/>
              <w:rPr>
                <w:lang w:val="en-US"/>
              </w:rPr>
            </w:pPr>
            <w:r w:rsidRPr="004B465B">
              <w:rPr>
                <w:lang w:val="en-US"/>
              </w:rPr>
              <w:t>r</w:t>
            </w:r>
            <w:r w:rsidRPr="004B465B">
              <w:rPr>
                <w:vertAlign w:val="subscript"/>
                <w:lang w:val="en-US"/>
              </w:rPr>
              <w:t>y</w:t>
            </w:r>
          </w:p>
        </w:tc>
        <w:tc>
          <w:tcPr>
            <w:tcW w:w="7516" w:type="dxa"/>
            <w:tcBorders>
              <w:top w:val="nil"/>
              <w:left w:val="single" w:sz="4" w:space="0" w:color="FFFFFF"/>
              <w:bottom w:val="nil"/>
              <w:right w:val="nil"/>
            </w:tcBorders>
            <w:hideMark/>
          </w:tcPr>
          <w:p w14:paraId="22C294E5" w14:textId="77777777" w:rsidR="00075CBD" w:rsidRPr="004B465B" w:rsidRDefault="00075CBD" w:rsidP="006C6A04">
            <w:pPr>
              <w:pStyle w:val="BodyText"/>
              <w:tabs>
                <w:tab w:val="clear" w:pos="8640"/>
              </w:tabs>
              <w:ind w:firstLine="0"/>
              <w:rPr>
                <w:lang w:val="en-US"/>
              </w:rPr>
            </w:pPr>
            <w:r w:rsidRPr="004B465B">
              <w:rPr>
                <w:lang w:val="en-US"/>
              </w:rPr>
              <w:t>The undefined relation “x” (specified via alpha characters)</w:t>
            </w:r>
          </w:p>
          <w:p w14:paraId="1DD6E870" w14:textId="3872688E" w:rsidR="00075CBD" w:rsidRPr="004B465B" w:rsidRDefault="00075CBD" w:rsidP="006C6A04">
            <w:pPr>
              <w:pStyle w:val="BodyText"/>
              <w:tabs>
                <w:tab w:val="clear" w:pos="8640"/>
              </w:tabs>
              <w:ind w:firstLine="0"/>
              <w:rPr>
                <w:lang w:val="en-US"/>
              </w:rPr>
            </w:pPr>
            <w:r w:rsidRPr="004B465B">
              <w:rPr>
                <w:lang w:val="en-US"/>
              </w:rPr>
              <w:t>An undefined relation that is not necessarily “x</w:t>
            </w:r>
            <w:r w:rsidR="00874DBB">
              <w:rPr>
                <w:lang w:val="en-US"/>
              </w:rPr>
              <w:t>,</w:t>
            </w:r>
            <w:r w:rsidRPr="004B465B">
              <w:rPr>
                <w:lang w:val="en-US"/>
              </w:rPr>
              <w:t>” only used after “r</w:t>
            </w:r>
            <w:r w:rsidRPr="004B465B">
              <w:rPr>
                <w:vertAlign w:val="subscript"/>
                <w:lang w:val="en-US"/>
              </w:rPr>
              <w:t>x</w:t>
            </w:r>
            <w:r w:rsidRPr="004B465B">
              <w:rPr>
                <w:lang w:val="en-US"/>
              </w:rPr>
              <w:t>”</w:t>
            </w:r>
          </w:p>
        </w:tc>
        <w:tc>
          <w:tcPr>
            <w:tcW w:w="308" w:type="dxa"/>
            <w:vMerge/>
            <w:tcBorders>
              <w:left w:val="nil"/>
              <w:right w:val="nil"/>
            </w:tcBorders>
          </w:tcPr>
          <w:p w14:paraId="589FE2F5" w14:textId="77777777" w:rsidR="00075CBD" w:rsidRPr="004B465B" w:rsidRDefault="00075CBD" w:rsidP="006C6A04">
            <w:pPr>
              <w:pStyle w:val="BodyText"/>
              <w:jc w:val="center"/>
              <w:rPr>
                <w:lang w:val="en-US"/>
              </w:rPr>
            </w:pPr>
          </w:p>
        </w:tc>
      </w:tr>
      <w:tr w:rsidR="00075CBD" w:rsidRPr="004B465B" w14:paraId="780CD26E" w14:textId="77777777" w:rsidTr="006C6A04">
        <w:tc>
          <w:tcPr>
            <w:tcW w:w="1101" w:type="dxa"/>
            <w:tcBorders>
              <w:top w:val="nil"/>
              <w:left w:val="nil"/>
              <w:bottom w:val="nil"/>
              <w:right w:val="single" w:sz="4" w:space="0" w:color="FFFFFF"/>
            </w:tcBorders>
            <w:hideMark/>
          </w:tcPr>
          <w:p w14:paraId="177A94EA" w14:textId="77777777" w:rsidR="00075CBD" w:rsidRPr="004B465B" w:rsidRDefault="00075CBD" w:rsidP="006C6A04">
            <w:pPr>
              <w:pStyle w:val="BodyText"/>
              <w:tabs>
                <w:tab w:val="clear" w:pos="8640"/>
              </w:tabs>
              <w:ind w:firstLine="0"/>
              <w:rPr>
                <w:lang w:val="en-US"/>
              </w:rPr>
            </w:pPr>
            <w:r w:rsidRPr="004B465B">
              <w:rPr>
                <w:lang w:val="en-US"/>
              </w:rPr>
              <w:t>|||</w:t>
            </w:r>
          </w:p>
        </w:tc>
        <w:tc>
          <w:tcPr>
            <w:tcW w:w="7516" w:type="dxa"/>
            <w:tcBorders>
              <w:top w:val="nil"/>
              <w:left w:val="single" w:sz="4" w:space="0" w:color="FFFFFF"/>
              <w:bottom w:val="nil"/>
              <w:right w:val="nil"/>
            </w:tcBorders>
            <w:hideMark/>
          </w:tcPr>
          <w:p w14:paraId="54AFA3C2" w14:textId="1821DCC4" w:rsidR="00075CBD" w:rsidRPr="004B465B" w:rsidRDefault="00075CBD" w:rsidP="006C6A04">
            <w:pPr>
              <w:pStyle w:val="BodyText"/>
              <w:tabs>
                <w:tab w:val="clear" w:pos="8640"/>
              </w:tabs>
              <w:ind w:firstLine="0"/>
              <w:rPr>
                <w:lang w:val="en-US"/>
              </w:rPr>
            </w:pPr>
            <w:r w:rsidRPr="004B465B">
              <w:rPr>
                <w:lang w:val="en-US"/>
              </w:rPr>
              <w:t>“Entails</w:t>
            </w:r>
            <w:r w:rsidR="00874DBB">
              <w:rPr>
                <w:lang w:val="en-US"/>
              </w:rPr>
              <w:t>,</w:t>
            </w:r>
            <w:r w:rsidRPr="004B465B">
              <w:rPr>
                <w:lang w:val="en-US"/>
              </w:rPr>
              <w:t>” or “predicts”</w:t>
            </w:r>
          </w:p>
        </w:tc>
        <w:tc>
          <w:tcPr>
            <w:tcW w:w="308" w:type="dxa"/>
            <w:vMerge/>
            <w:tcBorders>
              <w:left w:val="nil"/>
              <w:right w:val="nil"/>
            </w:tcBorders>
          </w:tcPr>
          <w:p w14:paraId="712A1FA4" w14:textId="77777777" w:rsidR="00075CBD" w:rsidRPr="004B465B" w:rsidRDefault="00075CBD" w:rsidP="006C6A04">
            <w:pPr>
              <w:pStyle w:val="BodyText"/>
              <w:tabs>
                <w:tab w:val="clear" w:pos="8640"/>
              </w:tabs>
              <w:ind w:firstLine="0"/>
              <w:jc w:val="center"/>
              <w:rPr>
                <w:lang w:val="en-US"/>
              </w:rPr>
            </w:pPr>
          </w:p>
        </w:tc>
      </w:tr>
      <w:tr w:rsidR="00075CBD" w:rsidRPr="004B465B" w14:paraId="3B5C0EAC" w14:textId="77777777" w:rsidTr="006C6A04">
        <w:tc>
          <w:tcPr>
            <w:tcW w:w="1101" w:type="dxa"/>
            <w:tcBorders>
              <w:top w:val="nil"/>
              <w:left w:val="nil"/>
              <w:bottom w:val="nil"/>
              <w:right w:val="single" w:sz="4" w:space="0" w:color="FFFFFF"/>
            </w:tcBorders>
          </w:tcPr>
          <w:p w14:paraId="1EF1CFE8" w14:textId="77777777" w:rsidR="00075CBD" w:rsidRPr="004B465B" w:rsidRDefault="00075CBD" w:rsidP="006C6A04">
            <w:pPr>
              <w:pStyle w:val="BodyText"/>
              <w:tabs>
                <w:tab w:val="clear" w:pos="8640"/>
              </w:tabs>
              <w:ind w:firstLine="0"/>
              <w:rPr>
                <w:lang w:val="en-US"/>
              </w:rPr>
            </w:pPr>
            <w:r w:rsidRPr="004B465B">
              <w:rPr>
                <w:lang w:val="en-US"/>
              </w:rPr>
              <w:t>X</w:t>
            </w:r>
          </w:p>
        </w:tc>
        <w:tc>
          <w:tcPr>
            <w:tcW w:w="7516" w:type="dxa"/>
            <w:tcBorders>
              <w:top w:val="nil"/>
              <w:left w:val="single" w:sz="4" w:space="0" w:color="FFFFFF"/>
              <w:bottom w:val="nil"/>
              <w:right w:val="nil"/>
            </w:tcBorders>
          </w:tcPr>
          <w:p w14:paraId="3DC1BA31" w14:textId="77777777" w:rsidR="00075CBD" w:rsidRPr="004B465B" w:rsidRDefault="00075CBD" w:rsidP="006C6A04">
            <w:pPr>
              <w:pStyle w:val="BodyText"/>
              <w:tabs>
                <w:tab w:val="clear" w:pos="8640"/>
              </w:tabs>
              <w:ind w:firstLine="0"/>
              <w:rPr>
                <w:lang w:val="en-US"/>
              </w:rPr>
            </w:pPr>
            <w:r w:rsidRPr="004B465B">
              <w:rPr>
                <w:lang w:val="en-US"/>
              </w:rPr>
              <w:t>The stimulus “X”</w:t>
            </w:r>
          </w:p>
        </w:tc>
        <w:tc>
          <w:tcPr>
            <w:tcW w:w="308" w:type="dxa"/>
            <w:tcBorders>
              <w:left w:val="nil"/>
              <w:right w:val="nil"/>
            </w:tcBorders>
          </w:tcPr>
          <w:p w14:paraId="4C10CB82" w14:textId="77777777" w:rsidR="00075CBD" w:rsidRPr="004B465B" w:rsidRDefault="00075CBD" w:rsidP="006C6A04">
            <w:pPr>
              <w:pStyle w:val="BodyText"/>
              <w:tabs>
                <w:tab w:val="clear" w:pos="8640"/>
              </w:tabs>
              <w:ind w:firstLine="0"/>
              <w:jc w:val="center"/>
              <w:rPr>
                <w:lang w:val="en-US"/>
              </w:rPr>
            </w:pPr>
          </w:p>
        </w:tc>
      </w:tr>
      <w:tr w:rsidR="00075CBD" w:rsidRPr="004B465B" w14:paraId="67F6F502" w14:textId="77777777" w:rsidTr="006C6A04">
        <w:tc>
          <w:tcPr>
            <w:tcW w:w="1101" w:type="dxa"/>
            <w:tcBorders>
              <w:top w:val="nil"/>
              <w:left w:val="nil"/>
              <w:bottom w:val="nil"/>
              <w:right w:val="single" w:sz="4" w:space="0" w:color="FFFFFF"/>
            </w:tcBorders>
          </w:tcPr>
          <w:p w14:paraId="55ABAB28" w14:textId="77777777" w:rsidR="00075CBD" w:rsidRPr="004B465B" w:rsidRDefault="00075CBD" w:rsidP="006C6A04">
            <w:pPr>
              <w:pStyle w:val="BodyText"/>
              <w:tabs>
                <w:tab w:val="clear" w:pos="8640"/>
              </w:tabs>
              <w:ind w:firstLine="0"/>
              <w:rPr>
                <w:lang w:val="en-US"/>
              </w:rPr>
            </w:pPr>
            <w:r w:rsidRPr="004B465B">
              <w:rPr>
                <w:lang w:val="en-US"/>
              </w:rPr>
              <w:t>Xf</w:t>
            </w:r>
            <w:r w:rsidRPr="004B465B">
              <w:rPr>
                <w:vertAlign w:val="superscript"/>
                <w:lang w:val="en-US"/>
              </w:rPr>
              <w:t>n</w:t>
            </w:r>
          </w:p>
        </w:tc>
        <w:tc>
          <w:tcPr>
            <w:tcW w:w="7516" w:type="dxa"/>
            <w:tcBorders>
              <w:top w:val="nil"/>
              <w:left w:val="single" w:sz="4" w:space="0" w:color="FFFFFF"/>
              <w:bottom w:val="nil"/>
              <w:right w:val="nil"/>
            </w:tcBorders>
          </w:tcPr>
          <w:p w14:paraId="35D21318" w14:textId="77777777" w:rsidR="00075CBD" w:rsidRPr="004B465B" w:rsidRDefault="00075CBD" w:rsidP="006C6A04">
            <w:pPr>
              <w:pStyle w:val="BodyText"/>
              <w:tabs>
                <w:tab w:val="clear" w:pos="8640"/>
              </w:tabs>
              <w:ind w:firstLine="0"/>
              <w:rPr>
                <w:lang w:val="en-US"/>
              </w:rPr>
            </w:pPr>
            <w:r w:rsidRPr="004B465B">
              <w:rPr>
                <w:lang w:val="en-US"/>
              </w:rPr>
              <w:t>The unspecified function of stimulus “X” (superscript, specified via numeric characters)</w:t>
            </w:r>
          </w:p>
        </w:tc>
        <w:tc>
          <w:tcPr>
            <w:tcW w:w="308" w:type="dxa"/>
            <w:tcBorders>
              <w:left w:val="nil"/>
              <w:right w:val="nil"/>
            </w:tcBorders>
          </w:tcPr>
          <w:p w14:paraId="57335955" w14:textId="77777777" w:rsidR="00075CBD" w:rsidRPr="004B465B" w:rsidRDefault="00075CBD" w:rsidP="006C6A04">
            <w:pPr>
              <w:pStyle w:val="BodyText"/>
              <w:tabs>
                <w:tab w:val="clear" w:pos="8640"/>
              </w:tabs>
              <w:ind w:firstLine="0"/>
              <w:jc w:val="center"/>
              <w:rPr>
                <w:lang w:val="en-US"/>
              </w:rPr>
            </w:pPr>
          </w:p>
        </w:tc>
      </w:tr>
      <w:tr w:rsidR="00075CBD" w:rsidRPr="004B465B" w14:paraId="22AA19AD" w14:textId="77777777" w:rsidTr="00075CBD">
        <w:tc>
          <w:tcPr>
            <w:tcW w:w="1101" w:type="dxa"/>
            <w:tcBorders>
              <w:top w:val="nil"/>
              <w:left w:val="nil"/>
              <w:bottom w:val="nil"/>
              <w:right w:val="single" w:sz="4" w:space="0" w:color="FFFFFF"/>
            </w:tcBorders>
          </w:tcPr>
          <w:p w14:paraId="0822337C" w14:textId="77777777" w:rsidR="00075CBD" w:rsidRPr="004B465B" w:rsidRDefault="00075CBD" w:rsidP="006C6A04">
            <w:pPr>
              <w:pStyle w:val="BodyText"/>
              <w:tabs>
                <w:tab w:val="clear" w:pos="8640"/>
              </w:tabs>
              <w:ind w:firstLine="0"/>
              <w:rPr>
                <w:lang w:val="en-US"/>
              </w:rPr>
            </w:pPr>
            <w:r w:rsidRPr="004B465B">
              <w:rPr>
                <w:lang w:val="en-US"/>
              </w:rPr>
              <w:t>;</w:t>
            </w:r>
          </w:p>
        </w:tc>
        <w:tc>
          <w:tcPr>
            <w:tcW w:w="7516" w:type="dxa"/>
            <w:tcBorders>
              <w:top w:val="nil"/>
              <w:left w:val="single" w:sz="4" w:space="0" w:color="FFFFFF"/>
              <w:bottom w:val="nil"/>
              <w:right w:val="nil"/>
            </w:tcBorders>
          </w:tcPr>
          <w:p w14:paraId="231DC2C9" w14:textId="77777777" w:rsidR="00075CBD" w:rsidRPr="004B465B" w:rsidRDefault="00075CBD" w:rsidP="006C6A04">
            <w:pPr>
              <w:pStyle w:val="BodyText"/>
              <w:tabs>
                <w:tab w:val="clear" w:pos="8640"/>
              </w:tabs>
              <w:ind w:firstLine="0"/>
              <w:rPr>
                <w:lang w:val="en-US"/>
              </w:rPr>
            </w:pPr>
            <w:r w:rsidRPr="004B465B">
              <w:rPr>
                <w:lang w:val="en-US"/>
              </w:rPr>
              <w:t>“And”</w:t>
            </w:r>
          </w:p>
        </w:tc>
        <w:tc>
          <w:tcPr>
            <w:tcW w:w="308" w:type="dxa"/>
            <w:tcBorders>
              <w:left w:val="nil"/>
              <w:bottom w:val="nil"/>
              <w:right w:val="nil"/>
            </w:tcBorders>
          </w:tcPr>
          <w:p w14:paraId="47C66F56" w14:textId="77777777" w:rsidR="00075CBD" w:rsidRPr="004B465B" w:rsidRDefault="00075CBD" w:rsidP="006C6A04">
            <w:pPr>
              <w:pStyle w:val="BodyText"/>
              <w:tabs>
                <w:tab w:val="clear" w:pos="8640"/>
              </w:tabs>
              <w:ind w:firstLine="0"/>
              <w:jc w:val="center"/>
              <w:rPr>
                <w:lang w:val="en-US"/>
              </w:rPr>
            </w:pPr>
          </w:p>
        </w:tc>
      </w:tr>
      <w:tr w:rsidR="00075CBD" w:rsidRPr="004B465B" w14:paraId="2F3271F2" w14:textId="77777777" w:rsidTr="00075CBD">
        <w:tc>
          <w:tcPr>
            <w:tcW w:w="1101" w:type="dxa"/>
            <w:tcBorders>
              <w:top w:val="nil"/>
              <w:left w:val="nil"/>
              <w:bottom w:val="single" w:sz="4" w:space="0" w:color="auto"/>
              <w:right w:val="single" w:sz="4" w:space="0" w:color="FFFFFF"/>
            </w:tcBorders>
          </w:tcPr>
          <w:p w14:paraId="72A7B6BF" w14:textId="77777777" w:rsidR="00075CBD" w:rsidRPr="004B465B" w:rsidRDefault="00075CBD" w:rsidP="006C6A04">
            <w:pPr>
              <w:pStyle w:val="BodyText"/>
              <w:tabs>
                <w:tab w:val="clear" w:pos="8640"/>
              </w:tabs>
              <w:ind w:firstLine="0"/>
              <w:rPr>
                <w:lang w:val="en-US"/>
              </w:rPr>
            </w:pPr>
            <w:r w:rsidRPr="004B465B">
              <w:rPr>
                <w:lang w:val="en-US"/>
              </w:rPr>
              <w:t>/</w:t>
            </w:r>
          </w:p>
        </w:tc>
        <w:tc>
          <w:tcPr>
            <w:tcW w:w="7516" w:type="dxa"/>
            <w:tcBorders>
              <w:top w:val="nil"/>
              <w:left w:val="single" w:sz="4" w:space="0" w:color="FFFFFF"/>
              <w:bottom w:val="single" w:sz="4" w:space="0" w:color="auto"/>
              <w:right w:val="nil"/>
            </w:tcBorders>
          </w:tcPr>
          <w:p w14:paraId="271AA05E" w14:textId="661F0220" w:rsidR="00075CBD" w:rsidRPr="004B465B" w:rsidRDefault="00075CBD" w:rsidP="006C6A04">
            <w:pPr>
              <w:pStyle w:val="BodyText"/>
              <w:tabs>
                <w:tab w:val="clear" w:pos="8640"/>
              </w:tabs>
              <w:ind w:firstLine="0"/>
              <w:rPr>
                <w:lang w:val="en-US"/>
              </w:rPr>
            </w:pPr>
            <w:r w:rsidRPr="004B465B">
              <w:rPr>
                <w:lang w:val="en-US"/>
              </w:rPr>
              <w:t>“Not</w:t>
            </w:r>
            <w:r w:rsidR="00874DBB">
              <w:rPr>
                <w:lang w:val="en-US"/>
              </w:rPr>
              <w:t>,</w:t>
            </w:r>
            <w:r w:rsidRPr="004B465B">
              <w:rPr>
                <w:lang w:val="en-US"/>
              </w:rPr>
              <w:t>” or “but not” (e.g., “A r</w:t>
            </w:r>
            <w:r w:rsidRPr="004B465B">
              <w:rPr>
                <w:vertAlign w:val="subscript"/>
                <w:lang w:val="en-US"/>
              </w:rPr>
              <w:t>d</w:t>
            </w:r>
            <w:r w:rsidRPr="004B465B">
              <w:rPr>
                <w:lang w:val="en-US"/>
              </w:rPr>
              <w:t xml:space="preserve"> / r</w:t>
            </w:r>
            <w:r w:rsidRPr="004B465B">
              <w:rPr>
                <w:vertAlign w:val="subscript"/>
                <w:lang w:val="en-US"/>
              </w:rPr>
              <w:t>o</w:t>
            </w:r>
            <w:r w:rsidRPr="004B465B">
              <w:rPr>
                <w:lang w:val="en-US"/>
              </w:rPr>
              <w:t xml:space="preserve"> B” means “A is different from but not opposite to B”)</w:t>
            </w:r>
          </w:p>
        </w:tc>
        <w:tc>
          <w:tcPr>
            <w:tcW w:w="308" w:type="dxa"/>
            <w:tcBorders>
              <w:top w:val="nil"/>
              <w:left w:val="nil"/>
              <w:bottom w:val="single" w:sz="4" w:space="0" w:color="auto"/>
              <w:right w:val="nil"/>
            </w:tcBorders>
          </w:tcPr>
          <w:p w14:paraId="43870E0A" w14:textId="77777777" w:rsidR="00075CBD" w:rsidRPr="004B465B" w:rsidRDefault="00075CBD" w:rsidP="006C6A04">
            <w:pPr>
              <w:pStyle w:val="BodyText"/>
              <w:tabs>
                <w:tab w:val="clear" w:pos="8640"/>
              </w:tabs>
              <w:ind w:firstLine="0"/>
              <w:jc w:val="center"/>
              <w:rPr>
                <w:lang w:val="en-US"/>
              </w:rPr>
            </w:pPr>
          </w:p>
        </w:tc>
      </w:tr>
    </w:tbl>
    <w:p w14:paraId="3D4A225D" w14:textId="77777777" w:rsidR="00075CBD" w:rsidRPr="004B465B" w:rsidRDefault="00075CBD" w:rsidP="00CB195D">
      <w:pPr>
        <w:spacing w:line="480" w:lineRule="auto"/>
      </w:pPr>
      <w:r w:rsidRPr="004B465B">
        <w:br w:type="page"/>
      </w:r>
    </w:p>
    <w:tbl>
      <w:tblPr>
        <w:tblW w:w="8925" w:type="dxa"/>
        <w:tblBorders>
          <w:top w:val="single" w:sz="12" w:space="0" w:color="000000"/>
          <w:bottom w:val="single" w:sz="12" w:space="0" w:color="000000"/>
        </w:tblBorders>
        <w:tblLayout w:type="fixed"/>
        <w:tblLook w:val="04A0" w:firstRow="1" w:lastRow="0" w:firstColumn="1" w:lastColumn="0" w:noHBand="0" w:noVBand="1"/>
      </w:tblPr>
      <w:tblGrid>
        <w:gridCol w:w="1101"/>
        <w:gridCol w:w="7516"/>
        <w:gridCol w:w="308"/>
      </w:tblGrid>
      <w:tr w:rsidR="00075CBD" w:rsidRPr="004B465B" w14:paraId="51B6C2A9" w14:textId="77777777" w:rsidTr="006C6A04">
        <w:trPr>
          <w:gridAfter w:val="1"/>
          <w:wAfter w:w="308" w:type="dxa"/>
          <w:trHeight w:val="624"/>
        </w:trPr>
        <w:tc>
          <w:tcPr>
            <w:tcW w:w="1101" w:type="dxa"/>
            <w:tcBorders>
              <w:top w:val="nil"/>
              <w:left w:val="nil"/>
              <w:bottom w:val="nil"/>
              <w:right w:val="single" w:sz="4" w:space="0" w:color="FFFFFF"/>
            </w:tcBorders>
          </w:tcPr>
          <w:p w14:paraId="60150E45" w14:textId="77777777" w:rsidR="00075CBD" w:rsidRPr="004B465B" w:rsidRDefault="00075CBD" w:rsidP="006C6A04">
            <w:pPr>
              <w:pStyle w:val="BodyText"/>
              <w:tabs>
                <w:tab w:val="clear" w:pos="8640"/>
              </w:tabs>
              <w:ind w:firstLine="0"/>
              <w:rPr>
                <w:iCs/>
                <w:lang w:val="en-US"/>
              </w:rPr>
            </w:pPr>
            <w:r w:rsidRPr="004B465B">
              <w:rPr>
                <w:iCs/>
                <w:lang w:val="en-US"/>
              </w:rPr>
              <w:lastRenderedPageBreak/>
              <w:t>Table 2</w:t>
            </w:r>
          </w:p>
        </w:tc>
        <w:tc>
          <w:tcPr>
            <w:tcW w:w="7516" w:type="dxa"/>
            <w:tcBorders>
              <w:top w:val="nil"/>
              <w:left w:val="single" w:sz="4" w:space="0" w:color="FFFFFF"/>
              <w:bottom w:val="nil"/>
              <w:right w:val="nil"/>
            </w:tcBorders>
          </w:tcPr>
          <w:p w14:paraId="22D147A8" w14:textId="77777777" w:rsidR="00075CBD" w:rsidRPr="004B465B" w:rsidRDefault="00075CBD" w:rsidP="006C6A04">
            <w:pPr>
              <w:pStyle w:val="BodyText"/>
              <w:tabs>
                <w:tab w:val="clear" w:pos="8640"/>
              </w:tabs>
              <w:ind w:firstLine="0"/>
              <w:rPr>
                <w:i/>
                <w:iCs/>
                <w:lang w:val="en-US"/>
              </w:rPr>
            </w:pPr>
          </w:p>
        </w:tc>
      </w:tr>
      <w:tr w:rsidR="00075CBD" w:rsidRPr="004B465B" w14:paraId="75DC0028" w14:textId="77777777" w:rsidTr="006C6A04">
        <w:trPr>
          <w:gridAfter w:val="1"/>
          <w:wAfter w:w="308" w:type="dxa"/>
          <w:trHeight w:val="624"/>
        </w:trPr>
        <w:tc>
          <w:tcPr>
            <w:tcW w:w="8617" w:type="dxa"/>
            <w:gridSpan w:val="2"/>
            <w:tcBorders>
              <w:top w:val="nil"/>
              <w:left w:val="nil"/>
              <w:bottom w:val="single" w:sz="6" w:space="0" w:color="000000"/>
              <w:right w:val="single" w:sz="4" w:space="0" w:color="FFFFFF"/>
            </w:tcBorders>
          </w:tcPr>
          <w:p w14:paraId="6B56A3EF" w14:textId="77777777" w:rsidR="00075CBD" w:rsidRPr="004B465B" w:rsidRDefault="00075CBD" w:rsidP="006C6A04">
            <w:pPr>
              <w:pStyle w:val="BodyText"/>
              <w:tabs>
                <w:tab w:val="clear" w:pos="8640"/>
              </w:tabs>
              <w:ind w:firstLine="0"/>
              <w:rPr>
                <w:iCs/>
                <w:lang w:val="en-US"/>
              </w:rPr>
            </w:pPr>
            <w:r w:rsidRPr="004B465B">
              <w:rPr>
                <w:i/>
                <w:lang w:val="en-US"/>
              </w:rPr>
              <w:t>Notation for Common Patterns of Arbitrarily Applicable Relational Responding</w:t>
            </w:r>
          </w:p>
        </w:tc>
      </w:tr>
      <w:tr w:rsidR="00075CBD" w:rsidRPr="004B465B" w14:paraId="7DC6AA18" w14:textId="77777777" w:rsidTr="006C6A04">
        <w:trPr>
          <w:gridAfter w:val="1"/>
          <w:wAfter w:w="308" w:type="dxa"/>
          <w:trHeight w:val="624"/>
        </w:trPr>
        <w:tc>
          <w:tcPr>
            <w:tcW w:w="1101" w:type="dxa"/>
            <w:tcBorders>
              <w:top w:val="single" w:sz="4" w:space="0" w:color="auto"/>
              <w:left w:val="nil"/>
              <w:bottom w:val="single" w:sz="6" w:space="0" w:color="000000"/>
              <w:right w:val="single" w:sz="4" w:space="0" w:color="FFFFFF"/>
            </w:tcBorders>
          </w:tcPr>
          <w:p w14:paraId="13FEF3F2" w14:textId="77777777" w:rsidR="00075CBD" w:rsidRPr="004B465B" w:rsidRDefault="00075CBD" w:rsidP="006C6A04">
            <w:pPr>
              <w:pStyle w:val="BodyText"/>
              <w:tabs>
                <w:tab w:val="clear" w:pos="8640"/>
              </w:tabs>
              <w:ind w:firstLine="0"/>
              <w:rPr>
                <w:iCs/>
                <w:lang w:val="en-US"/>
              </w:rPr>
            </w:pPr>
            <w:r w:rsidRPr="004B465B">
              <w:rPr>
                <w:iCs/>
                <w:lang w:val="en-US"/>
              </w:rPr>
              <w:t>Syntax</w:t>
            </w:r>
          </w:p>
        </w:tc>
        <w:tc>
          <w:tcPr>
            <w:tcW w:w="7516" w:type="dxa"/>
            <w:tcBorders>
              <w:top w:val="single" w:sz="4" w:space="0" w:color="auto"/>
              <w:left w:val="single" w:sz="4" w:space="0" w:color="FFFFFF"/>
              <w:bottom w:val="single" w:sz="6" w:space="0" w:color="000000"/>
              <w:right w:val="nil"/>
            </w:tcBorders>
          </w:tcPr>
          <w:p w14:paraId="36E156AB" w14:textId="77777777" w:rsidR="00075CBD" w:rsidRPr="004B465B" w:rsidRDefault="00075CBD" w:rsidP="006C6A04">
            <w:pPr>
              <w:pStyle w:val="BodyText"/>
              <w:tabs>
                <w:tab w:val="clear" w:pos="8640"/>
              </w:tabs>
              <w:ind w:firstLine="0"/>
              <w:rPr>
                <w:iCs/>
                <w:lang w:val="en-US"/>
              </w:rPr>
            </w:pPr>
            <w:r w:rsidRPr="004B465B">
              <w:rPr>
                <w:iCs/>
                <w:lang w:val="en-US"/>
              </w:rPr>
              <w:t>Meaning</w:t>
            </w:r>
          </w:p>
        </w:tc>
      </w:tr>
      <w:tr w:rsidR="00075CBD" w:rsidRPr="004B465B" w14:paraId="1922DA37" w14:textId="77777777" w:rsidTr="006C6A04">
        <w:trPr>
          <w:trHeight w:val="931"/>
        </w:trPr>
        <w:tc>
          <w:tcPr>
            <w:tcW w:w="1101" w:type="dxa"/>
            <w:tcBorders>
              <w:top w:val="nil"/>
              <w:left w:val="nil"/>
              <w:right w:val="single" w:sz="4" w:space="0" w:color="FFFFFF"/>
            </w:tcBorders>
            <w:hideMark/>
          </w:tcPr>
          <w:p w14:paraId="497861F7" w14:textId="77777777" w:rsidR="00075CBD" w:rsidRPr="004B465B" w:rsidRDefault="00075CBD" w:rsidP="006C6A04">
            <w:pPr>
              <w:pStyle w:val="BodyText"/>
              <w:tabs>
                <w:tab w:val="clear" w:pos="8640"/>
              </w:tabs>
              <w:ind w:firstLine="0"/>
              <w:rPr>
                <w:lang w:val="en-US"/>
              </w:rPr>
            </w:pPr>
            <w:r w:rsidRPr="004B465B">
              <w:rPr>
                <w:lang w:val="en-US"/>
              </w:rPr>
              <w:t>r</w:t>
            </w:r>
            <w:r w:rsidRPr="004B465B">
              <w:rPr>
                <w:vertAlign w:val="subscript"/>
                <w:lang w:val="en-US"/>
              </w:rPr>
              <w:t>s</w:t>
            </w:r>
          </w:p>
          <w:p w14:paraId="2A531553" w14:textId="77777777" w:rsidR="00075CBD" w:rsidRPr="004B465B" w:rsidRDefault="00075CBD" w:rsidP="006C6A04">
            <w:pPr>
              <w:pStyle w:val="BodyText"/>
              <w:ind w:firstLine="0"/>
              <w:rPr>
                <w:lang w:val="en-US"/>
              </w:rPr>
            </w:pPr>
            <w:r w:rsidRPr="004B465B">
              <w:rPr>
                <w:lang w:val="en-US"/>
              </w:rPr>
              <w:t>r</w:t>
            </w:r>
            <w:r w:rsidRPr="004B465B">
              <w:rPr>
                <w:vertAlign w:val="subscript"/>
                <w:lang w:val="en-US"/>
              </w:rPr>
              <w:t>d</w:t>
            </w:r>
          </w:p>
        </w:tc>
        <w:tc>
          <w:tcPr>
            <w:tcW w:w="7516" w:type="dxa"/>
            <w:tcBorders>
              <w:top w:val="nil"/>
              <w:left w:val="single" w:sz="4" w:space="0" w:color="FFFFFF"/>
              <w:right w:val="nil"/>
            </w:tcBorders>
            <w:hideMark/>
          </w:tcPr>
          <w:p w14:paraId="5065EDC3" w14:textId="77777777" w:rsidR="00075CBD" w:rsidRPr="004B465B" w:rsidRDefault="00075CBD" w:rsidP="006C6A04">
            <w:pPr>
              <w:pStyle w:val="BodyText"/>
              <w:tabs>
                <w:tab w:val="clear" w:pos="8640"/>
              </w:tabs>
              <w:ind w:firstLine="0"/>
              <w:rPr>
                <w:lang w:val="en-US"/>
              </w:rPr>
            </w:pPr>
            <w:r w:rsidRPr="004B465B">
              <w:rPr>
                <w:lang w:val="en-US"/>
              </w:rPr>
              <w:t>A coordinate (functional sameness) relation</w:t>
            </w:r>
          </w:p>
          <w:p w14:paraId="715F3F28" w14:textId="77777777" w:rsidR="00075CBD" w:rsidRPr="004B465B" w:rsidRDefault="00075CBD" w:rsidP="006C6A04">
            <w:pPr>
              <w:pStyle w:val="BodyText"/>
              <w:tabs>
                <w:tab w:val="clear" w:pos="8640"/>
              </w:tabs>
              <w:ind w:firstLine="0"/>
              <w:rPr>
                <w:lang w:val="en-US"/>
              </w:rPr>
            </w:pPr>
            <w:r w:rsidRPr="004B465B">
              <w:rPr>
                <w:lang w:val="en-US"/>
              </w:rPr>
              <w:t>A distinction (functional difference) relation</w:t>
            </w:r>
          </w:p>
        </w:tc>
        <w:tc>
          <w:tcPr>
            <w:tcW w:w="308" w:type="dxa"/>
            <w:vMerge w:val="restart"/>
            <w:tcBorders>
              <w:top w:val="nil"/>
              <w:left w:val="nil"/>
              <w:right w:val="nil"/>
            </w:tcBorders>
          </w:tcPr>
          <w:p w14:paraId="6E06E241" w14:textId="77777777" w:rsidR="00075CBD" w:rsidRPr="004B465B" w:rsidRDefault="00075CBD" w:rsidP="006C6A04">
            <w:pPr>
              <w:pStyle w:val="BodyText"/>
              <w:ind w:firstLine="0"/>
              <w:rPr>
                <w:lang w:val="en-US"/>
              </w:rPr>
            </w:pPr>
          </w:p>
        </w:tc>
      </w:tr>
      <w:tr w:rsidR="00075CBD" w:rsidRPr="004B465B" w14:paraId="3EA8A736" w14:textId="77777777" w:rsidTr="006C6A04">
        <w:tc>
          <w:tcPr>
            <w:tcW w:w="1101" w:type="dxa"/>
            <w:tcBorders>
              <w:top w:val="nil"/>
              <w:left w:val="nil"/>
              <w:bottom w:val="nil"/>
              <w:right w:val="single" w:sz="4" w:space="0" w:color="FFFFFF"/>
            </w:tcBorders>
            <w:hideMark/>
          </w:tcPr>
          <w:p w14:paraId="691A3A88" w14:textId="77777777" w:rsidR="00075CBD" w:rsidRPr="004B465B" w:rsidRDefault="00075CBD" w:rsidP="006C6A04">
            <w:pPr>
              <w:pStyle w:val="BodyText"/>
              <w:tabs>
                <w:tab w:val="clear" w:pos="8640"/>
              </w:tabs>
              <w:ind w:firstLine="0"/>
              <w:rPr>
                <w:lang w:val="en-US"/>
              </w:rPr>
            </w:pPr>
            <w:r w:rsidRPr="004B465B">
              <w:rPr>
                <w:lang w:val="en-US"/>
              </w:rPr>
              <w:t>r</w:t>
            </w:r>
            <w:r w:rsidRPr="004B465B">
              <w:rPr>
                <w:vertAlign w:val="subscript"/>
                <w:lang w:val="en-US"/>
              </w:rPr>
              <w:t>o</w:t>
            </w:r>
          </w:p>
          <w:p w14:paraId="2E446958" w14:textId="77777777" w:rsidR="00075CBD" w:rsidRPr="004B465B" w:rsidRDefault="00075CBD" w:rsidP="006C6A04">
            <w:pPr>
              <w:pStyle w:val="BodyText"/>
              <w:tabs>
                <w:tab w:val="clear" w:pos="8640"/>
              </w:tabs>
              <w:ind w:firstLine="0"/>
              <w:rPr>
                <w:lang w:val="en-US"/>
              </w:rPr>
            </w:pPr>
            <w:r w:rsidRPr="004B465B">
              <w:rPr>
                <w:lang w:val="en-US"/>
              </w:rPr>
              <w:t>r</w:t>
            </w:r>
            <w:r w:rsidRPr="004B465B">
              <w:rPr>
                <w:vertAlign w:val="subscript"/>
                <w:lang w:val="en-US"/>
              </w:rPr>
              <w:t>b</w:t>
            </w:r>
          </w:p>
          <w:p w14:paraId="118A2B11" w14:textId="77777777" w:rsidR="00075CBD" w:rsidRPr="004B465B" w:rsidRDefault="00075CBD" w:rsidP="006C6A04">
            <w:pPr>
              <w:pStyle w:val="BodyText"/>
              <w:tabs>
                <w:tab w:val="clear" w:pos="8640"/>
              </w:tabs>
              <w:ind w:firstLine="0"/>
              <w:rPr>
                <w:lang w:val="en-US"/>
              </w:rPr>
            </w:pPr>
            <w:r w:rsidRPr="004B465B">
              <w:rPr>
                <w:lang w:val="en-US"/>
              </w:rPr>
              <w:t>r</w:t>
            </w:r>
            <w:r w:rsidRPr="004B465B">
              <w:rPr>
                <w:vertAlign w:val="subscript"/>
                <w:lang w:val="en-US"/>
              </w:rPr>
              <w:t>a</w:t>
            </w:r>
          </w:p>
        </w:tc>
        <w:tc>
          <w:tcPr>
            <w:tcW w:w="7516" w:type="dxa"/>
            <w:tcBorders>
              <w:top w:val="nil"/>
              <w:left w:val="single" w:sz="4" w:space="0" w:color="FFFFFF"/>
              <w:bottom w:val="nil"/>
              <w:right w:val="nil"/>
            </w:tcBorders>
            <w:hideMark/>
          </w:tcPr>
          <w:p w14:paraId="7CA2D355" w14:textId="77777777" w:rsidR="00075CBD" w:rsidRPr="004B465B" w:rsidRDefault="00075CBD" w:rsidP="006C6A04">
            <w:pPr>
              <w:pStyle w:val="BodyText"/>
              <w:tabs>
                <w:tab w:val="clear" w:pos="8640"/>
              </w:tabs>
              <w:ind w:firstLine="0"/>
              <w:rPr>
                <w:lang w:val="en-US"/>
              </w:rPr>
            </w:pPr>
            <w:r w:rsidRPr="004B465B">
              <w:rPr>
                <w:lang w:val="en-US"/>
              </w:rPr>
              <w:t>An opposition relation</w:t>
            </w:r>
          </w:p>
          <w:p w14:paraId="0D9271DF" w14:textId="77777777" w:rsidR="00075CBD" w:rsidRPr="004B465B" w:rsidRDefault="00075CBD" w:rsidP="006C6A04">
            <w:pPr>
              <w:pStyle w:val="BodyText"/>
              <w:tabs>
                <w:tab w:val="clear" w:pos="8640"/>
              </w:tabs>
              <w:ind w:firstLine="0"/>
              <w:rPr>
                <w:lang w:val="en-US"/>
              </w:rPr>
            </w:pPr>
            <w:r w:rsidRPr="004B465B">
              <w:rPr>
                <w:lang w:val="en-US"/>
              </w:rPr>
              <w:t>A “before” temporal relation</w:t>
            </w:r>
          </w:p>
          <w:p w14:paraId="46273394" w14:textId="77777777" w:rsidR="00075CBD" w:rsidRPr="004B465B" w:rsidRDefault="00075CBD" w:rsidP="006C6A04">
            <w:pPr>
              <w:pStyle w:val="BodyText"/>
              <w:tabs>
                <w:tab w:val="clear" w:pos="8640"/>
              </w:tabs>
              <w:ind w:firstLine="0"/>
              <w:rPr>
                <w:lang w:val="en-US"/>
              </w:rPr>
            </w:pPr>
            <w:r w:rsidRPr="004B465B">
              <w:rPr>
                <w:lang w:val="en-US"/>
              </w:rPr>
              <w:t>An “after” temporal relation</w:t>
            </w:r>
          </w:p>
        </w:tc>
        <w:tc>
          <w:tcPr>
            <w:tcW w:w="308" w:type="dxa"/>
            <w:vMerge/>
            <w:tcBorders>
              <w:left w:val="nil"/>
              <w:right w:val="nil"/>
            </w:tcBorders>
          </w:tcPr>
          <w:p w14:paraId="68F29E1D" w14:textId="77777777" w:rsidR="00075CBD" w:rsidRPr="004B465B" w:rsidRDefault="00075CBD" w:rsidP="006C6A04">
            <w:pPr>
              <w:pStyle w:val="BodyText"/>
              <w:jc w:val="center"/>
              <w:rPr>
                <w:lang w:val="en-US"/>
              </w:rPr>
            </w:pPr>
          </w:p>
        </w:tc>
      </w:tr>
      <w:tr w:rsidR="00075CBD" w:rsidRPr="004B465B" w14:paraId="22048835" w14:textId="77777777" w:rsidTr="006C6A04">
        <w:tc>
          <w:tcPr>
            <w:tcW w:w="1101" w:type="dxa"/>
            <w:tcBorders>
              <w:top w:val="nil"/>
              <w:left w:val="nil"/>
              <w:bottom w:val="nil"/>
              <w:right w:val="single" w:sz="4" w:space="0" w:color="FFFFFF"/>
            </w:tcBorders>
            <w:hideMark/>
          </w:tcPr>
          <w:p w14:paraId="672392F0" w14:textId="77777777" w:rsidR="00075CBD" w:rsidRPr="004B465B" w:rsidRDefault="00075CBD" w:rsidP="006C6A04">
            <w:pPr>
              <w:pStyle w:val="BodyText"/>
              <w:tabs>
                <w:tab w:val="clear" w:pos="8640"/>
              </w:tabs>
              <w:ind w:firstLine="0"/>
              <w:rPr>
                <w:lang w:val="en-US"/>
              </w:rPr>
            </w:pPr>
            <w:r w:rsidRPr="004B465B">
              <w:rPr>
                <w:lang w:val="en-US"/>
              </w:rPr>
              <w:t>r</w:t>
            </w:r>
            <w:r w:rsidRPr="004B465B">
              <w:rPr>
                <w:vertAlign w:val="subscript"/>
                <w:lang w:val="en-US"/>
              </w:rPr>
              <w:t>m</w:t>
            </w:r>
          </w:p>
          <w:p w14:paraId="5AC8F699" w14:textId="77777777" w:rsidR="00075CBD" w:rsidRPr="004B465B" w:rsidRDefault="00075CBD" w:rsidP="006C6A04">
            <w:pPr>
              <w:pStyle w:val="BodyText"/>
              <w:tabs>
                <w:tab w:val="clear" w:pos="8640"/>
              </w:tabs>
              <w:ind w:firstLine="0"/>
              <w:rPr>
                <w:lang w:val="en-US"/>
              </w:rPr>
            </w:pPr>
            <w:r w:rsidRPr="004B465B">
              <w:rPr>
                <w:lang w:val="en-US"/>
              </w:rPr>
              <w:t>r</w:t>
            </w:r>
            <w:r w:rsidRPr="004B465B">
              <w:rPr>
                <w:vertAlign w:val="subscript"/>
                <w:lang w:val="en-US"/>
              </w:rPr>
              <w:t>l</w:t>
            </w:r>
          </w:p>
        </w:tc>
        <w:tc>
          <w:tcPr>
            <w:tcW w:w="7516" w:type="dxa"/>
            <w:tcBorders>
              <w:top w:val="nil"/>
              <w:left w:val="single" w:sz="4" w:space="0" w:color="FFFFFF"/>
              <w:bottom w:val="nil"/>
              <w:right w:val="nil"/>
            </w:tcBorders>
            <w:hideMark/>
          </w:tcPr>
          <w:p w14:paraId="6AA93D9F" w14:textId="77777777" w:rsidR="00075CBD" w:rsidRPr="004B465B" w:rsidRDefault="00075CBD" w:rsidP="006C6A04">
            <w:pPr>
              <w:pStyle w:val="BodyText"/>
              <w:tabs>
                <w:tab w:val="clear" w:pos="8640"/>
              </w:tabs>
              <w:ind w:firstLine="0"/>
              <w:rPr>
                <w:lang w:val="en-US"/>
              </w:rPr>
            </w:pPr>
            <w:r w:rsidRPr="004B465B">
              <w:rPr>
                <w:lang w:val="en-US"/>
              </w:rPr>
              <w:t>A “more than” (or “greater than”) comparison relation</w:t>
            </w:r>
          </w:p>
          <w:p w14:paraId="79ADE821" w14:textId="77777777" w:rsidR="00075CBD" w:rsidRPr="004B465B" w:rsidRDefault="00075CBD" w:rsidP="006C6A04">
            <w:pPr>
              <w:pStyle w:val="BodyText"/>
              <w:tabs>
                <w:tab w:val="clear" w:pos="8640"/>
              </w:tabs>
              <w:ind w:firstLine="0"/>
              <w:rPr>
                <w:lang w:val="en-US"/>
              </w:rPr>
            </w:pPr>
            <w:r w:rsidRPr="004B465B">
              <w:rPr>
                <w:lang w:val="en-US"/>
              </w:rPr>
              <w:t>A “less than” comparison relation</w:t>
            </w:r>
          </w:p>
        </w:tc>
        <w:tc>
          <w:tcPr>
            <w:tcW w:w="308" w:type="dxa"/>
            <w:vMerge/>
            <w:tcBorders>
              <w:left w:val="nil"/>
              <w:right w:val="nil"/>
            </w:tcBorders>
          </w:tcPr>
          <w:p w14:paraId="1FAF455B" w14:textId="77777777" w:rsidR="00075CBD" w:rsidRPr="004B465B" w:rsidRDefault="00075CBD" w:rsidP="006C6A04">
            <w:pPr>
              <w:pStyle w:val="BodyText"/>
              <w:jc w:val="center"/>
              <w:rPr>
                <w:lang w:val="en-US"/>
              </w:rPr>
            </w:pPr>
          </w:p>
        </w:tc>
      </w:tr>
      <w:tr w:rsidR="00075CBD" w:rsidRPr="004B465B" w14:paraId="0323C16E" w14:textId="77777777" w:rsidTr="006C6A04">
        <w:tc>
          <w:tcPr>
            <w:tcW w:w="1101" w:type="dxa"/>
            <w:tcBorders>
              <w:top w:val="nil"/>
              <w:left w:val="nil"/>
              <w:bottom w:val="nil"/>
              <w:right w:val="single" w:sz="4" w:space="0" w:color="FFFFFF"/>
            </w:tcBorders>
            <w:hideMark/>
          </w:tcPr>
          <w:p w14:paraId="22EA0C0F" w14:textId="77777777" w:rsidR="00075CBD" w:rsidRPr="004B465B" w:rsidRDefault="00075CBD" w:rsidP="006C6A04">
            <w:pPr>
              <w:pStyle w:val="BodyText"/>
              <w:tabs>
                <w:tab w:val="clear" w:pos="8640"/>
              </w:tabs>
              <w:ind w:firstLine="0"/>
              <w:rPr>
                <w:lang w:val="en-US"/>
              </w:rPr>
            </w:pPr>
            <w:r w:rsidRPr="004B465B">
              <w:rPr>
                <w:lang w:val="en-US"/>
              </w:rPr>
              <w:t>r</w:t>
            </w:r>
            <w:r w:rsidRPr="004B465B">
              <w:rPr>
                <w:vertAlign w:val="subscript"/>
                <w:lang w:val="en-US"/>
              </w:rPr>
              <w:t>p</w:t>
            </w:r>
          </w:p>
        </w:tc>
        <w:tc>
          <w:tcPr>
            <w:tcW w:w="7516" w:type="dxa"/>
            <w:tcBorders>
              <w:top w:val="nil"/>
              <w:left w:val="single" w:sz="4" w:space="0" w:color="FFFFFF"/>
              <w:bottom w:val="nil"/>
              <w:right w:val="nil"/>
            </w:tcBorders>
            <w:hideMark/>
          </w:tcPr>
          <w:p w14:paraId="07DD54C6" w14:textId="77777777" w:rsidR="00075CBD" w:rsidRPr="004B465B" w:rsidRDefault="00075CBD" w:rsidP="006C6A04">
            <w:pPr>
              <w:pStyle w:val="BodyText"/>
              <w:tabs>
                <w:tab w:val="clear" w:pos="8640"/>
              </w:tabs>
              <w:ind w:firstLine="0"/>
              <w:rPr>
                <w:lang w:val="en-US"/>
              </w:rPr>
            </w:pPr>
            <w:r w:rsidRPr="004B465B">
              <w:rPr>
                <w:lang w:val="en-US"/>
              </w:rPr>
              <w:t>A “part of” hierarchical relation</w:t>
            </w:r>
          </w:p>
        </w:tc>
        <w:tc>
          <w:tcPr>
            <w:tcW w:w="308" w:type="dxa"/>
            <w:vMerge/>
            <w:tcBorders>
              <w:left w:val="nil"/>
              <w:right w:val="nil"/>
            </w:tcBorders>
          </w:tcPr>
          <w:p w14:paraId="5109E1AE" w14:textId="77777777" w:rsidR="00075CBD" w:rsidRPr="004B465B" w:rsidRDefault="00075CBD" w:rsidP="006C6A04">
            <w:pPr>
              <w:pStyle w:val="BodyText"/>
              <w:tabs>
                <w:tab w:val="clear" w:pos="8640"/>
              </w:tabs>
              <w:ind w:firstLine="0"/>
              <w:jc w:val="center"/>
              <w:rPr>
                <w:lang w:val="en-US"/>
              </w:rPr>
            </w:pPr>
          </w:p>
        </w:tc>
      </w:tr>
      <w:tr w:rsidR="00075CBD" w:rsidRPr="004B465B" w14:paraId="1F0891F5" w14:textId="77777777" w:rsidTr="00075CBD">
        <w:tc>
          <w:tcPr>
            <w:tcW w:w="1101" w:type="dxa"/>
            <w:tcBorders>
              <w:top w:val="nil"/>
              <w:left w:val="nil"/>
              <w:bottom w:val="nil"/>
              <w:right w:val="single" w:sz="4" w:space="0" w:color="FFFFFF"/>
            </w:tcBorders>
            <w:hideMark/>
          </w:tcPr>
          <w:p w14:paraId="0DC05E0C" w14:textId="77777777" w:rsidR="00075CBD" w:rsidRPr="004B465B" w:rsidRDefault="00075CBD" w:rsidP="006C6A04">
            <w:pPr>
              <w:pStyle w:val="BodyText"/>
              <w:tabs>
                <w:tab w:val="clear" w:pos="8640"/>
              </w:tabs>
              <w:ind w:firstLine="0"/>
              <w:rPr>
                <w:vertAlign w:val="subscript"/>
                <w:lang w:val="en-US"/>
              </w:rPr>
            </w:pPr>
            <w:r w:rsidRPr="004B465B">
              <w:rPr>
                <w:lang w:val="en-US"/>
              </w:rPr>
              <w:t>r</w:t>
            </w:r>
            <w:r w:rsidRPr="004B465B">
              <w:rPr>
                <w:vertAlign w:val="subscript"/>
                <w:lang w:val="en-US"/>
              </w:rPr>
              <w:t>c</w:t>
            </w:r>
          </w:p>
          <w:p w14:paraId="27E4B7F9" w14:textId="77777777" w:rsidR="00075CBD" w:rsidRPr="004B465B" w:rsidRDefault="00075CBD" w:rsidP="006C6A04">
            <w:pPr>
              <w:rPr>
                <w:b/>
                <w:bCs/>
                <w:i/>
                <w:iCs/>
                <w:color w:val="4472C4"/>
              </w:rPr>
            </w:pPr>
            <w:r w:rsidRPr="004B465B">
              <w:t>r</w:t>
            </w:r>
            <w:r w:rsidRPr="004B465B">
              <w:rPr>
                <w:vertAlign w:val="subscript"/>
              </w:rPr>
              <w:t>x</w:t>
            </w:r>
            <w:r w:rsidRPr="004B465B">
              <w:rPr>
                <w:vertAlign w:val="superscript"/>
              </w:rPr>
              <w:t>+n</w:t>
            </w:r>
          </w:p>
        </w:tc>
        <w:tc>
          <w:tcPr>
            <w:tcW w:w="7516" w:type="dxa"/>
            <w:tcBorders>
              <w:top w:val="nil"/>
              <w:left w:val="single" w:sz="4" w:space="0" w:color="FFFFFF"/>
              <w:bottom w:val="nil"/>
              <w:right w:val="nil"/>
            </w:tcBorders>
            <w:hideMark/>
          </w:tcPr>
          <w:p w14:paraId="0C728C20" w14:textId="77777777" w:rsidR="00075CBD" w:rsidRPr="004B465B" w:rsidRDefault="00075CBD" w:rsidP="006C6A04">
            <w:pPr>
              <w:pStyle w:val="BodyText"/>
              <w:tabs>
                <w:tab w:val="clear" w:pos="8640"/>
              </w:tabs>
              <w:ind w:firstLine="0"/>
              <w:rPr>
                <w:lang w:val="en-US"/>
              </w:rPr>
            </w:pPr>
            <w:r w:rsidRPr="004B465B">
              <w:rPr>
                <w:lang w:val="en-US"/>
              </w:rPr>
              <w:t>A “contains” hierarchical relation</w:t>
            </w:r>
          </w:p>
          <w:p w14:paraId="217651BD" w14:textId="77777777" w:rsidR="00075CBD" w:rsidRPr="004B465B" w:rsidRDefault="00075CBD" w:rsidP="006C6A04">
            <w:pPr>
              <w:pStyle w:val="BodyText"/>
              <w:tabs>
                <w:tab w:val="clear" w:pos="8640"/>
              </w:tabs>
              <w:ind w:firstLine="0"/>
              <w:rPr>
                <w:lang w:val="en-US"/>
              </w:rPr>
            </w:pPr>
            <w:r w:rsidRPr="004B465B">
              <w:rPr>
                <w:lang w:val="en-US"/>
              </w:rPr>
              <w:t>Used to emphasize comparative relationality (e.g., “r</w:t>
            </w:r>
            <w:r w:rsidRPr="004B465B">
              <w:rPr>
                <w:vertAlign w:val="subscript"/>
                <w:lang w:val="en-US"/>
              </w:rPr>
              <w:t>m</w:t>
            </w:r>
            <w:r w:rsidRPr="004B465B">
              <w:rPr>
                <w:vertAlign w:val="superscript"/>
                <w:lang w:val="en-US"/>
              </w:rPr>
              <w:t>+1</w:t>
            </w:r>
            <w:r w:rsidRPr="004B465B">
              <w:rPr>
                <w:lang w:val="en-US"/>
              </w:rPr>
              <w:t>” could mean an “even more than” relation)</w:t>
            </w:r>
          </w:p>
        </w:tc>
        <w:tc>
          <w:tcPr>
            <w:tcW w:w="308" w:type="dxa"/>
            <w:vMerge/>
            <w:tcBorders>
              <w:left w:val="nil"/>
              <w:right w:val="nil"/>
            </w:tcBorders>
          </w:tcPr>
          <w:p w14:paraId="532A7648" w14:textId="77777777" w:rsidR="00075CBD" w:rsidRPr="004B465B" w:rsidRDefault="00075CBD" w:rsidP="006C6A04">
            <w:pPr>
              <w:pStyle w:val="BodyText"/>
              <w:tabs>
                <w:tab w:val="clear" w:pos="8640"/>
              </w:tabs>
              <w:ind w:firstLine="0"/>
              <w:jc w:val="center"/>
              <w:rPr>
                <w:lang w:val="en-US"/>
              </w:rPr>
            </w:pPr>
          </w:p>
        </w:tc>
      </w:tr>
      <w:tr w:rsidR="00075CBD" w:rsidRPr="004B465B" w14:paraId="0DC73A7B" w14:textId="77777777" w:rsidTr="00075CBD">
        <w:tc>
          <w:tcPr>
            <w:tcW w:w="1101" w:type="dxa"/>
            <w:tcBorders>
              <w:top w:val="nil"/>
              <w:left w:val="nil"/>
              <w:bottom w:val="nil"/>
              <w:right w:val="single" w:sz="4" w:space="0" w:color="FFFFFF"/>
            </w:tcBorders>
          </w:tcPr>
          <w:p w14:paraId="26D429C4" w14:textId="77777777" w:rsidR="00075CBD" w:rsidRPr="004B465B" w:rsidRDefault="00075CBD" w:rsidP="00075CBD">
            <w:pPr>
              <w:pStyle w:val="BodyText"/>
              <w:tabs>
                <w:tab w:val="clear" w:pos="8640"/>
              </w:tabs>
              <w:ind w:firstLine="0"/>
              <w:rPr>
                <w:lang w:val="en-US"/>
              </w:rPr>
            </w:pPr>
            <w:r w:rsidRPr="004B465B">
              <w:rPr>
                <w:lang w:val="en-US"/>
              </w:rPr>
              <w:t>r</w:t>
            </w:r>
            <w:r w:rsidRPr="004B465B">
              <w:rPr>
                <w:vertAlign w:val="subscript"/>
                <w:lang w:val="en-US"/>
              </w:rPr>
              <w:t>xi</w:t>
            </w:r>
          </w:p>
        </w:tc>
        <w:tc>
          <w:tcPr>
            <w:tcW w:w="7516" w:type="dxa"/>
            <w:tcBorders>
              <w:top w:val="nil"/>
              <w:left w:val="single" w:sz="4" w:space="0" w:color="FFFFFF"/>
              <w:bottom w:val="nil"/>
              <w:right w:val="nil"/>
            </w:tcBorders>
          </w:tcPr>
          <w:p w14:paraId="3452FBCD" w14:textId="77777777" w:rsidR="00075CBD" w:rsidRPr="004B465B" w:rsidRDefault="00075CBD" w:rsidP="00075CBD">
            <w:pPr>
              <w:pStyle w:val="BodyText"/>
              <w:tabs>
                <w:tab w:val="clear" w:pos="8640"/>
              </w:tabs>
              <w:ind w:firstLine="0"/>
              <w:rPr>
                <w:lang w:val="en-US"/>
              </w:rPr>
            </w:pPr>
            <w:r w:rsidRPr="004B465B">
              <w:rPr>
                <w:lang w:val="en-US"/>
              </w:rPr>
              <w:t>Specifies that this particular relational cue “x” is intransitive</w:t>
            </w:r>
          </w:p>
        </w:tc>
        <w:tc>
          <w:tcPr>
            <w:tcW w:w="308" w:type="dxa"/>
            <w:tcBorders>
              <w:left w:val="nil"/>
              <w:bottom w:val="nil"/>
              <w:right w:val="nil"/>
            </w:tcBorders>
          </w:tcPr>
          <w:p w14:paraId="6E92B8C4" w14:textId="77777777" w:rsidR="00075CBD" w:rsidRPr="004B465B" w:rsidRDefault="00075CBD" w:rsidP="00075CBD">
            <w:pPr>
              <w:pStyle w:val="BodyText"/>
              <w:tabs>
                <w:tab w:val="clear" w:pos="8640"/>
              </w:tabs>
              <w:ind w:firstLine="0"/>
              <w:jc w:val="center"/>
              <w:rPr>
                <w:lang w:val="en-US"/>
              </w:rPr>
            </w:pPr>
          </w:p>
        </w:tc>
      </w:tr>
      <w:tr w:rsidR="00075CBD" w:rsidRPr="004B465B" w14:paraId="7805E0BB" w14:textId="77777777" w:rsidTr="00075CBD">
        <w:tc>
          <w:tcPr>
            <w:tcW w:w="1101" w:type="dxa"/>
            <w:tcBorders>
              <w:top w:val="nil"/>
              <w:left w:val="nil"/>
              <w:bottom w:val="nil"/>
              <w:right w:val="single" w:sz="4" w:space="0" w:color="FFFFFF"/>
            </w:tcBorders>
          </w:tcPr>
          <w:p w14:paraId="2F1B3D27" w14:textId="77777777" w:rsidR="00075CBD" w:rsidRPr="004B465B" w:rsidRDefault="00075CBD" w:rsidP="00075CBD">
            <w:pPr>
              <w:pStyle w:val="BodyText"/>
              <w:tabs>
                <w:tab w:val="clear" w:pos="8640"/>
              </w:tabs>
              <w:ind w:firstLine="0"/>
              <w:rPr>
                <w:lang w:val="en-US"/>
              </w:rPr>
            </w:pPr>
            <w:r w:rsidRPr="004B465B">
              <w:rPr>
                <w:lang w:val="en-US"/>
              </w:rPr>
              <w:t>r</w:t>
            </w:r>
            <w:r w:rsidRPr="004B465B">
              <w:rPr>
                <w:vertAlign w:val="subscript"/>
                <w:lang w:val="en-US"/>
              </w:rPr>
              <w:t>xa</w:t>
            </w:r>
          </w:p>
        </w:tc>
        <w:tc>
          <w:tcPr>
            <w:tcW w:w="7516" w:type="dxa"/>
            <w:tcBorders>
              <w:top w:val="nil"/>
              <w:left w:val="single" w:sz="4" w:space="0" w:color="FFFFFF"/>
              <w:bottom w:val="nil"/>
              <w:right w:val="nil"/>
            </w:tcBorders>
          </w:tcPr>
          <w:p w14:paraId="4305CB0C" w14:textId="77777777" w:rsidR="00075CBD" w:rsidRPr="004B465B" w:rsidRDefault="00075CBD" w:rsidP="00075CBD">
            <w:pPr>
              <w:pStyle w:val="BodyText"/>
              <w:tabs>
                <w:tab w:val="clear" w:pos="8640"/>
              </w:tabs>
              <w:ind w:firstLine="0"/>
              <w:rPr>
                <w:lang w:val="en-US"/>
              </w:rPr>
            </w:pPr>
            <w:r w:rsidRPr="004B465B">
              <w:rPr>
                <w:lang w:val="en-US"/>
              </w:rPr>
              <w:t>Specifies that this particular relational cue “x” is antitransitive</w:t>
            </w:r>
          </w:p>
        </w:tc>
        <w:tc>
          <w:tcPr>
            <w:tcW w:w="308" w:type="dxa"/>
            <w:tcBorders>
              <w:top w:val="nil"/>
              <w:left w:val="nil"/>
              <w:bottom w:val="nil"/>
              <w:right w:val="nil"/>
            </w:tcBorders>
          </w:tcPr>
          <w:p w14:paraId="504B68F2" w14:textId="77777777" w:rsidR="00075CBD" w:rsidRPr="004B465B" w:rsidRDefault="00075CBD" w:rsidP="00075CBD">
            <w:pPr>
              <w:pStyle w:val="BodyText"/>
              <w:tabs>
                <w:tab w:val="clear" w:pos="8640"/>
              </w:tabs>
              <w:ind w:firstLine="0"/>
              <w:jc w:val="center"/>
              <w:rPr>
                <w:lang w:val="en-US"/>
              </w:rPr>
            </w:pPr>
          </w:p>
        </w:tc>
      </w:tr>
      <w:tr w:rsidR="00075CBD" w:rsidRPr="004B465B" w14:paraId="5F63946E" w14:textId="77777777" w:rsidTr="00075CBD">
        <w:tc>
          <w:tcPr>
            <w:tcW w:w="1101" w:type="dxa"/>
            <w:tcBorders>
              <w:top w:val="nil"/>
              <w:left w:val="nil"/>
              <w:bottom w:val="single" w:sz="4" w:space="0" w:color="000000"/>
              <w:right w:val="single" w:sz="4" w:space="0" w:color="FFFFFF"/>
            </w:tcBorders>
          </w:tcPr>
          <w:p w14:paraId="148B5774" w14:textId="77777777" w:rsidR="00075CBD" w:rsidRPr="004B465B" w:rsidRDefault="00075CBD" w:rsidP="00075CBD">
            <w:pPr>
              <w:pStyle w:val="BodyText"/>
              <w:tabs>
                <w:tab w:val="clear" w:pos="8640"/>
              </w:tabs>
              <w:ind w:firstLine="0"/>
              <w:rPr>
                <w:lang w:val="en-US"/>
              </w:rPr>
            </w:pPr>
            <w:r w:rsidRPr="004B465B">
              <w:rPr>
                <w:lang w:val="en-US"/>
              </w:rPr>
              <w:t>r</w:t>
            </w:r>
            <w:r w:rsidRPr="004B465B">
              <w:rPr>
                <w:vertAlign w:val="subscript"/>
                <w:lang w:val="en-US"/>
              </w:rPr>
              <w:t>xt</w:t>
            </w:r>
          </w:p>
        </w:tc>
        <w:tc>
          <w:tcPr>
            <w:tcW w:w="7516" w:type="dxa"/>
            <w:tcBorders>
              <w:top w:val="nil"/>
              <w:left w:val="single" w:sz="4" w:space="0" w:color="FFFFFF"/>
              <w:bottom w:val="single" w:sz="4" w:space="0" w:color="000000"/>
              <w:right w:val="nil"/>
            </w:tcBorders>
          </w:tcPr>
          <w:p w14:paraId="40A6B7CF" w14:textId="77777777" w:rsidR="00075CBD" w:rsidRPr="004B465B" w:rsidRDefault="00075CBD" w:rsidP="00075CBD">
            <w:pPr>
              <w:pStyle w:val="BodyText"/>
              <w:tabs>
                <w:tab w:val="clear" w:pos="8640"/>
              </w:tabs>
              <w:ind w:firstLine="0"/>
              <w:rPr>
                <w:lang w:val="en-US"/>
              </w:rPr>
            </w:pPr>
            <w:r w:rsidRPr="004B465B">
              <w:rPr>
                <w:lang w:val="en-US"/>
              </w:rPr>
              <w:t>Specifies that this particular relational cue “x” is transitive</w:t>
            </w:r>
          </w:p>
        </w:tc>
        <w:tc>
          <w:tcPr>
            <w:tcW w:w="308" w:type="dxa"/>
            <w:tcBorders>
              <w:top w:val="nil"/>
              <w:left w:val="nil"/>
              <w:bottom w:val="single" w:sz="4" w:space="0" w:color="000000"/>
              <w:right w:val="nil"/>
            </w:tcBorders>
          </w:tcPr>
          <w:p w14:paraId="56E662A7" w14:textId="77777777" w:rsidR="00075CBD" w:rsidRPr="004B465B" w:rsidRDefault="00075CBD" w:rsidP="00075CBD">
            <w:pPr>
              <w:pStyle w:val="BodyText"/>
              <w:tabs>
                <w:tab w:val="clear" w:pos="8640"/>
              </w:tabs>
              <w:ind w:firstLine="0"/>
              <w:jc w:val="center"/>
              <w:rPr>
                <w:lang w:val="en-US"/>
              </w:rPr>
            </w:pPr>
          </w:p>
        </w:tc>
      </w:tr>
    </w:tbl>
    <w:p w14:paraId="0A423228" w14:textId="77777777" w:rsidR="00075CBD" w:rsidRPr="004B465B" w:rsidRDefault="00075CBD" w:rsidP="00CB195D">
      <w:pPr>
        <w:spacing w:line="480" w:lineRule="auto"/>
      </w:pPr>
    </w:p>
    <w:sectPr w:rsidR="00075CBD" w:rsidRPr="004B465B" w:rsidSect="0033325C">
      <w:headerReference w:type="default" r:id="rId9"/>
      <w:pgSz w:w="12240" w:h="15840" w:code="1"/>
      <w:pgMar w:top="1440" w:right="1440" w:bottom="1440" w:left="1440" w:header="720" w:footer="720" w:gutter="0"/>
      <w:pgNumType w:start="2"/>
      <w:cols w:space="36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F5E0E20" w16cid:durableId="1FBA2FAA"/>
  <w16cid:commentId w16cid:paraId="47CEF4BB" w16cid:durableId="1FBA2B91"/>
  <w16cid:commentId w16cid:paraId="02CB89D0" w16cid:durableId="1FBA2CFE"/>
  <w16cid:commentId w16cid:paraId="7D074DEE" w16cid:durableId="1FBA2D34"/>
  <w16cid:commentId w16cid:paraId="4B4977A7" w16cid:durableId="1FBA3FF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774C5" w14:textId="77777777" w:rsidR="004A6B36" w:rsidRDefault="004A6B36">
      <w:r>
        <w:separator/>
      </w:r>
    </w:p>
  </w:endnote>
  <w:endnote w:type="continuationSeparator" w:id="0">
    <w:p w14:paraId="16DF4B21" w14:textId="77777777" w:rsidR="004A6B36" w:rsidRDefault="004A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50F0D1" w14:textId="77777777" w:rsidR="004A6B36" w:rsidRDefault="004A6B36">
      <w:r>
        <w:separator/>
      </w:r>
    </w:p>
  </w:footnote>
  <w:footnote w:type="continuationSeparator" w:id="0">
    <w:p w14:paraId="5A233690" w14:textId="77777777" w:rsidR="004A6B36" w:rsidRDefault="004A6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79ED0" w14:textId="233758D0" w:rsidR="002304ED" w:rsidRDefault="002304ED" w:rsidP="00914687">
    <w:pPr>
      <w:pStyle w:val="Header"/>
      <w:jc w:val="left"/>
    </w:pPr>
    <w:r>
      <w:t xml:space="preserve">RFT NOTATION FOR BASIC RESEARCH </w:t>
    </w:r>
    <w:r>
      <w:tab/>
      <w:t xml:space="preserve"> </w:t>
    </w:r>
    <w:r>
      <w:rPr>
        <w:rStyle w:val="PageNumber"/>
      </w:rPr>
      <w:fldChar w:fldCharType="begin"/>
    </w:r>
    <w:r>
      <w:rPr>
        <w:rStyle w:val="PageNumber"/>
      </w:rPr>
      <w:instrText xml:space="preserve"> PAGE </w:instrText>
    </w:r>
    <w:r>
      <w:rPr>
        <w:rStyle w:val="PageNumber"/>
      </w:rPr>
      <w:fldChar w:fldCharType="separate"/>
    </w:r>
    <w:r w:rsidR="008D5B52">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23A81"/>
    <w:multiLevelType w:val="hybridMultilevel"/>
    <w:tmpl w:val="3FB447D8"/>
    <w:lvl w:ilvl="0" w:tplc="D6BED3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E" w:vendorID="64" w:dllVersion="6" w:nlCheck="1" w:checkStyle="1"/>
  <w:activeWritingStyle w:appName="MSWord" w:lang="en-US" w:vendorID="64" w:dllVersion="0" w:nlCheck="1" w:checkStyle="0"/>
  <w:activeWritingStyle w:appName="MSWord" w:lang="en-IE"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bQwNzA3MjK0NLM0tTRT0lEKTi0uzszPAymwqAUAORF4jSwAAAA="/>
  </w:docVars>
  <w:rsids>
    <w:rsidRoot w:val="00583355"/>
    <w:rsid w:val="000002E1"/>
    <w:rsid w:val="00001269"/>
    <w:rsid w:val="00002EB9"/>
    <w:rsid w:val="00004977"/>
    <w:rsid w:val="00006F91"/>
    <w:rsid w:val="00010A55"/>
    <w:rsid w:val="0001163B"/>
    <w:rsid w:val="00014560"/>
    <w:rsid w:val="0001516E"/>
    <w:rsid w:val="00016D48"/>
    <w:rsid w:val="00016EF9"/>
    <w:rsid w:val="000174B7"/>
    <w:rsid w:val="0002024E"/>
    <w:rsid w:val="00021681"/>
    <w:rsid w:val="000222B8"/>
    <w:rsid w:val="0002345E"/>
    <w:rsid w:val="00023AD7"/>
    <w:rsid w:val="00025074"/>
    <w:rsid w:val="0002645A"/>
    <w:rsid w:val="00026481"/>
    <w:rsid w:val="000265A8"/>
    <w:rsid w:val="00026C30"/>
    <w:rsid w:val="0002767D"/>
    <w:rsid w:val="000327EB"/>
    <w:rsid w:val="000331EA"/>
    <w:rsid w:val="0003571B"/>
    <w:rsid w:val="000411C3"/>
    <w:rsid w:val="000430D9"/>
    <w:rsid w:val="00043F08"/>
    <w:rsid w:val="0004592C"/>
    <w:rsid w:val="0005118B"/>
    <w:rsid w:val="00051DFD"/>
    <w:rsid w:val="00052138"/>
    <w:rsid w:val="00052561"/>
    <w:rsid w:val="000567B9"/>
    <w:rsid w:val="00056C46"/>
    <w:rsid w:val="000610F6"/>
    <w:rsid w:val="00061408"/>
    <w:rsid w:val="0006342D"/>
    <w:rsid w:val="00063CA7"/>
    <w:rsid w:val="00064B71"/>
    <w:rsid w:val="0006606E"/>
    <w:rsid w:val="000665A5"/>
    <w:rsid w:val="00075CBD"/>
    <w:rsid w:val="00077B50"/>
    <w:rsid w:val="00077F2F"/>
    <w:rsid w:val="0008199D"/>
    <w:rsid w:val="000851DF"/>
    <w:rsid w:val="0008574C"/>
    <w:rsid w:val="00086A66"/>
    <w:rsid w:val="00090456"/>
    <w:rsid w:val="000913C7"/>
    <w:rsid w:val="000929F2"/>
    <w:rsid w:val="0009446D"/>
    <w:rsid w:val="000A0B24"/>
    <w:rsid w:val="000A2218"/>
    <w:rsid w:val="000A2333"/>
    <w:rsid w:val="000A5493"/>
    <w:rsid w:val="000A65AD"/>
    <w:rsid w:val="000A758E"/>
    <w:rsid w:val="000A79C7"/>
    <w:rsid w:val="000B11AE"/>
    <w:rsid w:val="000B2449"/>
    <w:rsid w:val="000B2A52"/>
    <w:rsid w:val="000B33A3"/>
    <w:rsid w:val="000B3501"/>
    <w:rsid w:val="000B5F1D"/>
    <w:rsid w:val="000B77FE"/>
    <w:rsid w:val="000B7CB4"/>
    <w:rsid w:val="000C04EB"/>
    <w:rsid w:val="000C115A"/>
    <w:rsid w:val="000C124F"/>
    <w:rsid w:val="000C2C07"/>
    <w:rsid w:val="000C31A2"/>
    <w:rsid w:val="000C3747"/>
    <w:rsid w:val="000C472F"/>
    <w:rsid w:val="000C5AEE"/>
    <w:rsid w:val="000D17E8"/>
    <w:rsid w:val="000D229B"/>
    <w:rsid w:val="000D3892"/>
    <w:rsid w:val="000D4CA9"/>
    <w:rsid w:val="000D5095"/>
    <w:rsid w:val="000D677B"/>
    <w:rsid w:val="000D6E97"/>
    <w:rsid w:val="000E097D"/>
    <w:rsid w:val="000E1D3D"/>
    <w:rsid w:val="000E22FA"/>
    <w:rsid w:val="000E2B1B"/>
    <w:rsid w:val="000E3FF9"/>
    <w:rsid w:val="000E4E02"/>
    <w:rsid w:val="000E4E49"/>
    <w:rsid w:val="000E6BAC"/>
    <w:rsid w:val="000E6BED"/>
    <w:rsid w:val="000F0DC7"/>
    <w:rsid w:val="000F0F2D"/>
    <w:rsid w:val="000F1263"/>
    <w:rsid w:val="000F12CA"/>
    <w:rsid w:val="000F1F7C"/>
    <w:rsid w:val="000F2A00"/>
    <w:rsid w:val="000F408A"/>
    <w:rsid w:val="000F6486"/>
    <w:rsid w:val="000F7D6C"/>
    <w:rsid w:val="00100F82"/>
    <w:rsid w:val="00101E02"/>
    <w:rsid w:val="00103B78"/>
    <w:rsid w:val="00103F64"/>
    <w:rsid w:val="00106BB9"/>
    <w:rsid w:val="00107D22"/>
    <w:rsid w:val="001109EB"/>
    <w:rsid w:val="001113C6"/>
    <w:rsid w:val="00112D95"/>
    <w:rsid w:val="00113B4E"/>
    <w:rsid w:val="00114CA5"/>
    <w:rsid w:val="00117B5A"/>
    <w:rsid w:val="00117E29"/>
    <w:rsid w:val="00121B14"/>
    <w:rsid w:val="00121EF2"/>
    <w:rsid w:val="00124975"/>
    <w:rsid w:val="001249A9"/>
    <w:rsid w:val="00125105"/>
    <w:rsid w:val="001268DE"/>
    <w:rsid w:val="00130FA6"/>
    <w:rsid w:val="00132A8C"/>
    <w:rsid w:val="00133662"/>
    <w:rsid w:val="00133AD5"/>
    <w:rsid w:val="001347C0"/>
    <w:rsid w:val="00135384"/>
    <w:rsid w:val="00136468"/>
    <w:rsid w:val="00136560"/>
    <w:rsid w:val="001375A6"/>
    <w:rsid w:val="0013795A"/>
    <w:rsid w:val="00140AA8"/>
    <w:rsid w:val="00141386"/>
    <w:rsid w:val="001422E8"/>
    <w:rsid w:val="001428A0"/>
    <w:rsid w:val="00142DA0"/>
    <w:rsid w:val="00143095"/>
    <w:rsid w:val="00143BD7"/>
    <w:rsid w:val="00145EDB"/>
    <w:rsid w:val="001465BA"/>
    <w:rsid w:val="001469D0"/>
    <w:rsid w:val="00151218"/>
    <w:rsid w:val="00152BD5"/>
    <w:rsid w:val="00152E8A"/>
    <w:rsid w:val="001572DD"/>
    <w:rsid w:val="00157DAB"/>
    <w:rsid w:val="001623C9"/>
    <w:rsid w:val="00164B85"/>
    <w:rsid w:val="00165A5E"/>
    <w:rsid w:val="00166938"/>
    <w:rsid w:val="00167262"/>
    <w:rsid w:val="001678CA"/>
    <w:rsid w:val="001715B7"/>
    <w:rsid w:val="00173F3E"/>
    <w:rsid w:val="0017474F"/>
    <w:rsid w:val="001803B2"/>
    <w:rsid w:val="00181B36"/>
    <w:rsid w:val="00182B1A"/>
    <w:rsid w:val="001833CD"/>
    <w:rsid w:val="001848E3"/>
    <w:rsid w:val="00187562"/>
    <w:rsid w:val="001876FD"/>
    <w:rsid w:val="001929EA"/>
    <w:rsid w:val="0019315F"/>
    <w:rsid w:val="0019343E"/>
    <w:rsid w:val="0019396D"/>
    <w:rsid w:val="00193F69"/>
    <w:rsid w:val="00194DAF"/>
    <w:rsid w:val="001959DE"/>
    <w:rsid w:val="00195A65"/>
    <w:rsid w:val="001A1305"/>
    <w:rsid w:val="001A232A"/>
    <w:rsid w:val="001A2940"/>
    <w:rsid w:val="001A35A0"/>
    <w:rsid w:val="001A60E6"/>
    <w:rsid w:val="001A7A76"/>
    <w:rsid w:val="001A7F13"/>
    <w:rsid w:val="001B01A7"/>
    <w:rsid w:val="001B0779"/>
    <w:rsid w:val="001B1E88"/>
    <w:rsid w:val="001B2E53"/>
    <w:rsid w:val="001B4335"/>
    <w:rsid w:val="001B7D89"/>
    <w:rsid w:val="001C038F"/>
    <w:rsid w:val="001C17BB"/>
    <w:rsid w:val="001C3E69"/>
    <w:rsid w:val="001C480A"/>
    <w:rsid w:val="001C5039"/>
    <w:rsid w:val="001C531B"/>
    <w:rsid w:val="001C5819"/>
    <w:rsid w:val="001C6C47"/>
    <w:rsid w:val="001C73EB"/>
    <w:rsid w:val="001D0418"/>
    <w:rsid w:val="001D0EEC"/>
    <w:rsid w:val="001D12D1"/>
    <w:rsid w:val="001D3B4A"/>
    <w:rsid w:val="001E0118"/>
    <w:rsid w:val="001E19B9"/>
    <w:rsid w:val="001E2CE8"/>
    <w:rsid w:val="001E33AF"/>
    <w:rsid w:val="001E33CF"/>
    <w:rsid w:val="001E39AA"/>
    <w:rsid w:val="001E5DD1"/>
    <w:rsid w:val="001E6266"/>
    <w:rsid w:val="001F176D"/>
    <w:rsid w:val="001F22C8"/>
    <w:rsid w:val="001F2B5D"/>
    <w:rsid w:val="001F3D1B"/>
    <w:rsid w:val="001F4614"/>
    <w:rsid w:val="001F4B47"/>
    <w:rsid w:val="001F4D2F"/>
    <w:rsid w:val="001F57C4"/>
    <w:rsid w:val="001F64C2"/>
    <w:rsid w:val="001F69F3"/>
    <w:rsid w:val="001F6B8A"/>
    <w:rsid w:val="002008A0"/>
    <w:rsid w:val="00200EE1"/>
    <w:rsid w:val="0020243E"/>
    <w:rsid w:val="00202DC5"/>
    <w:rsid w:val="00203D83"/>
    <w:rsid w:val="00205618"/>
    <w:rsid w:val="00205B20"/>
    <w:rsid w:val="00205B67"/>
    <w:rsid w:val="00210676"/>
    <w:rsid w:val="002111E2"/>
    <w:rsid w:val="0021478D"/>
    <w:rsid w:val="00215C97"/>
    <w:rsid w:val="0021714B"/>
    <w:rsid w:val="00217E95"/>
    <w:rsid w:val="002207DE"/>
    <w:rsid w:val="00220C1C"/>
    <w:rsid w:val="0022480F"/>
    <w:rsid w:val="002249DE"/>
    <w:rsid w:val="00224F59"/>
    <w:rsid w:val="00226A0C"/>
    <w:rsid w:val="002304ED"/>
    <w:rsid w:val="0023100B"/>
    <w:rsid w:val="00231746"/>
    <w:rsid w:val="0023334D"/>
    <w:rsid w:val="002357E2"/>
    <w:rsid w:val="00235C45"/>
    <w:rsid w:val="00236ACB"/>
    <w:rsid w:val="00236B1B"/>
    <w:rsid w:val="002406CC"/>
    <w:rsid w:val="00241569"/>
    <w:rsid w:val="00241B96"/>
    <w:rsid w:val="00242D50"/>
    <w:rsid w:val="00243397"/>
    <w:rsid w:val="00243E87"/>
    <w:rsid w:val="00247DA9"/>
    <w:rsid w:val="00250A69"/>
    <w:rsid w:val="00252876"/>
    <w:rsid w:val="002546AC"/>
    <w:rsid w:val="002555DE"/>
    <w:rsid w:val="002563EC"/>
    <w:rsid w:val="00256FEF"/>
    <w:rsid w:val="0026193E"/>
    <w:rsid w:val="00262FF9"/>
    <w:rsid w:val="002632FE"/>
    <w:rsid w:val="00263402"/>
    <w:rsid w:val="00263941"/>
    <w:rsid w:val="00263AE8"/>
    <w:rsid w:val="00263F91"/>
    <w:rsid w:val="00264004"/>
    <w:rsid w:val="002648BE"/>
    <w:rsid w:val="00264DA6"/>
    <w:rsid w:val="002677F3"/>
    <w:rsid w:val="00267C60"/>
    <w:rsid w:val="002706C2"/>
    <w:rsid w:val="002732ED"/>
    <w:rsid w:val="00274CB9"/>
    <w:rsid w:val="0027510A"/>
    <w:rsid w:val="00280B01"/>
    <w:rsid w:val="0028130C"/>
    <w:rsid w:val="00282663"/>
    <w:rsid w:val="00282BA1"/>
    <w:rsid w:val="0028331D"/>
    <w:rsid w:val="00284992"/>
    <w:rsid w:val="0028583E"/>
    <w:rsid w:val="002933CA"/>
    <w:rsid w:val="00293CF6"/>
    <w:rsid w:val="00294C41"/>
    <w:rsid w:val="00296238"/>
    <w:rsid w:val="002A041C"/>
    <w:rsid w:val="002A11E1"/>
    <w:rsid w:val="002A2EC2"/>
    <w:rsid w:val="002A342C"/>
    <w:rsid w:val="002A725D"/>
    <w:rsid w:val="002B060D"/>
    <w:rsid w:val="002B0649"/>
    <w:rsid w:val="002B1B41"/>
    <w:rsid w:val="002B2F55"/>
    <w:rsid w:val="002B3949"/>
    <w:rsid w:val="002B3D38"/>
    <w:rsid w:val="002B3D5B"/>
    <w:rsid w:val="002B4D32"/>
    <w:rsid w:val="002B5A2C"/>
    <w:rsid w:val="002C00D0"/>
    <w:rsid w:val="002C1124"/>
    <w:rsid w:val="002C35F3"/>
    <w:rsid w:val="002C4F2A"/>
    <w:rsid w:val="002C5F03"/>
    <w:rsid w:val="002C6D60"/>
    <w:rsid w:val="002D3056"/>
    <w:rsid w:val="002D5280"/>
    <w:rsid w:val="002D66CA"/>
    <w:rsid w:val="002D6DE4"/>
    <w:rsid w:val="002D6F4D"/>
    <w:rsid w:val="002D7AEB"/>
    <w:rsid w:val="002E01E5"/>
    <w:rsid w:val="002E0D4D"/>
    <w:rsid w:val="002E1190"/>
    <w:rsid w:val="002E1AD8"/>
    <w:rsid w:val="002F2100"/>
    <w:rsid w:val="002F45E8"/>
    <w:rsid w:val="002F59A0"/>
    <w:rsid w:val="002F78E6"/>
    <w:rsid w:val="002F7BAA"/>
    <w:rsid w:val="003023AE"/>
    <w:rsid w:val="00302B92"/>
    <w:rsid w:val="00307A65"/>
    <w:rsid w:val="00307D39"/>
    <w:rsid w:val="003101E0"/>
    <w:rsid w:val="00310492"/>
    <w:rsid w:val="00310495"/>
    <w:rsid w:val="00310CFE"/>
    <w:rsid w:val="00312388"/>
    <w:rsid w:val="00314B6F"/>
    <w:rsid w:val="00316B92"/>
    <w:rsid w:val="003223AB"/>
    <w:rsid w:val="00324A2F"/>
    <w:rsid w:val="00324D9E"/>
    <w:rsid w:val="0032546F"/>
    <w:rsid w:val="00326981"/>
    <w:rsid w:val="00326C10"/>
    <w:rsid w:val="00330CDE"/>
    <w:rsid w:val="00332E10"/>
    <w:rsid w:val="0033325C"/>
    <w:rsid w:val="003340A6"/>
    <w:rsid w:val="00334AB2"/>
    <w:rsid w:val="00334CA1"/>
    <w:rsid w:val="00335D5C"/>
    <w:rsid w:val="0033609B"/>
    <w:rsid w:val="0034275B"/>
    <w:rsid w:val="00342B23"/>
    <w:rsid w:val="00344479"/>
    <w:rsid w:val="00344C44"/>
    <w:rsid w:val="003465A4"/>
    <w:rsid w:val="00346774"/>
    <w:rsid w:val="00346B0B"/>
    <w:rsid w:val="00346FFB"/>
    <w:rsid w:val="003502FF"/>
    <w:rsid w:val="00352654"/>
    <w:rsid w:val="003542B0"/>
    <w:rsid w:val="0035558F"/>
    <w:rsid w:val="00355645"/>
    <w:rsid w:val="00356EB2"/>
    <w:rsid w:val="00356FF4"/>
    <w:rsid w:val="003628A5"/>
    <w:rsid w:val="00366F9E"/>
    <w:rsid w:val="003702A9"/>
    <w:rsid w:val="00371A20"/>
    <w:rsid w:val="0037229A"/>
    <w:rsid w:val="00372CC2"/>
    <w:rsid w:val="003750A7"/>
    <w:rsid w:val="0038008F"/>
    <w:rsid w:val="0038042A"/>
    <w:rsid w:val="003806B8"/>
    <w:rsid w:val="00380EB2"/>
    <w:rsid w:val="003913B8"/>
    <w:rsid w:val="003917AD"/>
    <w:rsid w:val="00391D6D"/>
    <w:rsid w:val="003924A1"/>
    <w:rsid w:val="00393FF1"/>
    <w:rsid w:val="0039727B"/>
    <w:rsid w:val="003A0E64"/>
    <w:rsid w:val="003A5D17"/>
    <w:rsid w:val="003A7ACD"/>
    <w:rsid w:val="003A7D29"/>
    <w:rsid w:val="003B5070"/>
    <w:rsid w:val="003B5392"/>
    <w:rsid w:val="003B5541"/>
    <w:rsid w:val="003B5842"/>
    <w:rsid w:val="003B72E2"/>
    <w:rsid w:val="003B740E"/>
    <w:rsid w:val="003C1D1D"/>
    <w:rsid w:val="003C264E"/>
    <w:rsid w:val="003C5D79"/>
    <w:rsid w:val="003C5FF2"/>
    <w:rsid w:val="003C66FB"/>
    <w:rsid w:val="003D120A"/>
    <w:rsid w:val="003D191B"/>
    <w:rsid w:val="003D290F"/>
    <w:rsid w:val="003D429B"/>
    <w:rsid w:val="003D4FB5"/>
    <w:rsid w:val="003D7981"/>
    <w:rsid w:val="003D7B49"/>
    <w:rsid w:val="003E0440"/>
    <w:rsid w:val="003E1F21"/>
    <w:rsid w:val="003E572D"/>
    <w:rsid w:val="003E6231"/>
    <w:rsid w:val="003F0D24"/>
    <w:rsid w:val="003F143C"/>
    <w:rsid w:val="003F3531"/>
    <w:rsid w:val="003F4461"/>
    <w:rsid w:val="003F4BA8"/>
    <w:rsid w:val="003F54B9"/>
    <w:rsid w:val="003F58EB"/>
    <w:rsid w:val="003F766A"/>
    <w:rsid w:val="003F7D92"/>
    <w:rsid w:val="00400D02"/>
    <w:rsid w:val="00401964"/>
    <w:rsid w:val="0040350B"/>
    <w:rsid w:val="00410BC4"/>
    <w:rsid w:val="004111D2"/>
    <w:rsid w:val="004114B8"/>
    <w:rsid w:val="004115D8"/>
    <w:rsid w:val="00412E0F"/>
    <w:rsid w:val="004139E6"/>
    <w:rsid w:val="004142E9"/>
    <w:rsid w:val="00414914"/>
    <w:rsid w:val="00414CE0"/>
    <w:rsid w:val="0041618D"/>
    <w:rsid w:val="004174FB"/>
    <w:rsid w:val="004177E8"/>
    <w:rsid w:val="00421DC2"/>
    <w:rsid w:val="00422196"/>
    <w:rsid w:val="00424C90"/>
    <w:rsid w:val="00425197"/>
    <w:rsid w:val="00425552"/>
    <w:rsid w:val="0043027D"/>
    <w:rsid w:val="00432394"/>
    <w:rsid w:val="00432F7B"/>
    <w:rsid w:val="00434090"/>
    <w:rsid w:val="004344FC"/>
    <w:rsid w:val="004364F5"/>
    <w:rsid w:val="004412E9"/>
    <w:rsid w:val="00443A74"/>
    <w:rsid w:val="00443C38"/>
    <w:rsid w:val="00444BE4"/>
    <w:rsid w:val="004456F3"/>
    <w:rsid w:val="004467F9"/>
    <w:rsid w:val="00447A88"/>
    <w:rsid w:val="0045053A"/>
    <w:rsid w:val="00450B29"/>
    <w:rsid w:val="00450D72"/>
    <w:rsid w:val="0045274D"/>
    <w:rsid w:val="00453DAE"/>
    <w:rsid w:val="004548B3"/>
    <w:rsid w:val="004560C2"/>
    <w:rsid w:val="004615FC"/>
    <w:rsid w:val="00461BDD"/>
    <w:rsid w:val="0046555E"/>
    <w:rsid w:val="00465DD4"/>
    <w:rsid w:val="00466291"/>
    <w:rsid w:val="0046695C"/>
    <w:rsid w:val="00472CCA"/>
    <w:rsid w:val="004737A4"/>
    <w:rsid w:val="00474018"/>
    <w:rsid w:val="00474422"/>
    <w:rsid w:val="004760B1"/>
    <w:rsid w:val="00477D15"/>
    <w:rsid w:val="00477E50"/>
    <w:rsid w:val="00480792"/>
    <w:rsid w:val="00482BF1"/>
    <w:rsid w:val="00482C63"/>
    <w:rsid w:val="004831EE"/>
    <w:rsid w:val="0048414B"/>
    <w:rsid w:val="004854AF"/>
    <w:rsid w:val="004860DD"/>
    <w:rsid w:val="00486FAC"/>
    <w:rsid w:val="00487FCF"/>
    <w:rsid w:val="00491993"/>
    <w:rsid w:val="004929A8"/>
    <w:rsid w:val="00494112"/>
    <w:rsid w:val="00495ED5"/>
    <w:rsid w:val="004A097B"/>
    <w:rsid w:val="004A296E"/>
    <w:rsid w:val="004A399E"/>
    <w:rsid w:val="004A448A"/>
    <w:rsid w:val="004A6B36"/>
    <w:rsid w:val="004A7F44"/>
    <w:rsid w:val="004B0094"/>
    <w:rsid w:val="004B01B5"/>
    <w:rsid w:val="004B0B4F"/>
    <w:rsid w:val="004B200A"/>
    <w:rsid w:val="004B3A0B"/>
    <w:rsid w:val="004B4007"/>
    <w:rsid w:val="004B465B"/>
    <w:rsid w:val="004B7111"/>
    <w:rsid w:val="004C1B4D"/>
    <w:rsid w:val="004C2710"/>
    <w:rsid w:val="004C3556"/>
    <w:rsid w:val="004C5746"/>
    <w:rsid w:val="004C5AB5"/>
    <w:rsid w:val="004C6545"/>
    <w:rsid w:val="004C659D"/>
    <w:rsid w:val="004C6C55"/>
    <w:rsid w:val="004C7FA4"/>
    <w:rsid w:val="004D0815"/>
    <w:rsid w:val="004D1A35"/>
    <w:rsid w:val="004D1DC6"/>
    <w:rsid w:val="004D20BC"/>
    <w:rsid w:val="004D2247"/>
    <w:rsid w:val="004D3C23"/>
    <w:rsid w:val="004D42A0"/>
    <w:rsid w:val="004D43D5"/>
    <w:rsid w:val="004D4D40"/>
    <w:rsid w:val="004D5245"/>
    <w:rsid w:val="004D7834"/>
    <w:rsid w:val="004E0CD3"/>
    <w:rsid w:val="004E3DC3"/>
    <w:rsid w:val="004E3E6F"/>
    <w:rsid w:val="004E400C"/>
    <w:rsid w:val="004E47F8"/>
    <w:rsid w:val="004E4DDE"/>
    <w:rsid w:val="004F1549"/>
    <w:rsid w:val="004F6F3B"/>
    <w:rsid w:val="004F75DD"/>
    <w:rsid w:val="005003AC"/>
    <w:rsid w:val="005012DC"/>
    <w:rsid w:val="00501549"/>
    <w:rsid w:val="00501EE0"/>
    <w:rsid w:val="00503551"/>
    <w:rsid w:val="00504F0F"/>
    <w:rsid w:val="00506E31"/>
    <w:rsid w:val="0050751E"/>
    <w:rsid w:val="005076BD"/>
    <w:rsid w:val="00507C88"/>
    <w:rsid w:val="005127F1"/>
    <w:rsid w:val="00513E19"/>
    <w:rsid w:val="005157B6"/>
    <w:rsid w:val="005207DF"/>
    <w:rsid w:val="00520BCB"/>
    <w:rsid w:val="005210E1"/>
    <w:rsid w:val="00522F4F"/>
    <w:rsid w:val="00526C8A"/>
    <w:rsid w:val="0052716B"/>
    <w:rsid w:val="0053010D"/>
    <w:rsid w:val="00530AB1"/>
    <w:rsid w:val="00530C06"/>
    <w:rsid w:val="00534783"/>
    <w:rsid w:val="00535335"/>
    <w:rsid w:val="00535724"/>
    <w:rsid w:val="005357DC"/>
    <w:rsid w:val="00536114"/>
    <w:rsid w:val="005367B0"/>
    <w:rsid w:val="00536F46"/>
    <w:rsid w:val="0053775F"/>
    <w:rsid w:val="005412BB"/>
    <w:rsid w:val="00542923"/>
    <w:rsid w:val="00542C2B"/>
    <w:rsid w:val="005433B8"/>
    <w:rsid w:val="005451B2"/>
    <w:rsid w:val="00545442"/>
    <w:rsid w:val="00550051"/>
    <w:rsid w:val="0055012B"/>
    <w:rsid w:val="00551078"/>
    <w:rsid w:val="00551EDF"/>
    <w:rsid w:val="005527C6"/>
    <w:rsid w:val="00553F3F"/>
    <w:rsid w:val="00554CE6"/>
    <w:rsid w:val="00556798"/>
    <w:rsid w:val="005574F6"/>
    <w:rsid w:val="00561675"/>
    <w:rsid w:val="005618CC"/>
    <w:rsid w:val="00562183"/>
    <w:rsid w:val="005624B8"/>
    <w:rsid w:val="005625DE"/>
    <w:rsid w:val="005646D2"/>
    <w:rsid w:val="00564990"/>
    <w:rsid w:val="005667BC"/>
    <w:rsid w:val="0056697E"/>
    <w:rsid w:val="005677DE"/>
    <w:rsid w:val="00570484"/>
    <w:rsid w:val="00570BBB"/>
    <w:rsid w:val="005723F6"/>
    <w:rsid w:val="00573221"/>
    <w:rsid w:val="0057490B"/>
    <w:rsid w:val="00574BE5"/>
    <w:rsid w:val="00574F30"/>
    <w:rsid w:val="00575252"/>
    <w:rsid w:val="005763E2"/>
    <w:rsid w:val="0058064C"/>
    <w:rsid w:val="005823B7"/>
    <w:rsid w:val="005829CA"/>
    <w:rsid w:val="00583283"/>
    <w:rsid w:val="00583355"/>
    <w:rsid w:val="00583469"/>
    <w:rsid w:val="00586444"/>
    <w:rsid w:val="00586657"/>
    <w:rsid w:val="0058670E"/>
    <w:rsid w:val="00586F1C"/>
    <w:rsid w:val="00586F5D"/>
    <w:rsid w:val="00587203"/>
    <w:rsid w:val="00587337"/>
    <w:rsid w:val="00587857"/>
    <w:rsid w:val="005900B4"/>
    <w:rsid w:val="00590720"/>
    <w:rsid w:val="0059089E"/>
    <w:rsid w:val="00590AE8"/>
    <w:rsid w:val="00591521"/>
    <w:rsid w:val="0059450A"/>
    <w:rsid w:val="005957D5"/>
    <w:rsid w:val="00596AB0"/>
    <w:rsid w:val="005A082F"/>
    <w:rsid w:val="005A0C01"/>
    <w:rsid w:val="005A14BE"/>
    <w:rsid w:val="005A1C16"/>
    <w:rsid w:val="005A3B9D"/>
    <w:rsid w:val="005A40F6"/>
    <w:rsid w:val="005A4A81"/>
    <w:rsid w:val="005A4B8E"/>
    <w:rsid w:val="005A54BB"/>
    <w:rsid w:val="005A7210"/>
    <w:rsid w:val="005A725A"/>
    <w:rsid w:val="005A7777"/>
    <w:rsid w:val="005B1775"/>
    <w:rsid w:val="005B1C63"/>
    <w:rsid w:val="005B263F"/>
    <w:rsid w:val="005B3E3B"/>
    <w:rsid w:val="005B487D"/>
    <w:rsid w:val="005B6E9C"/>
    <w:rsid w:val="005B6F41"/>
    <w:rsid w:val="005C0087"/>
    <w:rsid w:val="005C1BF5"/>
    <w:rsid w:val="005C230C"/>
    <w:rsid w:val="005C29BD"/>
    <w:rsid w:val="005C34CA"/>
    <w:rsid w:val="005C3849"/>
    <w:rsid w:val="005C7572"/>
    <w:rsid w:val="005C7ACE"/>
    <w:rsid w:val="005C7C84"/>
    <w:rsid w:val="005D02DA"/>
    <w:rsid w:val="005D116B"/>
    <w:rsid w:val="005D26D7"/>
    <w:rsid w:val="005D3B72"/>
    <w:rsid w:val="005D77F6"/>
    <w:rsid w:val="005E02FA"/>
    <w:rsid w:val="005E2670"/>
    <w:rsid w:val="005E3E8A"/>
    <w:rsid w:val="005E3F16"/>
    <w:rsid w:val="005E6C90"/>
    <w:rsid w:val="005F0D7E"/>
    <w:rsid w:val="005F1FC7"/>
    <w:rsid w:val="00602551"/>
    <w:rsid w:val="006042B1"/>
    <w:rsid w:val="00605D65"/>
    <w:rsid w:val="006071FE"/>
    <w:rsid w:val="0060726A"/>
    <w:rsid w:val="00607392"/>
    <w:rsid w:val="006073BF"/>
    <w:rsid w:val="00610A54"/>
    <w:rsid w:val="006116EC"/>
    <w:rsid w:val="00611C93"/>
    <w:rsid w:val="00612ABA"/>
    <w:rsid w:val="00620AE6"/>
    <w:rsid w:val="00621CB6"/>
    <w:rsid w:val="00621CF4"/>
    <w:rsid w:val="00625146"/>
    <w:rsid w:val="006262CA"/>
    <w:rsid w:val="00627213"/>
    <w:rsid w:val="006357A1"/>
    <w:rsid w:val="0063653E"/>
    <w:rsid w:val="00641603"/>
    <w:rsid w:val="00642752"/>
    <w:rsid w:val="00642908"/>
    <w:rsid w:val="006440D2"/>
    <w:rsid w:val="006475DD"/>
    <w:rsid w:val="00650B3E"/>
    <w:rsid w:val="00653057"/>
    <w:rsid w:val="00653556"/>
    <w:rsid w:val="00653595"/>
    <w:rsid w:val="0065370D"/>
    <w:rsid w:val="00653CED"/>
    <w:rsid w:val="006544A6"/>
    <w:rsid w:val="00655F3A"/>
    <w:rsid w:val="006562AE"/>
    <w:rsid w:val="006601DA"/>
    <w:rsid w:val="00660BAA"/>
    <w:rsid w:val="00661401"/>
    <w:rsid w:val="00661CA4"/>
    <w:rsid w:val="006621AD"/>
    <w:rsid w:val="00662978"/>
    <w:rsid w:val="0066297B"/>
    <w:rsid w:val="00662BCE"/>
    <w:rsid w:val="00662C64"/>
    <w:rsid w:val="006633C2"/>
    <w:rsid w:val="006658AB"/>
    <w:rsid w:val="00667366"/>
    <w:rsid w:val="00667469"/>
    <w:rsid w:val="00670E7D"/>
    <w:rsid w:val="0067422C"/>
    <w:rsid w:val="006748D3"/>
    <w:rsid w:val="00674BE3"/>
    <w:rsid w:val="006768A0"/>
    <w:rsid w:val="00677068"/>
    <w:rsid w:val="006800F4"/>
    <w:rsid w:val="006812F3"/>
    <w:rsid w:val="006834B7"/>
    <w:rsid w:val="00685108"/>
    <w:rsid w:val="0068539E"/>
    <w:rsid w:val="00685C96"/>
    <w:rsid w:val="00686391"/>
    <w:rsid w:val="00686954"/>
    <w:rsid w:val="00687552"/>
    <w:rsid w:val="00691F9A"/>
    <w:rsid w:val="006921F8"/>
    <w:rsid w:val="00692230"/>
    <w:rsid w:val="0069249A"/>
    <w:rsid w:val="00693E11"/>
    <w:rsid w:val="00694857"/>
    <w:rsid w:val="00695DC1"/>
    <w:rsid w:val="00696379"/>
    <w:rsid w:val="006975AE"/>
    <w:rsid w:val="00697727"/>
    <w:rsid w:val="00697BAC"/>
    <w:rsid w:val="006A0273"/>
    <w:rsid w:val="006A142E"/>
    <w:rsid w:val="006A1DD4"/>
    <w:rsid w:val="006A7153"/>
    <w:rsid w:val="006A71E3"/>
    <w:rsid w:val="006B0803"/>
    <w:rsid w:val="006B3206"/>
    <w:rsid w:val="006B34CA"/>
    <w:rsid w:val="006B5AC2"/>
    <w:rsid w:val="006B5DE0"/>
    <w:rsid w:val="006C0016"/>
    <w:rsid w:val="006C0422"/>
    <w:rsid w:val="006C1351"/>
    <w:rsid w:val="006C28E5"/>
    <w:rsid w:val="006C4292"/>
    <w:rsid w:val="006C5924"/>
    <w:rsid w:val="006C6A04"/>
    <w:rsid w:val="006C7DCF"/>
    <w:rsid w:val="006D109C"/>
    <w:rsid w:val="006D22D2"/>
    <w:rsid w:val="006D2757"/>
    <w:rsid w:val="006D2869"/>
    <w:rsid w:val="006D459E"/>
    <w:rsid w:val="006D59FE"/>
    <w:rsid w:val="006D6794"/>
    <w:rsid w:val="006D70C9"/>
    <w:rsid w:val="006D7C12"/>
    <w:rsid w:val="006D7EAC"/>
    <w:rsid w:val="006E295C"/>
    <w:rsid w:val="006E4527"/>
    <w:rsid w:val="006E4C0A"/>
    <w:rsid w:val="006E6B9A"/>
    <w:rsid w:val="006F14DE"/>
    <w:rsid w:val="006F1BBD"/>
    <w:rsid w:val="006F249A"/>
    <w:rsid w:val="006F2D86"/>
    <w:rsid w:val="006F2F5C"/>
    <w:rsid w:val="006F3316"/>
    <w:rsid w:val="006F3833"/>
    <w:rsid w:val="006F5977"/>
    <w:rsid w:val="006F6E8C"/>
    <w:rsid w:val="006F796E"/>
    <w:rsid w:val="0070250E"/>
    <w:rsid w:val="00704A7A"/>
    <w:rsid w:val="00706D88"/>
    <w:rsid w:val="00707E1B"/>
    <w:rsid w:val="00710C75"/>
    <w:rsid w:val="0071163D"/>
    <w:rsid w:val="00711BFC"/>
    <w:rsid w:val="007136FE"/>
    <w:rsid w:val="007147F8"/>
    <w:rsid w:val="00714CE7"/>
    <w:rsid w:val="00715EFA"/>
    <w:rsid w:val="00716BB0"/>
    <w:rsid w:val="00716D73"/>
    <w:rsid w:val="00721040"/>
    <w:rsid w:val="00724387"/>
    <w:rsid w:val="00724768"/>
    <w:rsid w:val="00725718"/>
    <w:rsid w:val="0072782D"/>
    <w:rsid w:val="00730C96"/>
    <w:rsid w:val="00733193"/>
    <w:rsid w:val="00733D50"/>
    <w:rsid w:val="0073402C"/>
    <w:rsid w:val="0073413F"/>
    <w:rsid w:val="0073437A"/>
    <w:rsid w:val="007349C1"/>
    <w:rsid w:val="00735014"/>
    <w:rsid w:val="0073508E"/>
    <w:rsid w:val="00736964"/>
    <w:rsid w:val="00736DFE"/>
    <w:rsid w:val="00737B2A"/>
    <w:rsid w:val="007407B8"/>
    <w:rsid w:val="00743CE2"/>
    <w:rsid w:val="0074588C"/>
    <w:rsid w:val="00746248"/>
    <w:rsid w:val="00750EBB"/>
    <w:rsid w:val="00750F1B"/>
    <w:rsid w:val="00751B73"/>
    <w:rsid w:val="007533E0"/>
    <w:rsid w:val="00753AC0"/>
    <w:rsid w:val="00754A39"/>
    <w:rsid w:val="0075574D"/>
    <w:rsid w:val="00755B70"/>
    <w:rsid w:val="007577F7"/>
    <w:rsid w:val="00757BAC"/>
    <w:rsid w:val="00760BEA"/>
    <w:rsid w:val="00761C7C"/>
    <w:rsid w:val="00761D78"/>
    <w:rsid w:val="00762236"/>
    <w:rsid w:val="007623FE"/>
    <w:rsid w:val="00762DDF"/>
    <w:rsid w:val="00764147"/>
    <w:rsid w:val="00765A35"/>
    <w:rsid w:val="00765C9E"/>
    <w:rsid w:val="00766EE6"/>
    <w:rsid w:val="0076798C"/>
    <w:rsid w:val="007705C5"/>
    <w:rsid w:val="00772B01"/>
    <w:rsid w:val="007736A9"/>
    <w:rsid w:val="00773935"/>
    <w:rsid w:val="00774559"/>
    <w:rsid w:val="0077626D"/>
    <w:rsid w:val="0077710D"/>
    <w:rsid w:val="00777583"/>
    <w:rsid w:val="00781EB1"/>
    <w:rsid w:val="00781F5E"/>
    <w:rsid w:val="00782441"/>
    <w:rsid w:val="007825DF"/>
    <w:rsid w:val="007838A3"/>
    <w:rsid w:val="00785984"/>
    <w:rsid w:val="007859F2"/>
    <w:rsid w:val="007862AA"/>
    <w:rsid w:val="00786700"/>
    <w:rsid w:val="007868B0"/>
    <w:rsid w:val="0078724B"/>
    <w:rsid w:val="007913A4"/>
    <w:rsid w:val="007931E8"/>
    <w:rsid w:val="007934AC"/>
    <w:rsid w:val="007950C4"/>
    <w:rsid w:val="00795D67"/>
    <w:rsid w:val="007A1644"/>
    <w:rsid w:val="007A22DD"/>
    <w:rsid w:val="007A2DA1"/>
    <w:rsid w:val="007A41D5"/>
    <w:rsid w:val="007A4E8D"/>
    <w:rsid w:val="007A5727"/>
    <w:rsid w:val="007B0EE4"/>
    <w:rsid w:val="007B1C99"/>
    <w:rsid w:val="007B2797"/>
    <w:rsid w:val="007B404C"/>
    <w:rsid w:val="007B4889"/>
    <w:rsid w:val="007B4930"/>
    <w:rsid w:val="007B5981"/>
    <w:rsid w:val="007B6ED5"/>
    <w:rsid w:val="007C0F28"/>
    <w:rsid w:val="007C1B67"/>
    <w:rsid w:val="007C45B2"/>
    <w:rsid w:val="007D29AE"/>
    <w:rsid w:val="007D363F"/>
    <w:rsid w:val="007D6BF4"/>
    <w:rsid w:val="007D79DD"/>
    <w:rsid w:val="007D7C02"/>
    <w:rsid w:val="007E235A"/>
    <w:rsid w:val="007E58B3"/>
    <w:rsid w:val="007E5D0D"/>
    <w:rsid w:val="007F038A"/>
    <w:rsid w:val="007F105C"/>
    <w:rsid w:val="007F19AB"/>
    <w:rsid w:val="007F1F71"/>
    <w:rsid w:val="007F27C2"/>
    <w:rsid w:val="007F2E04"/>
    <w:rsid w:val="007F302E"/>
    <w:rsid w:val="007F324E"/>
    <w:rsid w:val="007F452C"/>
    <w:rsid w:val="007F5CD7"/>
    <w:rsid w:val="007F5EDA"/>
    <w:rsid w:val="007F6740"/>
    <w:rsid w:val="007F7596"/>
    <w:rsid w:val="007F7B09"/>
    <w:rsid w:val="007F7DD5"/>
    <w:rsid w:val="007F7FAE"/>
    <w:rsid w:val="00800F38"/>
    <w:rsid w:val="008011B7"/>
    <w:rsid w:val="00801906"/>
    <w:rsid w:val="0080327E"/>
    <w:rsid w:val="00804295"/>
    <w:rsid w:val="00804FB2"/>
    <w:rsid w:val="008051E1"/>
    <w:rsid w:val="00805EC8"/>
    <w:rsid w:val="008064A6"/>
    <w:rsid w:val="0080677C"/>
    <w:rsid w:val="00807D6F"/>
    <w:rsid w:val="008105F5"/>
    <w:rsid w:val="00811146"/>
    <w:rsid w:val="00812F4D"/>
    <w:rsid w:val="008130A3"/>
    <w:rsid w:val="0081398C"/>
    <w:rsid w:val="00815E0B"/>
    <w:rsid w:val="008201BF"/>
    <w:rsid w:val="00822414"/>
    <w:rsid w:val="00825D0A"/>
    <w:rsid w:val="00825DFF"/>
    <w:rsid w:val="00826615"/>
    <w:rsid w:val="00831061"/>
    <w:rsid w:val="0083136F"/>
    <w:rsid w:val="008318EF"/>
    <w:rsid w:val="00832BED"/>
    <w:rsid w:val="00834974"/>
    <w:rsid w:val="0083609A"/>
    <w:rsid w:val="0083702B"/>
    <w:rsid w:val="00841408"/>
    <w:rsid w:val="0084244C"/>
    <w:rsid w:val="00842AD4"/>
    <w:rsid w:val="00842E3B"/>
    <w:rsid w:val="00844C0B"/>
    <w:rsid w:val="00851A78"/>
    <w:rsid w:val="00852DFD"/>
    <w:rsid w:val="0085406F"/>
    <w:rsid w:val="0085438B"/>
    <w:rsid w:val="00857AB5"/>
    <w:rsid w:val="00860411"/>
    <w:rsid w:val="00860D89"/>
    <w:rsid w:val="00862681"/>
    <w:rsid w:val="00863E92"/>
    <w:rsid w:val="00864763"/>
    <w:rsid w:val="00866AC4"/>
    <w:rsid w:val="00866C6D"/>
    <w:rsid w:val="00866E4C"/>
    <w:rsid w:val="00866F18"/>
    <w:rsid w:val="00867C71"/>
    <w:rsid w:val="008703E2"/>
    <w:rsid w:val="008706D6"/>
    <w:rsid w:val="008720DB"/>
    <w:rsid w:val="00872270"/>
    <w:rsid w:val="00874DBB"/>
    <w:rsid w:val="00880089"/>
    <w:rsid w:val="00881490"/>
    <w:rsid w:val="008814BB"/>
    <w:rsid w:val="00881BE8"/>
    <w:rsid w:val="00881F14"/>
    <w:rsid w:val="00882289"/>
    <w:rsid w:val="008839B7"/>
    <w:rsid w:val="008843E3"/>
    <w:rsid w:val="008848E4"/>
    <w:rsid w:val="00884F00"/>
    <w:rsid w:val="0088656A"/>
    <w:rsid w:val="008867FF"/>
    <w:rsid w:val="00887378"/>
    <w:rsid w:val="00890D12"/>
    <w:rsid w:val="00894AFD"/>
    <w:rsid w:val="00896C93"/>
    <w:rsid w:val="00897090"/>
    <w:rsid w:val="008A120C"/>
    <w:rsid w:val="008A1CF8"/>
    <w:rsid w:val="008A2FFC"/>
    <w:rsid w:val="008A320E"/>
    <w:rsid w:val="008A5B20"/>
    <w:rsid w:val="008A62C8"/>
    <w:rsid w:val="008A63A8"/>
    <w:rsid w:val="008A67DB"/>
    <w:rsid w:val="008A7038"/>
    <w:rsid w:val="008A7D3F"/>
    <w:rsid w:val="008B1695"/>
    <w:rsid w:val="008B198C"/>
    <w:rsid w:val="008B3098"/>
    <w:rsid w:val="008B4202"/>
    <w:rsid w:val="008B43FD"/>
    <w:rsid w:val="008C1D97"/>
    <w:rsid w:val="008C22D1"/>
    <w:rsid w:val="008C7329"/>
    <w:rsid w:val="008D059A"/>
    <w:rsid w:val="008D2850"/>
    <w:rsid w:val="008D5177"/>
    <w:rsid w:val="008D5471"/>
    <w:rsid w:val="008D560E"/>
    <w:rsid w:val="008D575D"/>
    <w:rsid w:val="008D5B52"/>
    <w:rsid w:val="008D5C89"/>
    <w:rsid w:val="008D75D9"/>
    <w:rsid w:val="008D7CB1"/>
    <w:rsid w:val="008E129C"/>
    <w:rsid w:val="008E42F0"/>
    <w:rsid w:val="008E619E"/>
    <w:rsid w:val="008E6AE2"/>
    <w:rsid w:val="008F10AF"/>
    <w:rsid w:val="008F1980"/>
    <w:rsid w:val="008F2807"/>
    <w:rsid w:val="008F3CCD"/>
    <w:rsid w:val="008F3D89"/>
    <w:rsid w:val="008F46C2"/>
    <w:rsid w:val="008F4D13"/>
    <w:rsid w:val="008F5728"/>
    <w:rsid w:val="008F6E75"/>
    <w:rsid w:val="008F783C"/>
    <w:rsid w:val="008F7DDC"/>
    <w:rsid w:val="00903CE3"/>
    <w:rsid w:val="009041BA"/>
    <w:rsid w:val="009041C9"/>
    <w:rsid w:val="00905A62"/>
    <w:rsid w:val="00906BB0"/>
    <w:rsid w:val="0091147C"/>
    <w:rsid w:val="00911A2D"/>
    <w:rsid w:val="00911D2D"/>
    <w:rsid w:val="00912026"/>
    <w:rsid w:val="0091211F"/>
    <w:rsid w:val="00913A66"/>
    <w:rsid w:val="009140A6"/>
    <w:rsid w:val="00914687"/>
    <w:rsid w:val="0091567F"/>
    <w:rsid w:val="00915A1B"/>
    <w:rsid w:val="00916761"/>
    <w:rsid w:val="00917420"/>
    <w:rsid w:val="00917956"/>
    <w:rsid w:val="00920767"/>
    <w:rsid w:val="00923BB9"/>
    <w:rsid w:val="00924380"/>
    <w:rsid w:val="00930D61"/>
    <w:rsid w:val="0093132A"/>
    <w:rsid w:val="009332F0"/>
    <w:rsid w:val="00933480"/>
    <w:rsid w:val="009341E1"/>
    <w:rsid w:val="009355E3"/>
    <w:rsid w:val="00936492"/>
    <w:rsid w:val="009366A2"/>
    <w:rsid w:val="009431EF"/>
    <w:rsid w:val="00943A0B"/>
    <w:rsid w:val="0094498E"/>
    <w:rsid w:val="00944FA1"/>
    <w:rsid w:val="0094680B"/>
    <w:rsid w:val="00947D07"/>
    <w:rsid w:val="00947D1A"/>
    <w:rsid w:val="009519EB"/>
    <w:rsid w:val="00954AF5"/>
    <w:rsid w:val="00955333"/>
    <w:rsid w:val="0095692D"/>
    <w:rsid w:val="00960969"/>
    <w:rsid w:val="00963B79"/>
    <w:rsid w:val="0096411E"/>
    <w:rsid w:val="009647A2"/>
    <w:rsid w:val="00965951"/>
    <w:rsid w:val="009659B0"/>
    <w:rsid w:val="009679E5"/>
    <w:rsid w:val="009706B9"/>
    <w:rsid w:val="009711B3"/>
    <w:rsid w:val="00971BB7"/>
    <w:rsid w:val="009726F9"/>
    <w:rsid w:val="0097786B"/>
    <w:rsid w:val="00980213"/>
    <w:rsid w:val="009820F0"/>
    <w:rsid w:val="00982B91"/>
    <w:rsid w:val="0098363F"/>
    <w:rsid w:val="00984D45"/>
    <w:rsid w:val="0098745C"/>
    <w:rsid w:val="00987C32"/>
    <w:rsid w:val="0099047F"/>
    <w:rsid w:val="00991F7F"/>
    <w:rsid w:val="009926EF"/>
    <w:rsid w:val="00992F76"/>
    <w:rsid w:val="00993129"/>
    <w:rsid w:val="009943FE"/>
    <w:rsid w:val="00994F25"/>
    <w:rsid w:val="00995AF3"/>
    <w:rsid w:val="0099608A"/>
    <w:rsid w:val="00996DDD"/>
    <w:rsid w:val="009A070E"/>
    <w:rsid w:val="009A07C8"/>
    <w:rsid w:val="009A0F1C"/>
    <w:rsid w:val="009A1571"/>
    <w:rsid w:val="009A2E86"/>
    <w:rsid w:val="009A3301"/>
    <w:rsid w:val="009A42AD"/>
    <w:rsid w:val="009A5F83"/>
    <w:rsid w:val="009A6A76"/>
    <w:rsid w:val="009B4CFB"/>
    <w:rsid w:val="009B6106"/>
    <w:rsid w:val="009B63D5"/>
    <w:rsid w:val="009B7027"/>
    <w:rsid w:val="009C3027"/>
    <w:rsid w:val="009C3828"/>
    <w:rsid w:val="009C3C07"/>
    <w:rsid w:val="009C4C9E"/>
    <w:rsid w:val="009C5D2F"/>
    <w:rsid w:val="009C7B8F"/>
    <w:rsid w:val="009D19C8"/>
    <w:rsid w:val="009D2790"/>
    <w:rsid w:val="009D28E1"/>
    <w:rsid w:val="009D30E3"/>
    <w:rsid w:val="009D5DCB"/>
    <w:rsid w:val="009E0B9E"/>
    <w:rsid w:val="009E21F4"/>
    <w:rsid w:val="009E4771"/>
    <w:rsid w:val="009E6913"/>
    <w:rsid w:val="009E6AA3"/>
    <w:rsid w:val="009E6DEC"/>
    <w:rsid w:val="009E7210"/>
    <w:rsid w:val="009F0878"/>
    <w:rsid w:val="009F17A2"/>
    <w:rsid w:val="009F22E4"/>
    <w:rsid w:val="009F2339"/>
    <w:rsid w:val="009F2CD3"/>
    <w:rsid w:val="009F54B2"/>
    <w:rsid w:val="009F5B69"/>
    <w:rsid w:val="009F6EF2"/>
    <w:rsid w:val="009F7E5C"/>
    <w:rsid w:val="009F7FDB"/>
    <w:rsid w:val="00A00140"/>
    <w:rsid w:val="00A015E1"/>
    <w:rsid w:val="00A016D4"/>
    <w:rsid w:val="00A020B5"/>
    <w:rsid w:val="00A021DD"/>
    <w:rsid w:val="00A03527"/>
    <w:rsid w:val="00A04DDE"/>
    <w:rsid w:val="00A05556"/>
    <w:rsid w:val="00A07AD3"/>
    <w:rsid w:val="00A1238A"/>
    <w:rsid w:val="00A12CD7"/>
    <w:rsid w:val="00A14B57"/>
    <w:rsid w:val="00A15D0B"/>
    <w:rsid w:val="00A20105"/>
    <w:rsid w:val="00A203EE"/>
    <w:rsid w:val="00A22690"/>
    <w:rsid w:val="00A2483E"/>
    <w:rsid w:val="00A2640E"/>
    <w:rsid w:val="00A2649A"/>
    <w:rsid w:val="00A26E38"/>
    <w:rsid w:val="00A27076"/>
    <w:rsid w:val="00A307AE"/>
    <w:rsid w:val="00A34E69"/>
    <w:rsid w:val="00A35037"/>
    <w:rsid w:val="00A366C0"/>
    <w:rsid w:val="00A37387"/>
    <w:rsid w:val="00A4066F"/>
    <w:rsid w:val="00A41DFB"/>
    <w:rsid w:val="00A433FD"/>
    <w:rsid w:val="00A443BB"/>
    <w:rsid w:val="00A47C5C"/>
    <w:rsid w:val="00A47F53"/>
    <w:rsid w:val="00A47FD7"/>
    <w:rsid w:val="00A50B7D"/>
    <w:rsid w:val="00A51CEC"/>
    <w:rsid w:val="00A52012"/>
    <w:rsid w:val="00A520E7"/>
    <w:rsid w:val="00A5213C"/>
    <w:rsid w:val="00A523FF"/>
    <w:rsid w:val="00A555DD"/>
    <w:rsid w:val="00A55C53"/>
    <w:rsid w:val="00A5607B"/>
    <w:rsid w:val="00A56E62"/>
    <w:rsid w:val="00A61731"/>
    <w:rsid w:val="00A61E30"/>
    <w:rsid w:val="00A629D5"/>
    <w:rsid w:val="00A6772F"/>
    <w:rsid w:val="00A70A27"/>
    <w:rsid w:val="00A7103E"/>
    <w:rsid w:val="00A7113E"/>
    <w:rsid w:val="00A714B4"/>
    <w:rsid w:val="00A72DF1"/>
    <w:rsid w:val="00A743B0"/>
    <w:rsid w:val="00A759B9"/>
    <w:rsid w:val="00A75E49"/>
    <w:rsid w:val="00A75FDE"/>
    <w:rsid w:val="00A76720"/>
    <w:rsid w:val="00A7759F"/>
    <w:rsid w:val="00A82C5D"/>
    <w:rsid w:val="00A83176"/>
    <w:rsid w:val="00A84D11"/>
    <w:rsid w:val="00A855DA"/>
    <w:rsid w:val="00A908B3"/>
    <w:rsid w:val="00A9189D"/>
    <w:rsid w:val="00A930F3"/>
    <w:rsid w:val="00A974ED"/>
    <w:rsid w:val="00A97A2E"/>
    <w:rsid w:val="00A97E70"/>
    <w:rsid w:val="00AA1D80"/>
    <w:rsid w:val="00AA3298"/>
    <w:rsid w:val="00AA4384"/>
    <w:rsid w:val="00AA505A"/>
    <w:rsid w:val="00AA6084"/>
    <w:rsid w:val="00AA78BC"/>
    <w:rsid w:val="00AB1BCC"/>
    <w:rsid w:val="00AB1E99"/>
    <w:rsid w:val="00AB3021"/>
    <w:rsid w:val="00AB42AC"/>
    <w:rsid w:val="00AB6C39"/>
    <w:rsid w:val="00AC32BD"/>
    <w:rsid w:val="00AC6795"/>
    <w:rsid w:val="00AC6D6C"/>
    <w:rsid w:val="00AC77F2"/>
    <w:rsid w:val="00AD0F0F"/>
    <w:rsid w:val="00AD2973"/>
    <w:rsid w:val="00AD347E"/>
    <w:rsid w:val="00AD361C"/>
    <w:rsid w:val="00AD4456"/>
    <w:rsid w:val="00AD4A53"/>
    <w:rsid w:val="00AD5574"/>
    <w:rsid w:val="00AD56E7"/>
    <w:rsid w:val="00AE1FB3"/>
    <w:rsid w:val="00AE3FD0"/>
    <w:rsid w:val="00AE4C69"/>
    <w:rsid w:val="00AE5DF6"/>
    <w:rsid w:val="00AE6A37"/>
    <w:rsid w:val="00AE7DEF"/>
    <w:rsid w:val="00AF1B49"/>
    <w:rsid w:val="00AF3010"/>
    <w:rsid w:val="00AF4D07"/>
    <w:rsid w:val="00AF653D"/>
    <w:rsid w:val="00AF66EF"/>
    <w:rsid w:val="00B02D60"/>
    <w:rsid w:val="00B02EE1"/>
    <w:rsid w:val="00B04667"/>
    <w:rsid w:val="00B05990"/>
    <w:rsid w:val="00B05F64"/>
    <w:rsid w:val="00B0611E"/>
    <w:rsid w:val="00B06202"/>
    <w:rsid w:val="00B06237"/>
    <w:rsid w:val="00B0674A"/>
    <w:rsid w:val="00B0681D"/>
    <w:rsid w:val="00B10036"/>
    <w:rsid w:val="00B10750"/>
    <w:rsid w:val="00B10B0C"/>
    <w:rsid w:val="00B117FC"/>
    <w:rsid w:val="00B126DA"/>
    <w:rsid w:val="00B13720"/>
    <w:rsid w:val="00B13B64"/>
    <w:rsid w:val="00B15088"/>
    <w:rsid w:val="00B15CE0"/>
    <w:rsid w:val="00B16134"/>
    <w:rsid w:val="00B16885"/>
    <w:rsid w:val="00B2025D"/>
    <w:rsid w:val="00B20AAE"/>
    <w:rsid w:val="00B211A7"/>
    <w:rsid w:val="00B21CC8"/>
    <w:rsid w:val="00B23148"/>
    <w:rsid w:val="00B236A1"/>
    <w:rsid w:val="00B242A0"/>
    <w:rsid w:val="00B24467"/>
    <w:rsid w:val="00B25E86"/>
    <w:rsid w:val="00B3082B"/>
    <w:rsid w:val="00B3106E"/>
    <w:rsid w:val="00B33B08"/>
    <w:rsid w:val="00B34ADC"/>
    <w:rsid w:val="00B357E9"/>
    <w:rsid w:val="00B35B08"/>
    <w:rsid w:val="00B369FE"/>
    <w:rsid w:val="00B40743"/>
    <w:rsid w:val="00B40A8D"/>
    <w:rsid w:val="00B40D6F"/>
    <w:rsid w:val="00B43A30"/>
    <w:rsid w:val="00B44267"/>
    <w:rsid w:val="00B44C7A"/>
    <w:rsid w:val="00B45279"/>
    <w:rsid w:val="00B45F1D"/>
    <w:rsid w:val="00B512E8"/>
    <w:rsid w:val="00B532F2"/>
    <w:rsid w:val="00B53950"/>
    <w:rsid w:val="00B53B9F"/>
    <w:rsid w:val="00B56085"/>
    <w:rsid w:val="00B56529"/>
    <w:rsid w:val="00B570B8"/>
    <w:rsid w:val="00B6305E"/>
    <w:rsid w:val="00B63E5C"/>
    <w:rsid w:val="00B6557E"/>
    <w:rsid w:val="00B702A3"/>
    <w:rsid w:val="00B72C5F"/>
    <w:rsid w:val="00B744E4"/>
    <w:rsid w:val="00B76CE0"/>
    <w:rsid w:val="00B77CC8"/>
    <w:rsid w:val="00B8059F"/>
    <w:rsid w:val="00B8166B"/>
    <w:rsid w:val="00B8278C"/>
    <w:rsid w:val="00B83003"/>
    <w:rsid w:val="00B83748"/>
    <w:rsid w:val="00B872E5"/>
    <w:rsid w:val="00B87835"/>
    <w:rsid w:val="00B9076C"/>
    <w:rsid w:val="00B90B15"/>
    <w:rsid w:val="00B93E80"/>
    <w:rsid w:val="00B94174"/>
    <w:rsid w:val="00B946C2"/>
    <w:rsid w:val="00BA0DB8"/>
    <w:rsid w:val="00BA13BE"/>
    <w:rsid w:val="00BA49A4"/>
    <w:rsid w:val="00BB1CB2"/>
    <w:rsid w:val="00BB41D4"/>
    <w:rsid w:val="00BB4FAF"/>
    <w:rsid w:val="00BB5EEB"/>
    <w:rsid w:val="00BC0558"/>
    <w:rsid w:val="00BC063D"/>
    <w:rsid w:val="00BC0DCF"/>
    <w:rsid w:val="00BC115F"/>
    <w:rsid w:val="00BC2F47"/>
    <w:rsid w:val="00BC373F"/>
    <w:rsid w:val="00BC3A95"/>
    <w:rsid w:val="00BC5F0B"/>
    <w:rsid w:val="00BC6C48"/>
    <w:rsid w:val="00BC6CC2"/>
    <w:rsid w:val="00BC73CD"/>
    <w:rsid w:val="00BC7C33"/>
    <w:rsid w:val="00BD02A2"/>
    <w:rsid w:val="00BD0AB8"/>
    <w:rsid w:val="00BD3E05"/>
    <w:rsid w:val="00BD50E7"/>
    <w:rsid w:val="00BD6E77"/>
    <w:rsid w:val="00BE1581"/>
    <w:rsid w:val="00BE1B43"/>
    <w:rsid w:val="00BE1D6E"/>
    <w:rsid w:val="00BE300D"/>
    <w:rsid w:val="00BE3DF2"/>
    <w:rsid w:val="00BE422F"/>
    <w:rsid w:val="00BF2D31"/>
    <w:rsid w:val="00BF4A5F"/>
    <w:rsid w:val="00C00134"/>
    <w:rsid w:val="00C01AC6"/>
    <w:rsid w:val="00C0355C"/>
    <w:rsid w:val="00C04A47"/>
    <w:rsid w:val="00C04FF1"/>
    <w:rsid w:val="00C05412"/>
    <w:rsid w:val="00C062C3"/>
    <w:rsid w:val="00C06F7F"/>
    <w:rsid w:val="00C10F75"/>
    <w:rsid w:val="00C11A22"/>
    <w:rsid w:val="00C12468"/>
    <w:rsid w:val="00C12641"/>
    <w:rsid w:val="00C131B6"/>
    <w:rsid w:val="00C13464"/>
    <w:rsid w:val="00C13D36"/>
    <w:rsid w:val="00C1490B"/>
    <w:rsid w:val="00C16B8C"/>
    <w:rsid w:val="00C201FE"/>
    <w:rsid w:val="00C20643"/>
    <w:rsid w:val="00C20F57"/>
    <w:rsid w:val="00C2117B"/>
    <w:rsid w:val="00C2160E"/>
    <w:rsid w:val="00C21C3C"/>
    <w:rsid w:val="00C24D75"/>
    <w:rsid w:val="00C258F4"/>
    <w:rsid w:val="00C26080"/>
    <w:rsid w:val="00C26339"/>
    <w:rsid w:val="00C273F6"/>
    <w:rsid w:val="00C27C66"/>
    <w:rsid w:val="00C27C9E"/>
    <w:rsid w:val="00C32A46"/>
    <w:rsid w:val="00C34192"/>
    <w:rsid w:val="00C35C42"/>
    <w:rsid w:val="00C3650B"/>
    <w:rsid w:val="00C3753F"/>
    <w:rsid w:val="00C4001F"/>
    <w:rsid w:val="00C420C3"/>
    <w:rsid w:val="00C430EA"/>
    <w:rsid w:val="00C43405"/>
    <w:rsid w:val="00C45A25"/>
    <w:rsid w:val="00C50501"/>
    <w:rsid w:val="00C51F4E"/>
    <w:rsid w:val="00C524E8"/>
    <w:rsid w:val="00C56DE2"/>
    <w:rsid w:val="00C62016"/>
    <w:rsid w:val="00C636A6"/>
    <w:rsid w:val="00C63D98"/>
    <w:rsid w:val="00C64E9F"/>
    <w:rsid w:val="00C65159"/>
    <w:rsid w:val="00C657EF"/>
    <w:rsid w:val="00C6639E"/>
    <w:rsid w:val="00C67CEB"/>
    <w:rsid w:val="00C727F8"/>
    <w:rsid w:val="00C728C9"/>
    <w:rsid w:val="00C7291D"/>
    <w:rsid w:val="00C73EB2"/>
    <w:rsid w:val="00C740C8"/>
    <w:rsid w:val="00C758A6"/>
    <w:rsid w:val="00C766CC"/>
    <w:rsid w:val="00C76E16"/>
    <w:rsid w:val="00C77627"/>
    <w:rsid w:val="00C82188"/>
    <w:rsid w:val="00C82342"/>
    <w:rsid w:val="00C828BE"/>
    <w:rsid w:val="00C83152"/>
    <w:rsid w:val="00C85075"/>
    <w:rsid w:val="00C866AC"/>
    <w:rsid w:val="00C866DC"/>
    <w:rsid w:val="00C906E2"/>
    <w:rsid w:val="00C90CF9"/>
    <w:rsid w:val="00C91AA7"/>
    <w:rsid w:val="00C921B1"/>
    <w:rsid w:val="00C92DB7"/>
    <w:rsid w:val="00C9441C"/>
    <w:rsid w:val="00C947EA"/>
    <w:rsid w:val="00C96066"/>
    <w:rsid w:val="00C9684E"/>
    <w:rsid w:val="00CA1C67"/>
    <w:rsid w:val="00CA2484"/>
    <w:rsid w:val="00CA2E10"/>
    <w:rsid w:val="00CA3CCD"/>
    <w:rsid w:val="00CA4CDE"/>
    <w:rsid w:val="00CA5AEE"/>
    <w:rsid w:val="00CA77C5"/>
    <w:rsid w:val="00CB0CA7"/>
    <w:rsid w:val="00CB195D"/>
    <w:rsid w:val="00CB1A9C"/>
    <w:rsid w:val="00CB1FAC"/>
    <w:rsid w:val="00CB2920"/>
    <w:rsid w:val="00CB2F17"/>
    <w:rsid w:val="00CB3707"/>
    <w:rsid w:val="00CB4990"/>
    <w:rsid w:val="00CB5C2A"/>
    <w:rsid w:val="00CB6ACD"/>
    <w:rsid w:val="00CC0AAD"/>
    <w:rsid w:val="00CC0FA5"/>
    <w:rsid w:val="00CC3BD8"/>
    <w:rsid w:val="00CC3DF4"/>
    <w:rsid w:val="00CC4EBF"/>
    <w:rsid w:val="00CD01C4"/>
    <w:rsid w:val="00CD1AB7"/>
    <w:rsid w:val="00CD23B8"/>
    <w:rsid w:val="00CD26DD"/>
    <w:rsid w:val="00CD2C69"/>
    <w:rsid w:val="00CD3BA0"/>
    <w:rsid w:val="00CD4E54"/>
    <w:rsid w:val="00CD5933"/>
    <w:rsid w:val="00CE284A"/>
    <w:rsid w:val="00CE2D85"/>
    <w:rsid w:val="00CE4494"/>
    <w:rsid w:val="00CE5459"/>
    <w:rsid w:val="00CE561D"/>
    <w:rsid w:val="00CE6CCF"/>
    <w:rsid w:val="00CE7030"/>
    <w:rsid w:val="00CE7228"/>
    <w:rsid w:val="00CF00CE"/>
    <w:rsid w:val="00CF0C7E"/>
    <w:rsid w:val="00CF2D8E"/>
    <w:rsid w:val="00CF30B3"/>
    <w:rsid w:val="00CF3989"/>
    <w:rsid w:val="00CF3A2D"/>
    <w:rsid w:val="00CF74BE"/>
    <w:rsid w:val="00CF7924"/>
    <w:rsid w:val="00D00049"/>
    <w:rsid w:val="00D00AB4"/>
    <w:rsid w:val="00D02105"/>
    <w:rsid w:val="00D02FC5"/>
    <w:rsid w:val="00D0331E"/>
    <w:rsid w:val="00D03A86"/>
    <w:rsid w:val="00D05BD9"/>
    <w:rsid w:val="00D06BC6"/>
    <w:rsid w:val="00D06BD0"/>
    <w:rsid w:val="00D128A6"/>
    <w:rsid w:val="00D12F20"/>
    <w:rsid w:val="00D1586C"/>
    <w:rsid w:val="00D1626B"/>
    <w:rsid w:val="00D16AE5"/>
    <w:rsid w:val="00D21266"/>
    <w:rsid w:val="00D2226E"/>
    <w:rsid w:val="00D226A2"/>
    <w:rsid w:val="00D232AD"/>
    <w:rsid w:val="00D2334F"/>
    <w:rsid w:val="00D238BD"/>
    <w:rsid w:val="00D23A74"/>
    <w:rsid w:val="00D2461A"/>
    <w:rsid w:val="00D24F1F"/>
    <w:rsid w:val="00D25882"/>
    <w:rsid w:val="00D272B6"/>
    <w:rsid w:val="00D27A3A"/>
    <w:rsid w:val="00D27F78"/>
    <w:rsid w:val="00D30073"/>
    <w:rsid w:val="00D30BEA"/>
    <w:rsid w:val="00D32A26"/>
    <w:rsid w:val="00D34686"/>
    <w:rsid w:val="00D360AB"/>
    <w:rsid w:val="00D36440"/>
    <w:rsid w:val="00D371B7"/>
    <w:rsid w:val="00D374A4"/>
    <w:rsid w:val="00D377A3"/>
    <w:rsid w:val="00D37925"/>
    <w:rsid w:val="00D402E6"/>
    <w:rsid w:val="00D40D2F"/>
    <w:rsid w:val="00D430D9"/>
    <w:rsid w:val="00D50E04"/>
    <w:rsid w:val="00D61683"/>
    <w:rsid w:val="00D61D1B"/>
    <w:rsid w:val="00D641BE"/>
    <w:rsid w:val="00D6543D"/>
    <w:rsid w:val="00D655E7"/>
    <w:rsid w:val="00D66B60"/>
    <w:rsid w:val="00D7007D"/>
    <w:rsid w:val="00D7278D"/>
    <w:rsid w:val="00D74A48"/>
    <w:rsid w:val="00D75421"/>
    <w:rsid w:val="00D75D4F"/>
    <w:rsid w:val="00D77BD2"/>
    <w:rsid w:val="00D80029"/>
    <w:rsid w:val="00D8012B"/>
    <w:rsid w:val="00D80A94"/>
    <w:rsid w:val="00D80ABA"/>
    <w:rsid w:val="00D80FE2"/>
    <w:rsid w:val="00D8133F"/>
    <w:rsid w:val="00D81E44"/>
    <w:rsid w:val="00D82D52"/>
    <w:rsid w:val="00D873E1"/>
    <w:rsid w:val="00D87E7D"/>
    <w:rsid w:val="00D9061B"/>
    <w:rsid w:val="00D916DC"/>
    <w:rsid w:val="00D91DAE"/>
    <w:rsid w:val="00D91EB6"/>
    <w:rsid w:val="00D92A29"/>
    <w:rsid w:val="00D92F62"/>
    <w:rsid w:val="00D9581E"/>
    <w:rsid w:val="00DA05AC"/>
    <w:rsid w:val="00DA358B"/>
    <w:rsid w:val="00DA513D"/>
    <w:rsid w:val="00DB1292"/>
    <w:rsid w:val="00DB1E93"/>
    <w:rsid w:val="00DB1F76"/>
    <w:rsid w:val="00DB21FC"/>
    <w:rsid w:val="00DB3124"/>
    <w:rsid w:val="00DC4DCB"/>
    <w:rsid w:val="00DD0AE0"/>
    <w:rsid w:val="00DD0D45"/>
    <w:rsid w:val="00DD2D30"/>
    <w:rsid w:val="00DD367E"/>
    <w:rsid w:val="00DD3CF5"/>
    <w:rsid w:val="00DD3E28"/>
    <w:rsid w:val="00DD4825"/>
    <w:rsid w:val="00DD68D3"/>
    <w:rsid w:val="00DE19A3"/>
    <w:rsid w:val="00DE2F75"/>
    <w:rsid w:val="00DE3040"/>
    <w:rsid w:val="00DE5993"/>
    <w:rsid w:val="00DE6E0D"/>
    <w:rsid w:val="00DE7980"/>
    <w:rsid w:val="00DF3311"/>
    <w:rsid w:val="00DF514B"/>
    <w:rsid w:val="00DF5887"/>
    <w:rsid w:val="00DF5A86"/>
    <w:rsid w:val="00E00189"/>
    <w:rsid w:val="00E010F8"/>
    <w:rsid w:val="00E0263D"/>
    <w:rsid w:val="00E036D4"/>
    <w:rsid w:val="00E03EBB"/>
    <w:rsid w:val="00E042DB"/>
    <w:rsid w:val="00E04639"/>
    <w:rsid w:val="00E062F6"/>
    <w:rsid w:val="00E1124F"/>
    <w:rsid w:val="00E1199B"/>
    <w:rsid w:val="00E13809"/>
    <w:rsid w:val="00E13D7D"/>
    <w:rsid w:val="00E142B5"/>
    <w:rsid w:val="00E1440D"/>
    <w:rsid w:val="00E14B5B"/>
    <w:rsid w:val="00E14CCC"/>
    <w:rsid w:val="00E209AD"/>
    <w:rsid w:val="00E21E00"/>
    <w:rsid w:val="00E22242"/>
    <w:rsid w:val="00E2351F"/>
    <w:rsid w:val="00E258D7"/>
    <w:rsid w:val="00E26455"/>
    <w:rsid w:val="00E27D63"/>
    <w:rsid w:val="00E30084"/>
    <w:rsid w:val="00E31C7B"/>
    <w:rsid w:val="00E34D15"/>
    <w:rsid w:val="00E35AC9"/>
    <w:rsid w:val="00E360C1"/>
    <w:rsid w:val="00E37530"/>
    <w:rsid w:val="00E378FB"/>
    <w:rsid w:val="00E37C06"/>
    <w:rsid w:val="00E43FA6"/>
    <w:rsid w:val="00E45E92"/>
    <w:rsid w:val="00E46621"/>
    <w:rsid w:val="00E46ADE"/>
    <w:rsid w:val="00E475D9"/>
    <w:rsid w:val="00E50048"/>
    <w:rsid w:val="00E51F1C"/>
    <w:rsid w:val="00E530E0"/>
    <w:rsid w:val="00E54138"/>
    <w:rsid w:val="00E55D4C"/>
    <w:rsid w:val="00E61298"/>
    <w:rsid w:val="00E62A93"/>
    <w:rsid w:val="00E66945"/>
    <w:rsid w:val="00E704D1"/>
    <w:rsid w:val="00E72212"/>
    <w:rsid w:val="00E754B6"/>
    <w:rsid w:val="00E77160"/>
    <w:rsid w:val="00E77356"/>
    <w:rsid w:val="00E778DD"/>
    <w:rsid w:val="00E81812"/>
    <w:rsid w:val="00E81E94"/>
    <w:rsid w:val="00E829A1"/>
    <w:rsid w:val="00E833A4"/>
    <w:rsid w:val="00E84C30"/>
    <w:rsid w:val="00E84FAC"/>
    <w:rsid w:val="00E8697D"/>
    <w:rsid w:val="00E87B0C"/>
    <w:rsid w:val="00E91488"/>
    <w:rsid w:val="00E9349C"/>
    <w:rsid w:val="00E934FF"/>
    <w:rsid w:val="00E957B3"/>
    <w:rsid w:val="00E96967"/>
    <w:rsid w:val="00E97614"/>
    <w:rsid w:val="00EA7187"/>
    <w:rsid w:val="00EA73A8"/>
    <w:rsid w:val="00EB0396"/>
    <w:rsid w:val="00EB24BE"/>
    <w:rsid w:val="00EB289A"/>
    <w:rsid w:val="00EB5ABB"/>
    <w:rsid w:val="00EC0A43"/>
    <w:rsid w:val="00EC1C03"/>
    <w:rsid w:val="00EC2AD5"/>
    <w:rsid w:val="00EC2BFC"/>
    <w:rsid w:val="00EC2C74"/>
    <w:rsid w:val="00EC3572"/>
    <w:rsid w:val="00EC4648"/>
    <w:rsid w:val="00EC5A83"/>
    <w:rsid w:val="00EC63C1"/>
    <w:rsid w:val="00EC6678"/>
    <w:rsid w:val="00ED08D7"/>
    <w:rsid w:val="00ED26B7"/>
    <w:rsid w:val="00ED3C29"/>
    <w:rsid w:val="00ED59C1"/>
    <w:rsid w:val="00ED6154"/>
    <w:rsid w:val="00ED7152"/>
    <w:rsid w:val="00ED735C"/>
    <w:rsid w:val="00ED782D"/>
    <w:rsid w:val="00EE0689"/>
    <w:rsid w:val="00EE60D2"/>
    <w:rsid w:val="00EE6BA4"/>
    <w:rsid w:val="00EE731D"/>
    <w:rsid w:val="00EF0D07"/>
    <w:rsid w:val="00EF15EF"/>
    <w:rsid w:val="00EF48DD"/>
    <w:rsid w:val="00EF6A0C"/>
    <w:rsid w:val="00F00A52"/>
    <w:rsid w:val="00F0107E"/>
    <w:rsid w:val="00F029B1"/>
    <w:rsid w:val="00F032CF"/>
    <w:rsid w:val="00F0362A"/>
    <w:rsid w:val="00F044FB"/>
    <w:rsid w:val="00F04C65"/>
    <w:rsid w:val="00F05B22"/>
    <w:rsid w:val="00F05BD9"/>
    <w:rsid w:val="00F07699"/>
    <w:rsid w:val="00F126ED"/>
    <w:rsid w:val="00F12F43"/>
    <w:rsid w:val="00F1357E"/>
    <w:rsid w:val="00F135CC"/>
    <w:rsid w:val="00F13810"/>
    <w:rsid w:val="00F13EBD"/>
    <w:rsid w:val="00F17C15"/>
    <w:rsid w:val="00F201BF"/>
    <w:rsid w:val="00F21B81"/>
    <w:rsid w:val="00F23E05"/>
    <w:rsid w:val="00F2686D"/>
    <w:rsid w:val="00F271D2"/>
    <w:rsid w:val="00F275AE"/>
    <w:rsid w:val="00F276C2"/>
    <w:rsid w:val="00F31B5F"/>
    <w:rsid w:val="00F3263B"/>
    <w:rsid w:val="00F341A0"/>
    <w:rsid w:val="00F34DA3"/>
    <w:rsid w:val="00F378B3"/>
    <w:rsid w:val="00F37B8E"/>
    <w:rsid w:val="00F4076B"/>
    <w:rsid w:val="00F40E2D"/>
    <w:rsid w:val="00F41340"/>
    <w:rsid w:val="00F416CE"/>
    <w:rsid w:val="00F44B26"/>
    <w:rsid w:val="00F45FED"/>
    <w:rsid w:val="00F479A3"/>
    <w:rsid w:val="00F50BBA"/>
    <w:rsid w:val="00F50EF5"/>
    <w:rsid w:val="00F51842"/>
    <w:rsid w:val="00F54F6A"/>
    <w:rsid w:val="00F556AE"/>
    <w:rsid w:val="00F560A9"/>
    <w:rsid w:val="00F562D3"/>
    <w:rsid w:val="00F56C38"/>
    <w:rsid w:val="00F62BD1"/>
    <w:rsid w:val="00F63B49"/>
    <w:rsid w:val="00F657FB"/>
    <w:rsid w:val="00F67473"/>
    <w:rsid w:val="00F70016"/>
    <w:rsid w:val="00F70DAE"/>
    <w:rsid w:val="00F72559"/>
    <w:rsid w:val="00F728D9"/>
    <w:rsid w:val="00F74F1E"/>
    <w:rsid w:val="00F75820"/>
    <w:rsid w:val="00F76170"/>
    <w:rsid w:val="00F76364"/>
    <w:rsid w:val="00F772F6"/>
    <w:rsid w:val="00F8182D"/>
    <w:rsid w:val="00F81B03"/>
    <w:rsid w:val="00F8250C"/>
    <w:rsid w:val="00F82F26"/>
    <w:rsid w:val="00F83875"/>
    <w:rsid w:val="00F83AD2"/>
    <w:rsid w:val="00F84AC0"/>
    <w:rsid w:val="00F852E7"/>
    <w:rsid w:val="00F8604B"/>
    <w:rsid w:val="00F875FC"/>
    <w:rsid w:val="00F906B8"/>
    <w:rsid w:val="00F910E2"/>
    <w:rsid w:val="00F92903"/>
    <w:rsid w:val="00F92C96"/>
    <w:rsid w:val="00F96420"/>
    <w:rsid w:val="00F96F8E"/>
    <w:rsid w:val="00F979CD"/>
    <w:rsid w:val="00FA0836"/>
    <w:rsid w:val="00FA0EE1"/>
    <w:rsid w:val="00FA199A"/>
    <w:rsid w:val="00FA1CBD"/>
    <w:rsid w:val="00FA440B"/>
    <w:rsid w:val="00FA4576"/>
    <w:rsid w:val="00FA697C"/>
    <w:rsid w:val="00FA7A0E"/>
    <w:rsid w:val="00FB1059"/>
    <w:rsid w:val="00FB12F6"/>
    <w:rsid w:val="00FB4894"/>
    <w:rsid w:val="00FB521D"/>
    <w:rsid w:val="00FB6C53"/>
    <w:rsid w:val="00FB7870"/>
    <w:rsid w:val="00FB79B8"/>
    <w:rsid w:val="00FC2996"/>
    <w:rsid w:val="00FC71AE"/>
    <w:rsid w:val="00FD048E"/>
    <w:rsid w:val="00FD0AE7"/>
    <w:rsid w:val="00FD19EE"/>
    <w:rsid w:val="00FD2537"/>
    <w:rsid w:val="00FD4E75"/>
    <w:rsid w:val="00FD656B"/>
    <w:rsid w:val="00FE37A0"/>
    <w:rsid w:val="00FE4933"/>
    <w:rsid w:val="00FE6396"/>
    <w:rsid w:val="00FE7752"/>
    <w:rsid w:val="00FF0A70"/>
    <w:rsid w:val="00FF10D5"/>
    <w:rsid w:val="00FF3019"/>
    <w:rsid w:val="00FF3595"/>
    <w:rsid w:val="00FF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402C63"/>
  <w15:chartTrackingRefBased/>
  <w15:docId w15:val="{A7C185EE-87DB-4F28-9C94-959D27646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rsid w:val="00583355"/>
    <w:pPr>
      <w:keepNext/>
      <w:tabs>
        <w:tab w:val="right" w:pos="8640"/>
      </w:tabs>
      <w:spacing w:line="480" w:lineRule="auto"/>
      <w:jc w:val="center"/>
      <w:outlineLvl w:val="0"/>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83355"/>
    <w:pPr>
      <w:tabs>
        <w:tab w:val="right" w:pos="8640"/>
      </w:tabs>
      <w:spacing w:line="480" w:lineRule="auto"/>
      <w:ind w:firstLine="720"/>
    </w:pPr>
    <w:rPr>
      <w:lang w:val="x-none" w:eastAsia="x-none"/>
    </w:rPr>
  </w:style>
  <w:style w:type="paragraph" w:customStyle="1" w:styleId="SectionHeading">
    <w:name w:val="SectionHeading"/>
    <w:rsid w:val="00583355"/>
    <w:pPr>
      <w:keepNext/>
      <w:pageBreakBefore/>
      <w:spacing w:line="480" w:lineRule="auto"/>
      <w:jc w:val="center"/>
    </w:pPr>
    <w:rPr>
      <w:rFonts w:ascii="Garamond" w:hAnsi="Garamond"/>
      <w:sz w:val="24"/>
      <w:szCs w:val="22"/>
    </w:rPr>
  </w:style>
  <w:style w:type="paragraph" w:styleId="Header">
    <w:name w:val="header"/>
    <w:basedOn w:val="Normal"/>
    <w:rsid w:val="00583355"/>
    <w:pPr>
      <w:keepLines/>
      <w:tabs>
        <w:tab w:val="center" w:pos="4320"/>
        <w:tab w:val="right" w:pos="8640"/>
      </w:tabs>
      <w:spacing w:line="480" w:lineRule="auto"/>
      <w:jc w:val="center"/>
    </w:pPr>
  </w:style>
  <w:style w:type="character" w:styleId="PageNumber">
    <w:name w:val="page number"/>
    <w:rsid w:val="00583355"/>
    <w:rPr>
      <w:sz w:val="24"/>
    </w:rPr>
  </w:style>
  <w:style w:type="paragraph" w:styleId="Subtitle">
    <w:name w:val="Subtitle"/>
    <w:basedOn w:val="Normal"/>
    <w:next w:val="BodyText"/>
    <w:qFormat/>
    <w:rsid w:val="00583355"/>
    <w:pPr>
      <w:keepNext/>
      <w:keepLines/>
      <w:tabs>
        <w:tab w:val="right" w:pos="8640"/>
      </w:tabs>
      <w:spacing w:line="480" w:lineRule="auto"/>
      <w:ind w:left="1915" w:right="1915"/>
      <w:jc w:val="center"/>
    </w:pPr>
    <w:rPr>
      <w:rFonts w:ascii="Garamond" w:hAnsi="Garamond"/>
      <w:kern w:val="28"/>
    </w:rPr>
  </w:style>
  <w:style w:type="character" w:styleId="Hyperlink">
    <w:name w:val="Hyperlink"/>
    <w:rsid w:val="00583355"/>
    <w:rPr>
      <w:color w:val="0000FF"/>
      <w:u w:val="single"/>
    </w:rPr>
  </w:style>
  <w:style w:type="paragraph" w:customStyle="1" w:styleId="StyleRight05">
    <w:name w:val="Style Right:  0.5&quot;"/>
    <w:basedOn w:val="Normal"/>
    <w:rsid w:val="00583355"/>
    <w:pPr>
      <w:tabs>
        <w:tab w:val="right" w:pos="8640"/>
      </w:tabs>
      <w:spacing w:line="480" w:lineRule="auto"/>
      <w:ind w:right="720"/>
    </w:pPr>
    <w:rPr>
      <w:rFonts w:ascii="Garamond" w:hAnsi="Garamond"/>
    </w:rPr>
  </w:style>
  <w:style w:type="paragraph" w:customStyle="1" w:styleId="AuthorInfo">
    <w:name w:val="Author Info"/>
    <w:basedOn w:val="Normal"/>
    <w:rsid w:val="00583355"/>
    <w:pPr>
      <w:tabs>
        <w:tab w:val="right" w:pos="8640"/>
      </w:tabs>
      <w:spacing w:line="480" w:lineRule="auto"/>
      <w:jc w:val="center"/>
    </w:pPr>
  </w:style>
  <w:style w:type="paragraph" w:customStyle="1" w:styleId="TitleOfPaperCover">
    <w:name w:val="TitleOfPaper_Cover"/>
    <w:basedOn w:val="Normal"/>
    <w:rsid w:val="00583355"/>
    <w:pPr>
      <w:keepNext/>
      <w:keepLines/>
      <w:tabs>
        <w:tab w:val="right" w:pos="8640"/>
      </w:tabs>
      <w:spacing w:line="480" w:lineRule="auto"/>
      <w:jc w:val="center"/>
    </w:pPr>
    <w:rPr>
      <w:szCs w:val="22"/>
    </w:rPr>
  </w:style>
  <w:style w:type="paragraph" w:customStyle="1" w:styleId="AbstractText">
    <w:name w:val="Abstract Text"/>
    <w:basedOn w:val="BodyText"/>
    <w:rsid w:val="00583355"/>
    <w:pPr>
      <w:keepNext/>
      <w:ind w:firstLine="0"/>
    </w:pPr>
    <w:rPr>
      <w:szCs w:val="22"/>
    </w:rPr>
  </w:style>
  <w:style w:type="paragraph" w:customStyle="1" w:styleId="Reference">
    <w:name w:val="Reference"/>
    <w:basedOn w:val="BodyText"/>
    <w:rsid w:val="00583355"/>
    <w:pPr>
      <w:keepNext/>
      <w:ind w:left="720" w:hanging="720"/>
    </w:pPr>
  </w:style>
  <w:style w:type="paragraph" w:customStyle="1" w:styleId="FigureCaptionLabel">
    <w:name w:val="Figure Caption Label"/>
    <w:basedOn w:val="Normal"/>
    <w:rsid w:val="00583355"/>
    <w:pPr>
      <w:keepNext/>
      <w:tabs>
        <w:tab w:val="right" w:pos="8640"/>
      </w:tabs>
      <w:spacing w:line="480" w:lineRule="auto"/>
    </w:pPr>
    <w:rPr>
      <w:i/>
    </w:rPr>
  </w:style>
  <w:style w:type="character" w:customStyle="1" w:styleId="FigureCaptionLabelChar">
    <w:name w:val="Figure Caption Label Char"/>
    <w:rsid w:val="00583355"/>
    <w:rPr>
      <w:rFonts w:ascii="Garamond" w:hAnsi="Garamond"/>
      <w:i/>
      <w:sz w:val="24"/>
      <w:szCs w:val="24"/>
      <w:lang w:val="en-US" w:eastAsia="en-US" w:bidi="ar-SA"/>
    </w:rPr>
  </w:style>
  <w:style w:type="paragraph" w:styleId="NormalWeb">
    <w:name w:val="Normal (Web)"/>
    <w:basedOn w:val="Normal"/>
    <w:rsid w:val="00583355"/>
    <w:pPr>
      <w:spacing w:before="100" w:beforeAutospacing="1" w:after="100" w:afterAutospacing="1"/>
    </w:pPr>
    <w:rPr>
      <w:color w:val="000000"/>
    </w:rPr>
  </w:style>
  <w:style w:type="paragraph" w:customStyle="1" w:styleId="TitleColumnHeading">
    <w:name w:val="Title Column Heading"/>
    <w:basedOn w:val="Normal"/>
    <w:rsid w:val="00583355"/>
    <w:pPr>
      <w:tabs>
        <w:tab w:val="right" w:pos="8640"/>
      </w:tabs>
      <w:spacing w:line="480" w:lineRule="auto"/>
      <w:jc w:val="center"/>
    </w:pPr>
    <w:rPr>
      <w:szCs w:val="20"/>
    </w:rPr>
  </w:style>
  <w:style w:type="paragraph" w:customStyle="1" w:styleId="TableNotes">
    <w:name w:val="Table Notes"/>
    <w:basedOn w:val="Normal"/>
    <w:rsid w:val="00583355"/>
    <w:pPr>
      <w:tabs>
        <w:tab w:val="right" w:pos="8640"/>
      </w:tabs>
      <w:spacing w:line="480" w:lineRule="auto"/>
      <w:jc w:val="center"/>
    </w:pPr>
    <w:rPr>
      <w:color w:val="000000"/>
    </w:rPr>
  </w:style>
  <w:style w:type="paragraph" w:customStyle="1" w:styleId="TableBody">
    <w:name w:val="Table Body"/>
    <w:basedOn w:val="Normal"/>
    <w:rsid w:val="00583355"/>
    <w:pPr>
      <w:tabs>
        <w:tab w:val="right" w:pos="8640"/>
      </w:tabs>
      <w:spacing w:line="480" w:lineRule="auto"/>
      <w:jc w:val="center"/>
    </w:pPr>
    <w:rPr>
      <w:color w:val="000000"/>
    </w:rPr>
  </w:style>
  <w:style w:type="paragraph" w:styleId="Footer">
    <w:name w:val="footer"/>
    <w:basedOn w:val="Normal"/>
    <w:rsid w:val="00583355"/>
    <w:pPr>
      <w:tabs>
        <w:tab w:val="center" w:pos="4320"/>
        <w:tab w:val="right" w:pos="8640"/>
      </w:tabs>
    </w:pPr>
  </w:style>
  <w:style w:type="character" w:styleId="FollowedHyperlink">
    <w:name w:val="FollowedHyperlink"/>
    <w:rsid w:val="0021478D"/>
    <w:rPr>
      <w:color w:val="800080"/>
      <w:u w:val="single"/>
    </w:rPr>
  </w:style>
  <w:style w:type="character" w:styleId="HTMLCite">
    <w:name w:val="HTML Cite"/>
    <w:uiPriority w:val="99"/>
    <w:unhideWhenUsed/>
    <w:rsid w:val="00181B36"/>
    <w:rPr>
      <w:i/>
      <w:iCs/>
    </w:rPr>
  </w:style>
  <w:style w:type="character" w:customStyle="1" w:styleId="BodyTextChar">
    <w:name w:val="Body Text Char"/>
    <w:link w:val="BodyText"/>
    <w:rsid w:val="0001516E"/>
    <w:rPr>
      <w:sz w:val="24"/>
      <w:szCs w:val="24"/>
    </w:rPr>
  </w:style>
  <w:style w:type="paragraph" w:customStyle="1" w:styleId="Default">
    <w:name w:val="Default"/>
    <w:rsid w:val="00F560A9"/>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rsid w:val="00FA0836"/>
    <w:rPr>
      <w:rFonts w:ascii="Segoe UI" w:hAnsi="Segoe UI" w:cs="Segoe UI"/>
      <w:sz w:val="18"/>
      <w:szCs w:val="18"/>
    </w:rPr>
  </w:style>
  <w:style w:type="character" w:customStyle="1" w:styleId="BalloonTextChar">
    <w:name w:val="Balloon Text Char"/>
    <w:link w:val="BalloonText"/>
    <w:rsid w:val="00FA0836"/>
    <w:rPr>
      <w:rFonts w:ascii="Segoe UI" w:hAnsi="Segoe UI" w:cs="Segoe UI"/>
      <w:sz w:val="18"/>
      <w:szCs w:val="18"/>
    </w:rPr>
  </w:style>
  <w:style w:type="character" w:styleId="CommentReference">
    <w:name w:val="annotation reference"/>
    <w:rsid w:val="00075CBD"/>
    <w:rPr>
      <w:sz w:val="16"/>
      <w:szCs w:val="16"/>
    </w:rPr>
  </w:style>
  <w:style w:type="paragraph" w:styleId="CommentText">
    <w:name w:val="annotation text"/>
    <w:basedOn w:val="Normal"/>
    <w:link w:val="CommentTextChar"/>
    <w:rsid w:val="00075CBD"/>
    <w:rPr>
      <w:sz w:val="20"/>
      <w:szCs w:val="20"/>
    </w:rPr>
  </w:style>
  <w:style w:type="character" w:customStyle="1" w:styleId="CommentTextChar">
    <w:name w:val="Comment Text Char"/>
    <w:link w:val="CommentText"/>
    <w:rsid w:val="00075CBD"/>
    <w:rPr>
      <w:lang w:val="en-US" w:eastAsia="en-US"/>
    </w:rPr>
  </w:style>
  <w:style w:type="character" w:customStyle="1" w:styleId="Mention">
    <w:name w:val="Mention"/>
    <w:uiPriority w:val="99"/>
    <w:semiHidden/>
    <w:unhideWhenUsed/>
    <w:rsid w:val="006B5AC2"/>
    <w:rPr>
      <w:color w:val="2B579A"/>
      <w:shd w:val="clear" w:color="auto" w:fill="E6E6E6"/>
    </w:rPr>
  </w:style>
  <w:style w:type="paragraph" w:styleId="CommentSubject">
    <w:name w:val="annotation subject"/>
    <w:basedOn w:val="CommentText"/>
    <w:next w:val="CommentText"/>
    <w:link w:val="CommentSubjectChar"/>
    <w:rsid w:val="00B570B8"/>
    <w:rPr>
      <w:b/>
      <w:bCs/>
    </w:rPr>
  </w:style>
  <w:style w:type="character" w:customStyle="1" w:styleId="CommentSubjectChar">
    <w:name w:val="Comment Subject Char"/>
    <w:link w:val="CommentSubject"/>
    <w:rsid w:val="00B570B8"/>
    <w:rPr>
      <w:b/>
      <w:bCs/>
      <w:lang w:val="en-US" w:eastAsia="en-US"/>
    </w:rPr>
  </w:style>
  <w:style w:type="character" w:styleId="Strong">
    <w:name w:val="Strong"/>
    <w:qFormat/>
    <w:rsid w:val="001C6C47"/>
    <w:rPr>
      <w:b/>
      <w:bCs/>
    </w:rPr>
  </w:style>
  <w:style w:type="paragraph" w:customStyle="1" w:styleId="ColorfulShading-Accent11">
    <w:name w:val="Colorful Shading - Accent 11"/>
    <w:hidden/>
    <w:uiPriority w:val="62"/>
    <w:rsid w:val="00CE2D85"/>
    <w:rPr>
      <w:sz w:val="24"/>
      <w:szCs w:val="24"/>
    </w:rPr>
  </w:style>
  <w:style w:type="paragraph" w:customStyle="1" w:styleId="BodyA">
    <w:name w:val="Body A"/>
    <w:rsid w:val="00842AD4"/>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eastAsia="en-GB"/>
    </w:rPr>
  </w:style>
  <w:style w:type="character" w:customStyle="1" w:styleId="apple-converted-space">
    <w:name w:val="apple-converted-space"/>
    <w:rsid w:val="00E61298"/>
  </w:style>
  <w:style w:type="character" w:styleId="LineNumber">
    <w:name w:val="line number"/>
    <w:rsid w:val="00143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922351">
      <w:bodyDiv w:val="1"/>
      <w:marLeft w:val="0"/>
      <w:marRight w:val="0"/>
      <w:marTop w:val="0"/>
      <w:marBottom w:val="0"/>
      <w:divBdr>
        <w:top w:val="none" w:sz="0" w:space="0" w:color="auto"/>
        <w:left w:val="none" w:sz="0" w:space="0" w:color="auto"/>
        <w:bottom w:val="none" w:sz="0" w:space="0" w:color="auto"/>
        <w:right w:val="none" w:sz="0" w:space="0" w:color="auto"/>
      </w:divBdr>
    </w:div>
    <w:div w:id="202777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Tyndall@chi.ac.u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289F3-EBF1-4957-9DC9-1A4735281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6152</Words>
  <Characters>35070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APA Format 6th Edition Template</vt:lpstr>
    </vt:vector>
  </TitlesOfParts>
  <Company>SIUE</Company>
  <LinksUpToDate>false</LinksUpToDate>
  <CharactersWithSpaces>41140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APA Format 6th Edition Template</dc:title>
  <dc:subject/>
  <dc:creator>Paul Rose</dc:creator>
  <cp:keywords/>
  <dc:description/>
  <cp:lastModifiedBy>Ian Tyndall</cp:lastModifiedBy>
  <cp:revision>2</cp:revision>
  <cp:lastPrinted>2017-04-19T16:41:00Z</cp:lastPrinted>
  <dcterms:created xsi:type="dcterms:W3CDTF">2019-03-19T14:42:00Z</dcterms:created>
  <dcterms:modified xsi:type="dcterms:W3CDTF">2019-03-19T14:42:00Z</dcterms:modified>
</cp:coreProperties>
</file>