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122B" w14:textId="77777777" w:rsidR="006B536E" w:rsidRPr="00352D07" w:rsidRDefault="006B536E" w:rsidP="006B536E">
      <w:pPr>
        <w:pStyle w:val="Heading1"/>
        <w:jc w:val="center"/>
        <w:rPr>
          <w:rFonts w:ascii="Times New Roman" w:hAnsi="Times New Roman"/>
          <w:lang w:val="en-GB"/>
        </w:rPr>
      </w:pPr>
      <w:r w:rsidRPr="00352D07">
        <w:rPr>
          <w:rFonts w:ascii="Times New Roman" w:hAnsi="Times New Roman"/>
          <w:lang w:val="en-GB"/>
        </w:rPr>
        <w:t>Making the Most Out of Renewable Energy Opportunities: Lessons Learned from a Regional Strategic Mapping Approach</w:t>
      </w:r>
    </w:p>
    <w:p w14:paraId="7B53BA55" w14:textId="77777777" w:rsidR="006B536E" w:rsidRPr="007D3C81" w:rsidRDefault="006B536E" w:rsidP="006B536E">
      <w:pPr>
        <w:rPr>
          <w:lang w:val="en-GB"/>
        </w:rPr>
      </w:pPr>
    </w:p>
    <w:p w14:paraId="5620505B" w14:textId="77777777" w:rsidR="006B536E" w:rsidRPr="007D3C81" w:rsidRDefault="006B536E" w:rsidP="006B536E">
      <w:pPr>
        <w:spacing w:after="0" w:line="240" w:lineRule="auto"/>
        <w:jc w:val="center"/>
        <w:rPr>
          <w:lang w:val="en-GB"/>
        </w:rPr>
      </w:pPr>
      <w:r w:rsidRPr="007D3C81">
        <w:rPr>
          <w:lang w:val="en-GB"/>
        </w:rPr>
        <w:t>Michel Leseure</w:t>
      </w:r>
    </w:p>
    <w:p w14:paraId="30B7881A" w14:textId="77777777" w:rsidR="006B536E" w:rsidRPr="007D3C81" w:rsidRDefault="006B536E" w:rsidP="006B536E">
      <w:pPr>
        <w:spacing w:after="0" w:line="240" w:lineRule="auto"/>
        <w:jc w:val="center"/>
        <w:rPr>
          <w:i/>
          <w:lang w:val="en-GB"/>
        </w:rPr>
      </w:pPr>
      <w:smartTag w:uri="urn:schemas-microsoft-com:office:smarttags" w:element="place">
        <w:smartTag w:uri="urn:schemas-microsoft-com:office:smarttags" w:element="PlaceType">
          <w:r w:rsidRPr="007D3C81">
            <w:rPr>
              <w:i/>
              <w:lang w:val="en-GB"/>
            </w:rPr>
            <w:t>University</w:t>
          </w:r>
        </w:smartTag>
        <w:r w:rsidRPr="007D3C81">
          <w:rPr>
            <w:i/>
            <w:lang w:val="en-GB"/>
          </w:rPr>
          <w:t xml:space="preserve"> of </w:t>
        </w:r>
        <w:smartTag w:uri="urn:schemas-microsoft-com:office:smarttags" w:element="PlaceName">
          <w:r w:rsidRPr="007D3C81">
            <w:rPr>
              <w:i/>
              <w:lang w:val="en-GB"/>
            </w:rPr>
            <w:t>Chichester</w:t>
          </w:r>
        </w:smartTag>
      </w:smartTag>
    </w:p>
    <w:p w14:paraId="0BED2D82" w14:textId="77777777" w:rsidR="006B536E" w:rsidRPr="007D3C81" w:rsidRDefault="006B536E" w:rsidP="006B536E">
      <w:pPr>
        <w:spacing w:after="0" w:line="240" w:lineRule="auto"/>
        <w:jc w:val="center"/>
        <w:rPr>
          <w:i/>
          <w:lang w:val="en-GB"/>
        </w:rPr>
      </w:pPr>
    </w:p>
    <w:p w14:paraId="24F78276" w14:textId="77777777" w:rsidR="006B536E" w:rsidRPr="007D3C81" w:rsidRDefault="006B536E" w:rsidP="006B536E">
      <w:pPr>
        <w:spacing w:after="0" w:line="240" w:lineRule="auto"/>
        <w:jc w:val="center"/>
        <w:rPr>
          <w:lang w:val="en-GB"/>
        </w:rPr>
      </w:pPr>
      <w:r w:rsidRPr="007D3C81">
        <w:rPr>
          <w:lang w:val="en-GB"/>
        </w:rPr>
        <w:t>Dawn Robins</w:t>
      </w:r>
    </w:p>
    <w:p w14:paraId="46549F1D" w14:textId="77777777" w:rsidR="006B536E" w:rsidRPr="007D3C81" w:rsidRDefault="006B536E" w:rsidP="006B536E">
      <w:pPr>
        <w:spacing w:after="0" w:line="240" w:lineRule="auto"/>
        <w:jc w:val="center"/>
        <w:rPr>
          <w:i/>
          <w:lang w:val="en-GB"/>
        </w:rPr>
      </w:pPr>
      <w:smartTag w:uri="urn:schemas-microsoft-com:office:smarttags" w:element="place">
        <w:smartTag w:uri="urn:schemas-microsoft-com:office:smarttags" w:element="PlaceType">
          <w:r w:rsidRPr="007D3C81">
            <w:rPr>
              <w:i/>
              <w:lang w:val="en-GB"/>
            </w:rPr>
            <w:t>University</w:t>
          </w:r>
        </w:smartTag>
        <w:r w:rsidRPr="007D3C81">
          <w:rPr>
            <w:i/>
            <w:lang w:val="en-GB"/>
          </w:rPr>
          <w:t xml:space="preserve"> of </w:t>
        </w:r>
        <w:smartTag w:uri="urn:schemas-microsoft-com:office:smarttags" w:element="PlaceName">
          <w:r w:rsidRPr="007D3C81">
            <w:rPr>
              <w:i/>
              <w:lang w:val="en-GB"/>
            </w:rPr>
            <w:t>Chichester</w:t>
          </w:r>
        </w:smartTag>
      </w:smartTag>
    </w:p>
    <w:p w14:paraId="376908DB" w14:textId="77777777" w:rsidR="006B536E" w:rsidRPr="007D3C81" w:rsidRDefault="006B536E" w:rsidP="006B536E">
      <w:pPr>
        <w:spacing w:after="0" w:line="240" w:lineRule="auto"/>
        <w:jc w:val="center"/>
        <w:rPr>
          <w:i/>
          <w:lang w:val="en-GB"/>
        </w:rPr>
      </w:pPr>
    </w:p>
    <w:p w14:paraId="538593EC" w14:textId="77777777" w:rsidR="006B536E" w:rsidRPr="007D3C81" w:rsidRDefault="006B536E" w:rsidP="006B536E">
      <w:pPr>
        <w:spacing w:after="0" w:line="240" w:lineRule="auto"/>
        <w:jc w:val="center"/>
        <w:rPr>
          <w:lang w:val="en-GB"/>
        </w:rPr>
      </w:pPr>
      <w:r w:rsidRPr="007D3C81">
        <w:rPr>
          <w:lang w:val="en-GB"/>
        </w:rPr>
        <w:t>Graham Wall</w:t>
      </w:r>
    </w:p>
    <w:p w14:paraId="4688A0D2" w14:textId="77777777" w:rsidR="006B536E" w:rsidRDefault="006B536E" w:rsidP="006B536E">
      <w:pPr>
        <w:spacing w:after="0" w:line="240" w:lineRule="auto"/>
        <w:jc w:val="center"/>
        <w:rPr>
          <w:i/>
          <w:lang w:val="en-GB"/>
        </w:rPr>
      </w:pPr>
      <w:smartTag w:uri="urn:schemas-microsoft-com:office:smarttags" w:element="PlaceType">
        <w:r w:rsidRPr="007D3C81">
          <w:rPr>
            <w:i/>
            <w:lang w:val="en-GB"/>
          </w:rPr>
          <w:t>University</w:t>
        </w:r>
      </w:smartTag>
      <w:r w:rsidRPr="007D3C81">
        <w:rPr>
          <w:i/>
          <w:lang w:val="en-GB"/>
        </w:rPr>
        <w:t xml:space="preserve"> of Portsmouth</w:t>
      </w:r>
    </w:p>
    <w:p w14:paraId="028E7B33" w14:textId="77777777" w:rsidR="006B536E" w:rsidRDefault="006B536E" w:rsidP="006B536E">
      <w:pPr>
        <w:spacing w:after="0" w:line="240" w:lineRule="auto"/>
        <w:jc w:val="center"/>
        <w:rPr>
          <w:i/>
          <w:lang w:val="en-GB"/>
        </w:rPr>
      </w:pPr>
    </w:p>
    <w:p w14:paraId="2F18FE03" w14:textId="77777777" w:rsidR="006B536E" w:rsidRDefault="006B536E" w:rsidP="006B536E">
      <w:pPr>
        <w:spacing w:after="0" w:line="240" w:lineRule="auto"/>
        <w:jc w:val="center"/>
        <w:rPr>
          <w:lang w:val="en-GB"/>
        </w:rPr>
      </w:pPr>
      <w:r>
        <w:rPr>
          <w:lang w:val="en-GB"/>
        </w:rPr>
        <w:t>Dylan Jones</w:t>
      </w:r>
    </w:p>
    <w:p w14:paraId="6CD5928E" w14:textId="77777777" w:rsidR="006B536E" w:rsidRPr="00377FE3" w:rsidRDefault="006B536E" w:rsidP="006B536E">
      <w:pPr>
        <w:spacing w:after="0" w:line="240" w:lineRule="auto"/>
        <w:jc w:val="center"/>
        <w:rPr>
          <w:i/>
          <w:lang w:val="en-GB"/>
        </w:rPr>
      </w:pPr>
      <w:r>
        <w:rPr>
          <w:i/>
          <w:lang w:val="en-GB"/>
        </w:rPr>
        <w:t>University of Por</w:t>
      </w:r>
      <w:r w:rsidRPr="00377FE3">
        <w:rPr>
          <w:i/>
          <w:lang w:val="en-GB"/>
        </w:rPr>
        <w:t>t</w:t>
      </w:r>
      <w:r>
        <w:rPr>
          <w:i/>
          <w:lang w:val="en-GB"/>
        </w:rPr>
        <w:t>s</w:t>
      </w:r>
      <w:r w:rsidRPr="00377FE3">
        <w:rPr>
          <w:i/>
          <w:lang w:val="en-GB"/>
        </w:rPr>
        <w:t>mouth</w:t>
      </w:r>
    </w:p>
    <w:p w14:paraId="58643DC8" w14:textId="77777777" w:rsidR="006B536E" w:rsidRPr="00377FE3" w:rsidRDefault="006B536E" w:rsidP="006B536E">
      <w:pPr>
        <w:spacing w:after="0" w:line="240" w:lineRule="auto"/>
        <w:jc w:val="center"/>
        <w:rPr>
          <w:i/>
          <w:lang w:val="en-GB"/>
        </w:rPr>
      </w:pPr>
    </w:p>
    <w:p w14:paraId="18A30696" w14:textId="77777777" w:rsidR="006B536E" w:rsidRPr="007D3C81" w:rsidRDefault="006B536E" w:rsidP="006B536E">
      <w:pPr>
        <w:spacing w:after="0" w:line="240" w:lineRule="auto"/>
        <w:jc w:val="center"/>
        <w:rPr>
          <w:i/>
          <w:lang w:val="en-GB"/>
        </w:rPr>
      </w:pPr>
    </w:p>
    <w:p w14:paraId="414075AB" w14:textId="63C13004" w:rsidR="006B536E" w:rsidRDefault="006B536E" w:rsidP="006B536E">
      <w:pPr>
        <w:spacing w:after="0" w:line="240" w:lineRule="auto"/>
        <w:rPr>
          <w:i/>
          <w:lang w:val="en-GB"/>
        </w:rPr>
      </w:pPr>
    </w:p>
    <w:p w14:paraId="055BF1E8" w14:textId="187D5B9B" w:rsidR="006B536E" w:rsidRDefault="006B536E" w:rsidP="006B536E">
      <w:pPr>
        <w:spacing w:after="0" w:line="240" w:lineRule="auto"/>
        <w:rPr>
          <w:i/>
          <w:lang w:val="en-GB"/>
        </w:rPr>
      </w:pPr>
    </w:p>
    <w:p w14:paraId="1C3018F6" w14:textId="77777777" w:rsidR="006B536E" w:rsidRPr="007D3C81" w:rsidRDefault="006B536E" w:rsidP="006B536E">
      <w:pPr>
        <w:spacing w:after="0" w:line="240" w:lineRule="auto"/>
        <w:rPr>
          <w:i/>
          <w:lang w:val="en-GB"/>
        </w:rPr>
      </w:pPr>
    </w:p>
    <w:p w14:paraId="7489E124" w14:textId="78F9CBCE" w:rsidR="006B536E" w:rsidRDefault="006B536E" w:rsidP="006B536E">
      <w:pPr>
        <w:pStyle w:val="Heading3"/>
        <w:jc w:val="center"/>
        <w:rPr>
          <w:i w:val="0"/>
          <w:lang w:val="en-GB"/>
        </w:rPr>
      </w:pPr>
      <w:r w:rsidRPr="006B536E">
        <w:rPr>
          <w:i w:val="0"/>
          <w:lang w:val="en-GB"/>
        </w:rPr>
        <w:t>Accepted Version – Dated 19/08/2018</w:t>
      </w:r>
    </w:p>
    <w:p w14:paraId="220CA323" w14:textId="64ADD979" w:rsidR="006B536E" w:rsidRDefault="006B536E" w:rsidP="006B536E">
      <w:pPr>
        <w:rPr>
          <w:lang w:val="en-GB"/>
        </w:rPr>
      </w:pPr>
    </w:p>
    <w:p w14:paraId="7C7CE027" w14:textId="13FFC906" w:rsidR="006B536E" w:rsidRDefault="006B536E" w:rsidP="006B536E">
      <w:pPr>
        <w:rPr>
          <w:lang w:val="en-GB"/>
        </w:rPr>
      </w:pPr>
    </w:p>
    <w:p w14:paraId="56CFB9C7" w14:textId="77777777" w:rsidR="006B536E" w:rsidRPr="006B536E" w:rsidRDefault="006B536E" w:rsidP="006B536E">
      <w:pPr>
        <w:rPr>
          <w:lang w:val="en-GB"/>
        </w:rPr>
      </w:pPr>
    </w:p>
    <w:p w14:paraId="60EEFE68" w14:textId="1C97544D" w:rsidR="006B536E" w:rsidRPr="007D3C81" w:rsidRDefault="006B536E" w:rsidP="006B536E">
      <w:pPr>
        <w:pStyle w:val="Heading1"/>
        <w:rPr>
          <w:lang w:val="en-GB"/>
        </w:rPr>
      </w:pPr>
      <w:r w:rsidRPr="007D3C81">
        <w:rPr>
          <w:lang w:val="en-GB"/>
        </w:rPr>
        <w:t>Keywords</w:t>
      </w:r>
    </w:p>
    <w:p w14:paraId="4BA2BB17" w14:textId="77777777" w:rsidR="006B536E" w:rsidRDefault="006B536E" w:rsidP="006B536E">
      <w:pPr>
        <w:rPr>
          <w:lang w:val="en-GB"/>
        </w:rPr>
      </w:pPr>
      <w:r>
        <w:rPr>
          <w:lang w:val="en-GB"/>
        </w:rPr>
        <w:t>Renewable energy, strategic mapping, idealisation, regional policy</w:t>
      </w:r>
    </w:p>
    <w:p w14:paraId="054B7AFA" w14:textId="77777777" w:rsidR="006B536E" w:rsidRDefault="006B536E">
      <w:pPr>
        <w:spacing w:after="0" w:line="240" w:lineRule="auto"/>
        <w:ind w:firstLine="0"/>
        <w:rPr>
          <w:rFonts w:ascii="Cambria" w:hAnsi="Cambria"/>
          <w:b/>
          <w:bCs/>
          <w:i/>
          <w:iCs/>
          <w:sz w:val="32"/>
          <w:szCs w:val="32"/>
          <w:lang w:val="en-GB"/>
        </w:rPr>
      </w:pPr>
      <w:r>
        <w:rPr>
          <w:lang w:val="en-GB"/>
        </w:rPr>
        <w:br w:type="page"/>
      </w:r>
    </w:p>
    <w:p w14:paraId="3CF03CFE" w14:textId="1EC4F72F" w:rsidR="006B536E" w:rsidRDefault="006B536E" w:rsidP="006B536E">
      <w:pPr>
        <w:pStyle w:val="Heading1"/>
        <w:rPr>
          <w:lang w:val="en-GB"/>
        </w:rPr>
      </w:pPr>
      <w:r>
        <w:rPr>
          <w:lang w:val="en-GB"/>
        </w:rPr>
        <w:lastRenderedPageBreak/>
        <w:t>Structured Abstract</w:t>
      </w:r>
    </w:p>
    <w:p w14:paraId="6760BBBB" w14:textId="77777777" w:rsidR="006B536E" w:rsidRPr="009518E6" w:rsidRDefault="006B536E" w:rsidP="006B536E">
      <w:pPr>
        <w:rPr>
          <w:b/>
          <w:i/>
        </w:rPr>
      </w:pPr>
      <w:r w:rsidRPr="009518E6">
        <w:rPr>
          <w:b/>
          <w:i/>
        </w:rPr>
        <w:t>Purpose</w:t>
      </w:r>
    </w:p>
    <w:p w14:paraId="050EDE83" w14:textId="77777777" w:rsidR="006B536E" w:rsidRDefault="006B536E" w:rsidP="006B536E">
      <w:r w:rsidRPr="0032664F">
        <w:t>Offshore renewable energy technologies provide many new opportunities for coastal regions around the world, and although the energy policy literature has documented the success stories of many 'first mover' regions, there is little guidance for 'second mover' or 'follower' regions.  This paper investigates the strategic challenges faced by coastal regions that are not first movers.</w:t>
      </w:r>
    </w:p>
    <w:p w14:paraId="267AF872" w14:textId="77777777" w:rsidR="006B536E" w:rsidRPr="009518E6" w:rsidRDefault="006B536E" w:rsidP="006B536E">
      <w:pPr>
        <w:rPr>
          <w:b/>
          <w:i/>
        </w:rPr>
      </w:pPr>
      <w:r w:rsidRPr="009518E6">
        <w:rPr>
          <w:b/>
          <w:i/>
        </w:rPr>
        <w:t>Design/Methodology/Approach</w:t>
      </w:r>
    </w:p>
    <w:p w14:paraId="5699F15F" w14:textId="77777777" w:rsidR="006B536E" w:rsidRDefault="006B536E" w:rsidP="006B536E">
      <w:r w:rsidRPr="0032664F">
        <w:t xml:space="preserve">We use a multiple case study approach to </w:t>
      </w:r>
      <w:proofErr w:type="spellStart"/>
      <w:r w:rsidRPr="0032664F">
        <w:t>analyse</w:t>
      </w:r>
      <w:proofErr w:type="spellEnd"/>
      <w:r w:rsidRPr="0032664F">
        <w:t xml:space="preserve"> the </w:t>
      </w:r>
      <w:proofErr w:type="spellStart"/>
      <w:r w:rsidRPr="0032664F">
        <w:t>behaviour</w:t>
      </w:r>
      <w:proofErr w:type="spellEnd"/>
      <w:r w:rsidRPr="0032664F">
        <w:t xml:space="preserve"> of regional stakeholders when planning and assessing their participation in the renewable energy sector.</w:t>
      </w:r>
    </w:p>
    <w:p w14:paraId="6ACDC00C" w14:textId="77777777" w:rsidR="006B536E" w:rsidRPr="009518E6" w:rsidRDefault="006B536E" w:rsidP="006B536E">
      <w:pPr>
        <w:rPr>
          <w:b/>
          <w:i/>
        </w:rPr>
      </w:pPr>
      <w:r w:rsidRPr="009518E6">
        <w:rPr>
          <w:b/>
          <w:i/>
        </w:rPr>
        <w:t>Findings</w:t>
      </w:r>
    </w:p>
    <w:p w14:paraId="724D73D5" w14:textId="77777777" w:rsidR="006B536E" w:rsidRDefault="006B536E" w:rsidP="006B536E">
      <w:r w:rsidRPr="0032664F">
        <w:t xml:space="preserve">The paper reveals the tendency of regional planners to </w:t>
      </w:r>
      <w:proofErr w:type="spellStart"/>
      <w:r w:rsidRPr="0032664F">
        <w:t>idealise</w:t>
      </w:r>
      <w:proofErr w:type="spellEnd"/>
      <w:r w:rsidRPr="0032664F">
        <w:t xml:space="preserve"> investments in renewable energy.  The negative consequences of </w:t>
      </w:r>
      <w:proofErr w:type="spellStart"/>
      <w:r w:rsidRPr="0032664F">
        <w:t>idealisation</w:t>
      </w:r>
      <w:proofErr w:type="spellEnd"/>
      <w:r w:rsidRPr="0032664F">
        <w:t xml:space="preserve"> are inadequate strategic visions.   </w:t>
      </w:r>
    </w:p>
    <w:p w14:paraId="2061ACBD" w14:textId="77777777" w:rsidR="006B536E" w:rsidRPr="009518E6" w:rsidRDefault="006B536E" w:rsidP="006B536E">
      <w:pPr>
        <w:rPr>
          <w:b/>
          <w:i/>
        </w:rPr>
      </w:pPr>
      <w:r w:rsidRPr="009518E6">
        <w:rPr>
          <w:b/>
          <w:i/>
        </w:rPr>
        <w:t>Research Limitations/implications</w:t>
      </w:r>
    </w:p>
    <w:p w14:paraId="5E2C99F6" w14:textId="77777777" w:rsidR="006B536E" w:rsidRDefault="006B536E" w:rsidP="006B536E">
      <w:r>
        <w:t>The findings are only relevant in the context of the regions that are part of the case study.</w:t>
      </w:r>
    </w:p>
    <w:p w14:paraId="701B6142" w14:textId="77777777" w:rsidR="006B536E" w:rsidRPr="009518E6" w:rsidRDefault="006B536E" w:rsidP="006B536E">
      <w:pPr>
        <w:rPr>
          <w:b/>
          <w:i/>
        </w:rPr>
      </w:pPr>
      <w:r w:rsidRPr="009518E6">
        <w:rPr>
          <w:b/>
          <w:i/>
        </w:rPr>
        <w:t>Practical implications</w:t>
      </w:r>
    </w:p>
    <w:p w14:paraId="656F1A95" w14:textId="77777777" w:rsidR="006B536E" w:rsidRDefault="006B536E" w:rsidP="006B536E">
      <w:r w:rsidRPr="0032664F">
        <w:t xml:space="preserve">The paper illustrates how </w:t>
      </w:r>
      <w:proofErr w:type="spellStart"/>
      <w:r w:rsidRPr="0032664F">
        <w:t>idealisation</w:t>
      </w:r>
      <w:proofErr w:type="spellEnd"/>
      <w:r w:rsidRPr="0032664F">
        <w:t xml:space="preserve"> of technology or strategy is created and how it impacts strategic decision making.</w:t>
      </w:r>
    </w:p>
    <w:p w14:paraId="725BBED6" w14:textId="77777777" w:rsidR="006B536E" w:rsidRPr="009518E6" w:rsidRDefault="006B536E" w:rsidP="006B536E">
      <w:pPr>
        <w:rPr>
          <w:b/>
          <w:i/>
        </w:rPr>
      </w:pPr>
      <w:r w:rsidRPr="009518E6">
        <w:rPr>
          <w:b/>
          <w:i/>
        </w:rPr>
        <w:t>Social Implications</w:t>
      </w:r>
    </w:p>
    <w:p w14:paraId="44B5097C" w14:textId="77777777" w:rsidR="006B536E" w:rsidRDefault="006B536E" w:rsidP="006B536E">
      <w:r w:rsidRPr="0032664F">
        <w:t xml:space="preserve">Although much of the energy policy literature discusses the challenge of social acceptance, this paper documents an opposite phenomenon, </w:t>
      </w:r>
      <w:proofErr w:type="spellStart"/>
      <w:r w:rsidRPr="0032664F">
        <w:t>idealisation</w:t>
      </w:r>
      <w:proofErr w:type="spellEnd"/>
      <w:r w:rsidRPr="0032664F">
        <w:t>.  The energy sector needs to find a middle ground between these two extremes.</w:t>
      </w:r>
    </w:p>
    <w:p w14:paraId="7039A9B1" w14:textId="77777777" w:rsidR="006B536E" w:rsidRPr="009518E6" w:rsidRDefault="006B536E" w:rsidP="006B536E">
      <w:pPr>
        <w:rPr>
          <w:b/>
          <w:i/>
        </w:rPr>
      </w:pPr>
      <w:r w:rsidRPr="009518E6">
        <w:rPr>
          <w:b/>
          <w:i/>
        </w:rPr>
        <w:lastRenderedPageBreak/>
        <w:t>Originality</w:t>
      </w:r>
    </w:p>
    <w:p w14:paraId="6F2FEEB9" w14:textId="77777777" w:rsidR="006B536E" w:rsidRDefault="006B536E" w:rsidP="006B536E">
      <w:r w:rsidRPr="0032664F">
        <w:t xml:space="preserve">The paper provides evidence and a theoretical analysis of a decision-making bias, </w:t>
      </w:r>
      <w:proofErr w:type="spellStart"/>
      <w:r w:rsidRPr="0032664F">
        <w:t>idealisation</w:t>
      </w:r>
      <w:proofErr w:type="spellEnd"/>
      <w:r w:rsidRPr="0032664F">
        <w:t>, that is not discussed in the literature.</w:t>
      </w:r>
    </w:p>
    <w:p w14:paraId="436B3B46" w14:textId="77777777" w:rsidR="006B536E" w:rsidRPr="007D3C81" w:rsidRDefault="006B536E" w:rsidP="006B536E">
      <w:pPr>
        <w:pStyle w:val="Heading2"/>
        <w:rPr>
          <w:lang w:val="en-GB"/>
        </w:rPr>
      </w:pPr>
      <w:r w:rsidRPr="007D3C81">
        <w:rPr>
          <w:lang w:val="en-GB"/>
        </w:rPr>
        <w:t>Acknowledgements</w:t>
      </w:r>
    </w:p>
    <w:p w14:paraId="03CDC97F" w14:textId="77777777" w:rsidR="006B536E" w:rsidRPr="007D3C81" w:rsidRDefault="006B536E" w:rsidP="006B536E">
      <w:pPr>
        <w:jc w:val="both"/>
        <w:rPr>
          <w:lang w:val="en-GB"/>
        </w:rPr>
      </w:pPr>
      <w:r>
        <w:t xml:space="preserve">The research presented in this paper was made possible through the financial support provided by </w:t>
      </w:r>
      <w:r w:rsidRPr="007D3C81">
        <w:t xml:space="preserve">INTERREG </w:t>
      </w:r>
      <w:proofErr w:type="spellStart"/>
      <w:r w:rsidRPr="007D3C81">
        <w:t>IVa</w:t>
      </w:r>
      <w:proofErr w:type="spellEnd"/>
      <w:r w:rsidRPr="007D3C81">
        <w:t xml:space="preserve"> </w:t>
      </w:r>
      <w:r>
        <w:t>for the CHANNEL MOR project.  We would also like to gratefully acknowledge the role played and support provided by all partners of the Channel-MOR team and the regional representatives that took part in the data collection exercise</w:t>
      </w:r>
      <w:r w:rsidRPr="007D3C81">
        <w:t>.</w:t>
      </w:r>
    </w:p>
    <w:p w14:paraId="3A5297C1" w14:textId="77777777" w:rsidR="006B536E" w:rsidRDefault="006B536E">
      <w:pPr>
        <w:spacing w:after="0" w:line="240" w:lineRule="auto"/>
        <w:ind w:firstLine="0"/>
        <w:rPr>
          <w:rFonts w:ascii="Times New Roman" w:hAnsi="Times New Roman"/>
          <w:b/>
          <w:bCs/>
          <w:i/>
          <w:iCs/>
          <w:color w:val="000000" w:themeColor="text1"/>
          <w:sz w:val="32"/>
          <w:szCs w:val="32"/>
          <w:lang w:val="en-GB"/>
        </w:rPr>
      </w:pPr>
      <w:r>
        <w:rPr>
          <w:rFonts w:ascii="Times New Roman" w:hAnsi="Times New Roman"/>
          <w:color w:val="000000" w:themeColor="text1"/>
          <w:lang w:val="en-GB"/>
        </w:rPr>
        <w:br w:type="page"/>
      </w:r>
    </w:p>
    <w:p w14:paraId="16DB1A62" w14:textId="29479602" w:rsidR="000A1F37" w:rsidRPr="00393CB4" w:rsidRDefault="000A1F37" w:rsidP="000A1F37">
      <w:pPr>
        <w:pStyle w:val="Heading1"/>
        <w:jc w:val="center"/>
        <w:rPr>
          <w:rFonts w:ascii="Times New Roman" w:hAnsi="Times New Roman"/>
          <w:color w:val="000000" w:themeColor="text1"/>
          <w:lang w:val="en-GB"/>
        </w:rPr>
      </w:pPr>
      <w:r w:rsidRPr="00393CB4">
        <w:rPr>
          <w:rFonts w:ascii="Times New Roman" w:hAnsi="Times New Roman"/>
          <w:color w:val="000000" w:themeColor="text1"/>
          <w:lang w:val="en-GB"/>
        </w:rPr>
        <w:lastRenderedPageBreak/>
        <w:t xml:space="preserve">Making the Most </w:t>
      </w:r>
      <w:r w:rsidR="008F5E18" w:rsidRPr="00393CB4">
        <w:rPr>
          <w:rFonts w:ascii="Times New Roman" w:hAnsi="Times New Roman"/>
          <w:color w:val="000000" w:themeColor="text1"/>
          <w:lang w:val="en-GB"/>
        </w:rPr>
        <w:t xml:space="preserve">Out </w:t>
      </w:r>
      <w:r w:rsidRPr="00393CB4">
        <w:rPr>
          <w:rFonts w:ascii="Times New Roman" w:hAnsi="Times New Roman"/>
          <w:color w:val="000000" w:themeColor="text1"/>
          <w:lang w:val="en-GB"/>
        </w:rPr>
        <w:t>of Renewable Energy</w:t>
      </w:r>
      <w:r w:rsidR="008F5E18" w:rsidRPr="00393CB4">
        <w:rPr>
          <w:rFonts w:ascii="Times New Roman" w:hAnsi="Times New Roman"/>
          <w:color w:val="000000" w:themeColor="text1"/>
          <w:lang w:val="en-GB"/>
        </w:rPr>
        <w:t xml:space="preserve"> Opportunities</w:t>
      </w:r>
      <w:r w:rsidRPr="00393CB4">
        <w:rPr>
          <w:rFonts w:ascii="Times New Roman" w:hAnsi="Times New Roman"/>
          <w:color w:val="000000" w:themeColor="text1"/>
          <w:lang w:val="en-GB"/>
        </w:rPr>
        <w:t xml:space="preserve">: </w:t>
      </w:r>
      <w:r w:rsidR="008F5E18" w:rsidRPr="00393CB4">
        <w:rPr>
          <w:rFonts w:ascii="Times New Roman" w:hAnsi="Times New Roman"/>
          <w:color w:val="000000" w:themeColor="text1"/>
          <w:lang w:val="en-GB"/>
        </w:rPr>
        <w:t>Lessons Learned from a Regional Strategic Mapping Approach</w:t>
      </w:r>
    </w:p>
    <w:p w14:paraId="6E8FCDA8" w14:textId="77777777" w:rsidR="00A42E55" w:rsidRPr="00393CB4" w:rsidRDefault="00A42E55" w:rsidP="00B512F9">
      <w:pPr>
        <w:spacing w:after="0" w:line="240" w:lineRule="auto"/>
        <w:jc w:val="center"/>
        <w:rPr>
          <w:rFonts w:ascii="Times New Roman" w:hAnsi="Times New Roman"/>
          <w:i/>
          <w:color w:val="000000" w:themeColor="text1"/>
          <w:lang w:val="en-GB"/>
        </w:rPr>
      </w:pPr>
    </w:p>
    <w:p w14:paraId="1DD19EBE" w14:textId="77777777" w:rsidR="00A42E55" w:rsidRPr="00393CB4" w:rsidRDefault="00A42E55" w:rsidP="00B512F9">
      <w:pPr>
        <w:spacing w:after="0" w:line="240" w:lineRule="auto"/>
        <w:rPr>
          <w:rFonts w:ascii="Times New Roman" w:hAnsi="Times New Roman"/>
          <w:i/>
          <w:color w:val="000000" w:themeColor="text1"/>
          <w:lang w:val="en-GB"/>
        </w:rPr>
      </w:pPr>
    </w:p>
    <w:p w14:paraId="2D0F7063" w14:textId="77777777" w:rsidR="00A42E55" w:rsidRPr="00393CB4" w:rsidRDefault="00A42E55" w:rsidP="00B512F9">
      <w:pPr>
        <w:pStyle w:val="Heading1"/>
        <w:rPr>
          <w:rFonts w:ascii="Times New Roman" w:hAnsi="Times New Roman"/>
          <w:color w:val="000000" w:themeColor="text1"/>
          <w:lang w:val="en-GB"/>
        </w:rPr>
      </w:pPr>
      <w:r w:rsidRPr="00393CB4">
        <w:rPr>
          <w:rFonts w:ascii="Times New Roman" w:hAnsi="Times New Roman"/>
          <w:color w:val="000000" w:themeColor="text1"/>
          <w:lang w:val="en-GB"/>
        </w:rPr>
        <w:t>1. Introduction</w:t>
      </w:r>
    </w:p>
    <w:p w14:paraId="445758FC" w14:textId="5113E741" w:rsidR="008F5E18" w:rsidRPr="00393CB4" w:rsidRDefault="00A42E55" w:rsidP="007925D0">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This paper presents the findings of a comparative regional analysis performed as part of a European funded INTEREG </w:t>
      </w:r>
      <w:proofErr w:type="spellStart"/>
      <w:r w:rsidRPr="00393CB4">
        <w:rPr>
          <w:rFonts w:ascii="Times New Roman" w:hAnsi="Times New Roman"/>
          <w:color w:val="000000" w:themeColor="text1"/>
          <w:lang w:val="en-GB"/>
        </w:rPr>
        <w:t>IVa</w:t>
      </w:r>
      <w:proofErr w:type="spellEnd"/>
      <w:r w:rsidRPr="00393CB4">
        <w:rPr>
          <w:rFonts w:ascii="Times New Roman" w:hAnsi="Times New Roman"/>
          <w:color w:val="000000" w:themeColor="text1"/>
          <w:lang w:val="en-GB"/>
        </w:rPr>
        <w:t xml:space="preserve"> project, Channel-MOR</w:t>
      </w:r>
      <w:r w:rsidR="008F5E18" w:rsidRPr="00393CB4">
        <w:rPr>
          <w:rFonts w:ascii="Times New Roman" w:hAnsi="Times New Roman"/>
          <w:color w:val="000000" w:themeColor="text1"/>
          <w:lang w:val="en-GB"/>
        </w:rPr>
        <w:t xml:space="preserve"> (Channel-MOR, 2014)</w:t>
      </w:r>
      <w:r w:rsidRPr="00393CB4">
        <w:rPr>
          <w:rFonts w:ascii="Times New Roman" w:hAnsi="Times New Roman"/>
          <w:color w:val="000000" w:themeColor="text1"/>
          <w:lang w:val="en-GB"/>
        </w:rPr>
        <w:t xml:space="preserve">.  The Channel-MOR project brought together </w:t>
      </w:r>
      <w:r w:rsidR="008F5E18" w:rsidRPr="00393CB4">
        <w:rPr>
          <w:rFonts w:ascii="Times New Roman" w:hAnsi="Times New Roman"/>
          <w:color w:val="000000" w:themeColor="text1"/>
          <w:lang w:val="en-GB"/>
        </w:rPr>
        <w:t>all the project teams</w:t>
      </w:r>
      <w:r w:rsidRPr="00393CB4">
        <w:rPr>
          <w:rFonts w:ascii="Times New Roman" w:hAnsi="Times New Roman"/>
          <w:color w:val="000000" w:themeColor="text1"/>
          <w:lang w:val="en-GB"/>
        </w:rPr>
        <w:t xml:space="preserve"> of </w:t>
      </w:r>
      <w:r w:rsidR="0068457B" w:rsidRPr="00393CB4">
        <w:rPr>
          <w:rFonts w:ascii="Times New Roman" w:hAnsi="Times New Roman"/>
          <w:color w:val="000000" w:themeColor="text1"/>
          <w:lang w:val="en-GB"/>
        </w:rPr>
        <w:t xml:space="preserve">offshore </w:t>
      </w:r>
      <w:r w:rsidR="008F5E18" w:rsidRPr="00393CB4">
        <w:rPr>
          <w:rFonts w:ascii="Times New Roman" w:hAnsi="Times New Roman"/>
          <w:color w:val="000000" w:themeColor="text1"/>
          <w:lang w:val="en-GB"/>
        </w:rPr>
        <w:t xml:space="preserve">renewable energy projects previously </w:t>
      </w:r>
      <w:r w:rsidR="00610D02" w:rsidRPr="00393CB4">
        <w:rPr>
          <w:rFonts w:ascii="Times New Roman" w:hAnsi="Times New Roman"/>
          <w:color w:val="000000" w:themeColor="text1"/>
          <w:lang w:val="en-GB"/>
        </w:rPr>
        <w:t>funded by INTERREG</w:t>
      </w:r>
      <w:r w:rsidR="008F5E18" w:rsidRPr="00393CB4">
        <w:rPr>
          <w:rFonts w:ascii="Times New Roman" w:hAnsi="Times New Roman"/>
          <w:color w:val="000000" w:themeColor="text1"/>
          <w:lang w:val="en-GB"/>
        </w:rPr>
        <w:t xml:space="preserve"> Channel, the European institution promoting and supporting inter-regional collaboration in the Channel area</w:t>
      </w:r>
      <w:r w:rsidR="004066BC" w:rsidRPr="00393CB4">
        <w:rPr>
          <w:rFonts w:ascii="Times New Roman" w:hAnsi="Times New Roman"/>
          <w:color w:val="000000" w:themeColor="text1"/>
          <w:lang w:val="en-GB"/>
        </w:rPr>
        <w:t xml:space="preserve"> between the UK and France</w:t>
      </w:r>
      <w:r w:rsidRPr="00393CB4">
        <w:rPr>
          <w:rFonts w:ascii="Times New Roman" w:hAnsi="Times New Roman"/>
          <w:color w:val="000000" w:themeColor="text1"/>
          <w:lang w:val="en-GB"/>
        </w:rPr>
        <w:t xml:space="preserve">. The objective of the Channel-MOR project </w:t>
      </w:r>
      <w:r w:rsidR="007925D0" w:rsidRPr="00393CB4">
        <w:rPr>
          <w:rFonts w:ascii="Times New Roman" w:hAnsi="Times New Roman"/>
          <w:color w:val="000000" w:themeColor="text1"/>
          <w:lang w:val="en-GB"/>
        </w:rPr>
        <w:t>was</w:t>
      </w:r>
      <w:r w:rsidRPr="00393CB4">
        <w:rPr>
          <w:rFonts w:ascii="Times New Roman" w:hAnsi="Times New Roman"/>
          <w:color w:val="000000" w:themeColor="text1"/>
          <w:lang w:val="en-GB"/>
        </w:rPr>
        <w:t xml:space="preserve"> to provide recommendations </w:t>
      </w:r>
      <w:r w:rsidR="00CE3F4D" w:rsidRPr="00393CB4">
        <w:rPr>
          <w:rFonts w:ascii="Times New Roman" w:hAnsi="Times New Roman"/>
          <w:color w:val="000000" w:themeColor="text1"/>
          <w:lang w:val="en-GB"/>
        </w:rPr>
        <w:t>to member</w:t>
      </w:r>
      <w:r w:rsidR="00B82894" w:rsidRPr="00393CB4">
        <w:rPr>
          <w:rFonts w:ascii="Times New Roman" w:hAnsi="Times New Roman"/>
          <w:color w:val="000000" w:themeColor="text1"/>
          <w:lang w:val="en-GB"/>
        </w:rPr>
        <w:t xml:space="preserve"> regions </w:t>
      </w:r>
      <w:r w:rsidR="00CE3F4D" w:rsidRPr="00393CB4">
        <w:rPr>
          <w:rFonts w:ascii="Times New Roman" w:hAnsi="Times New Roman"/>
          <w:color w:val="000000" w:themeColor="text1"/>
          <w:lang w:val="en-GB"/>
        </w:rPr>
        <w:t xml:space="preserve">so that local businesses </w:t>
      </w:r>
      <w:r w:rsidR="002D6085" w:rsidRPr="00393CB4">
        <w:rPr>
          <w:rFonts w:ascii="Times New Roman" w:hAnsi="Times New Roman"/>
          <w:color w:val="000000" w:themeColor="text1"/>
          <w:lang w:val="en-GB"/>
        </w:rPr>
        <w:t>c</w:t>
      </w:r>
      <w:r w:rsidR="00CE3F4D" w:rsidRPr="00393CB4">
        <w:rPr>
          <w:rFonts w:ascii="Times New Roman" w:hAnsi="Times New Roman"/>
          <w:color w:val="000000" w:themeColor="text1"/>
          <w:lang w:val="en-GB"/>
        </w:rPr>
        <w:t xml:space="preserve">ould </w:t>
      </w:r>
      <w:r w:rsidR="00B82894" w:rsidRPr="00393CB4">
        <w:rPr>
          <w:rFonts w:ascii="Times New Roman" w:hAnsi="Times New Roman"/>
          <w:color w:val="000000" w:themeColor="text1"/>
          <w:lang w:val="en-GB"/>
        </w:rPr>
        <w:t xml:space="preserve">take advantage of </w:t>
      </w:r>
      <w:r w:rsidR="008F5E18" w:rsidRPr="00393CB4">
        <w:rPr>
          <w:rFonts w:ascii="Times New Roman" w:hAnsi="Times New Roman"/>
          <w:color w:val="000000" w:themeColor="text1"/>
          <w:lang w:val="en-GB"/>
        </w:rPr>
        <w:t>Maritime Renewable Energy</w:t>
      </w:r>
      <w:r w:rsidR="00B82894" w:rsidRPr="00393CB4">
        <w:rPr>
          <w:rFonts w:ascii="Times New Roman" w:hAnsi="Times New Roman"/>
          <w:color w:val="000000" w:themeColor="text1"/>
          <w:lang w:val="en-GB"/>
        </w:rPr>
        <w:t xml:space="preserve"> (MRE)</w:t>
      </w:r>
      <w:r w:rsidRPr="00393CB4">
        <w:rPr>
          <w:rFonts w:ascii="Times New Roman" w:hAnsi="Times New Roman"/>
          <w:color w:val="000000" w:themeColor="text1"/>
          <w:lang w:val="en-GB"/>
        </w:rPr>
        <w:t xml:space="preserve"> </w:t>
      </w:r>
      <w:r w:rsidR="008F5E18" w:rsidRPr="00393CB4">
        <w:rPr>
          <w:rFonts w:ascii="Times New Roman" w:hAnsi="Times New Roman"/>
          <w:color w:val="000000" w:themeColor="text1"/>
          <w:lang w:val="en-GB"/>
        </w:rPr>
        <w:t>opportunities</w:t>
      </w:r>
      <w:r w:rsidRPr="00393CB4">
        <w:rPr>
          <w:rFonts w:ascii="Times New Roman" w:hAnsi="Times New Roman"/>
          <w:color w:val="000000" w:themeColor="text1"/>
          <w:lang w:val="en-GB"/>
        </w:rPr>
        <w:t xml:space="preserve">.  </w:t>
      </w:r>
      <w:r w:rsidR="00B82894" w:rsidRPr="00393CB4">
        <w:rPr>
          <w:rFonts w:ascii="Times New Roman" w:hAnsi="Times New Roman"/>
          <w:color w:val="000000" w:themeColor="text1"/>
          <w:lang w:val="en-GB"/>
        </w:rPr>
        <w:t>The MRE technologies that were considered during the project were offshore wind, tidal energy</w:t>
      </w:r>
      <w:r w:rsidR="0068457B" w:rsidRPr="00393CB4">
        <w:rPr>
          <w:rFonts w:ascii="Times New Roman" w:hAnsi="Times New Roman"/>
          <w:color w:val="000000" w:themeColor="text1"/>
          <w:lang w:val="en-GB"/>
        </w:rPr>
        <w:t>,</w:t>
      </w:r>
      <w:r w:rsidR="00B82894" w:rsidRPr="00393CB4">
        <w:rPr>
          <w:rFonts w:ascii="Times New Roman" w:hAnsi="Times New Roman"/>
          <w:color w:val="000000" w:themeColor="text1"/>
          <w:lang w:val="en-GB"/>
        </w:rPr>
        <w:t xml:space="preserve"> and wave energy.  </w:t>
      </w:r>
    </w:p>
    <w:p w14:paraId="65FD9F46" w14:textId="7FE2AE11" w:rsidR="00A42E55" w:rsidRPr="00393CB4" w:rsidRDefault="00A42E55" w:rsidP="007925D0">
      <w:pPr>
        <w:jc w:val="both"/>
        <w:rPr>
          <w:rFonts w:ascii="Times New Roman" w:hAnsi="Times New Roman"/>
          <w:color w:val="000000" w:themeColor="text1"/>
          <w:lang w:val="en-GB"/>
        </w:rPr>
      </w:pPr>
      <w:r w:rsidRPr="00393CB4">
        <w:rPr>
          <w:rFonts w:ascii="Times New Roman" w:hAnsi="Times New Roman"/>
          <w:color w:val="000000" w:themeColor="text1"/>
          <w:lang w:val="en-GB"/>
        </w:rPr>
        <w:t>The Channel Arc Manche region include</w:t>
      </w:r>
      <w:r w:rsidR="00E3481C" w:rsidRPr="00393CB4">
        <w:rPr>
          <w:rFonts w:ascii="Times New Roman" w:hAnsi="Times New Roman"/>
          <w:color w:val="000000" w:themeColor="text1"/>
          <w:lang w:val="en-GB"/>
        </w:rPr>
        <w:t>s</w:t>
      </w:r>
      <w:r w:rsidRPr="00393CB4">
        <w:rPr>
          <w:rFonts w:ascii="Times New Roman" w:hAnsi="Times New Roman"/>
          <w:color w:val="000000" w:themeColor="text1"/>
          <w:lang w:val="en-GB"/>
        </w:rPr>
        <w:t xml:space="preserve"> all coastal Channel regions, from Brittany to Nord-Pas de</w:t>
      </w:r>
      <w:r w:rsidR="002D6085" w:rsidRPr="00393CB4">
        <w:rPr>
          <w:rFonts w:ascii="Times New Roman" w:hAnsi="Times New Roman"/>
          <w:color w:val="000000" w:themeColor="text1"/>
          <w:lang w:val="en-GB"/>
        </w:rPr>
        <w:t>-</w:t>
      </w:r>
      <w:r w:rsidRPr="00393CB4">
        <w:rPr>
          <w:rFonts w:ascii="Times New Roman" w:hAnsi="Times New Roman"/>
          <w:color w:val="000000" w:themeColor="text1"/>
          <w:lang w:val="en-GB"/>
        </w:rPr>
        <w:t xml:space="preserve">Calais on the French coast and from Cornwall to Norfolk on the British coast. </w:t>
      </w:r>
      <w:r w:rsidR="00B82894" w:rsidRPr="00393CB4">
        <w:rPr>
          <w:rFonts w:ascii="Times New Roman" w:hAnsi="Times New Roman"/>
          <w:color w:val="000000" w:themeColor="text1"/>
          <w:lang w:val="en-GB"/>
        </w:rPr>
        <w:t xml:space="preserve">All these regions were invited to partake in the project, which was based on a strategic mapping </w:t>
      </w:r>
      <w:r w:rsidR="007925D0" w:rsidRPr="00393CB4">
        <w:rPr>
          <w:rFonts w:ascii="Times New Roman" w:hAnsi="Times New Roman"/>
          <w:color w:val="000000" w:themeColor="text1"/>
          <w:lang w:val="en-GB"/>
        </w:rPr>
        <w:t>exercise</w:t>
      </w:r>
      <w:r w:rsidR="00B82894" w:rsidRPr="00393CB4">
        <w:rPr>
          <w:rFonts w:ascii="Times New Roman" w:hAnsi="Times New Roman"/>
          <w:color w:val="000000" w:themeColor="text1"/>
          <w:lang w:val="en-GB"/>
        </w:rPr>
        <w:t xml:space="preserve">.  </w:t>
      </w:r>
      <w:r w:rsidR="00CE3F4D" w:rsidRPr="00393CB4">
        <w:rPr>
          <w:rFonts w:ascii="Times New Roman" w:hAnsi="Times New Roman"/>
          <w:color w:val="000000" w:themeColor="text1"/>
          <w:lang w:val="en-GB"/>
        </w:rPr>
        <w:t xml:space="preserve">The </w:t>
      </w:r>
      <w:r w:rsidR="00475C4A" w:rsidRPr="00393CB4">
        <w:rPr>
          <w:rFonts w:ascii="Times New Roman" w:hAnsi="Times New Roman"/>
          <w:color w:val="000000" w:themeColor="text1"/>
          <w:lang w:val="en-GB"/>
        </w:rPr>
        <w:t xml:space="preserve">principle </w:t>
      </w:r>
      <w:r w:rsidR="00CE3F4D" w:rsidRPr="00393CB4">
        <w:rPr>
          <w:rFonts w:ascii="Times New Roman" w:hAnsi="Times New Roman"/>
          <w:color w:val="000000" w:themeColor="text1"/>
          <w:lang w:val="en-GB"/>
        </w:rPr>
        <w:t xml:space="preserve">was </w:t>
      </w:r>
      <w:r w:rsidR="00475C4A" w:rsidRPr="00393CB4">
        <w:rPr>
          <w:rFonts w:ascii="Times New Roman" w:hAnsi="Times New Roman"/>
          <w:color w:val="000000" w:themeColor="text1"/>
          <w:lang w:val="en-GB"/>
        </w:rPr>
        <w:t xml:space="preserve">to ask </w:t>
      </w:r>
      <w:r w:rsidR="00CE3F4D" w:rsidRPr="00393CB4">
        <w:rPr>
          <w:rFonts w:ascii="Times New Roman" w:hAnsi="Times New Roman"/>
          <w:color w:val="000000" w:themeColor="text1"/>
          <w:lang w:val="en-GB"/>
        </w:rPr>
        <w:t xml:space="preserve">participating regions </w:t>
      </w:r>
      <w:r w:rsidR="00475C4A" w:rsidRPr="00393CB4">
        <w:rPr>
          <w:rFonts w:ascii="Times New Roman" w:hAnsi="Times New Roman"/>
          <w:color w:val="000000" w:themeColor="text1"/>
          <w:lang w:val="en-GB"/>
        </w:rPr>
        <w:t>to</w:t>
      </w:r>
      <w:r w:rsidR="00CE3F4D" w:rsidRPr="00393CB4">
        <w:rPr>
          <w:rFonts w:ascii="Times New Roman" w:hAnsi="Times New Roman"/>
          <w:color w:val="000000" w:themeColor="text1"/>
          <w:lang w:val="en-GB"/>
        </w:rPr>
        <w:t xml:space="preserve"> map their strengths, weaknesses, etc. on a comparative map, </w:t>
      </w:r>
      <w:r w:rsidR="00475C4A" w:rsidRPr="00393CB4">
        <w:rPr>
          <w:rFonts w:ascii="Times New Roman" w:hAnsi="Times New Roman"/>
          <w:color w:val="000000" w:themeColor="text1"/>
          <w:lang w:val="en-GB"/>
        </w:rPr>
        <w:t>in order to help them</w:t>
      </w:r>
      <w:r w:rsidR="00C10C16" w:rsidRPr="00393CB4">
        <w:rPr>
          <w:rFonts w:ascii="Times New Roman" w:hAnsi="Times New Roman"/>
          <w:color w:val="000000" w:themeColor="text1"/>
          <w:lang w:val="en-GB"/>
        </w:rPr>
        <w:t xml:space="preserve"> to formulate </w:t>
      </w:r>
      <w:r w:rsidR="0068457B" w:rsidRPr="00393CB4">
        <w:rPr>
          <w:rFonts w:ascii="Times New Roman" w:hAnsi="Times New Roman"/>
          <w:color w:val="000000" w:themeColor="text1"/>
          <w:lang w:val="en-GB"/>
        </w:rPr>
        <w:t>adequate</w:t>
      </w:r>
      <w:r w:rsidR="00CE3F4D" w:rsidRPr="00393CB4">
        <w:rPr>
          <w:rFonts w:ascii="Times New Roman" w:hAnsi="Times New Roman"/>
          <w:color w:val="000000" w:themeColor="text1"/>
          <w:lang w:val="en-GB"/>
        </w:rPr>
        <w:t xml:space="preserve"> strategic </w:t>
      </w:r>
      <w:r w:rsidR="00C10C16" w:rsidRPr="00393CB4">
        <w:rPr>
          <w:rFonts w:ascii="Times New Roman" w:hAnsi="Times New Roman"/>
          <w:color w:val="000000" w:themeColor="text1"/>
          <w:lang w:val="en-GB"/>
        </w:rPr>
        <w:t>plans</w:t>
      </w:r>
      <w:r w:rsidR="00CE3F4D" w:rsidRPr="00393CB4">
        <w:rPr>
          <w:rFonts w:ascii="Times New Roman" w:hAnsi="Times New Roman"/>
          <w:color w:val="000000" w:themeColor="text1"/>
          <w:lang w:val="en-GB"/>
        </w:rPr>
        <w:t xml:space="preserve"> </w:t>
      </w:r>
      <w:r w:rsidR="00C10C16" w:rsidRPr="00393CB4">
        <w:rPr>
          <w:rFonts w:ascii="Times New Roman" w:hAnsi="Times New Roman"/>
          <w:color w:val="000000" w:themeColor="text1"/>
          <w:lang w:val="en-GB"/>
        </w:rPr>
        <w:t xml:space="preserve">and to identify </w:t>
      </w:r>
      <w:r w:rsidR="00CE3F4D" w:rsidRPr="00393CB4">
        <w:rPr>
          <w:rFonts w:ascii="Times New Roman" w:hAnsi="Times New Roman"/>
          <w:color w:val="000000" w:themeColor="text1"/>
          <w:lang w:val="en-GB"/>
        </w:rPr>
        <w:t xml:space="preserve">opportunities for collaboration.  </w:t>
      </w:r>
      <w:r w:rsidR="00B82894" w:rsidRPr="00393CB4">
        <w:rPr>
          <w:rFonts w:ascii="Times New Roman" w:hAnsi="Times New Roman"/>
          <w:color w:val="000000" w:themeColor="text1"/>
          <w:lang w:val="en-GB"/>
        </w:rPr>
        <w:t>From this perspective, the Channel-MOR project was a</w:t>
      </w:r>
      <w:r w:rsidR="004066BC" w:rsidRPr="00393CB4">
        <w:rPr>
          <w:rFonts w:ascii="Times New Roman" w:hAnsi="Times New Roman"/>
          <w:color w:val="000000" w:themeColor="text1"/>
          <w:lang w:val="en-GB"/>
        </w:rPr>
        <w:t>n</w:t>
      </w:r>
      <w:r w:rsidR="00B82894" w:rsidRPr="00393CB4">
        <w:rPr>
          <w:rFonts w:ascii="Times New Roman" w:hAnsi="Times New Roman"/>
          <w:color w:val="000000" w:themeColor="text1"/>
          <w:lang w:val="en-GB"/>
        </w:rPr>
        <w:t xml:space="preserve"> applied research project</w:t>
      </w:r>
      <w:r w:rsidR="00CE3F4D" w:rsidRPr="00393CB4">
        <w:rPr>
          <w:rFonts w:ascii="Times New Roman" w:hAnsi="Times New Roman"/>
          <w:color w:val="000000" w:themeColor="text1"/>
          <w:lang w:val="en-GB"/>
        </w:rPr>
        <w:t>.  Despite improving this mapping exercise by deploying operational research methods, surprising</w:t>
      </w:r>
      <w:r w:rsidR="00674E85" w:rsidRPr="00393CB4">
        <w:rPr>
          <w:rFonts w:ascii="Times New Roman" w:hAnsi="Times New Roman"/>
          <w:color w:val="000000" w:themeColor="text1"/>
          <w:lang w:val="en-GB"/>
        </w:rPr>
        <w:t xml:space="preserve"> and unintended</w:t>
      </w:r>
      <w:r w:rsidR="00CE3F4D" w:rsidRPr="00393CB4">
        <w:rPr>
          <w:rFonts w:ascii="Times New Roman" w:hAnsi="Times New Roman"/>
          <w:color w:val="000000" w:themeColor="text1"/>
          <w:lang w:val="en-GB"/>
        </w:rPr>
        <w:t xml:space="preserve"> findings emerged.  </w:t>
      </w:r>
      <w:r w:rsidR="00674E85" w:rsidRPr="00393CB4">
        <w:rPr>
          <w:rFonts w:ascii="Times New Roman" w:hAnsi="Times New Roman"/>
          <w:color w:val="000000" w:themeColor="text1"/>
          <w:lang w:val="en-GB"/>
        </w:rPr>
        <w:t>In the</w:t>
      </w:r>
      <w:r w:rsidR="00CE3F4D" w:rsidRPr="00393CB4">
        <w:rPr>
          <w:rFonts w:ascii="Times New Roman" w:hAnsi="Times New Roman"/>
          <w:color w:val="000000" w:themeColor="text1"/>
          <w:lang w:val="en-GB"/>
        </w:rPr>
        <w:t xml:space="preserve"> strategic mapping exercise</w:t>
      </w:r>
      <w:r w:rsidR="00674E85" w:rsidRPr="00393CB4">
        <w:rPr>
          <w:rFonts w:ascii="Times New Roman" w:hAnsi="Times New Roman"/>
          <w:color w:val="000000" w:themeColor="text1"/>
          <w:lang w:val="en-GB"/>
        </w:rPr>
        <w:t>,</w:t>
      </w:r>
      <w:r w:rsidR="00CE3F4D" w:rsidRPr="00393CB4">
        <w:rPr>
          <w:rFonts w:ascii="Times New Roman" w:hAnsi="Times New Roman"/>
          <w:color w:val="000000" w:themeColor="text1"/>
          <w:lang w:val="en-GB"/>
        </w:rPr>
        <w:t xml:space="preserve"> </w:t>
      </w:r>
      <w:r w:rsidR="00674E85" w:rsidRPr="00393CB4">
        <w:rPr>
          <w:rFonts w:ascii="Times New Roman" w:hAnsi="Times New Roman"/>
          <w:color w:val="000000" w:themeColor="text1"/>
          <w:lang w:val="en-GB"/>
        </w:rPr>
        <w:t xml:space="preserve">most regional stakeholders wanted to portray their regions as being in strong strategic positions, a participation bias that we explain through </w:t>
      </w:r>
      <w:r w:rsidR="00281603" w:rsidRPr="00393CB4">
        <w:rPr>
          <w:rFonts w:ascii="Times New Roman" w:hAnsi="Times New Roman"/>
          <w:color w:val="000000" w:themeColor="text1"/>
          <w:lang w:val="en-GB"/>
        </w:rPr>
        <w:t xml:space="preserve">the concept </w:t>
      </w:r>
      <w:r w:rsidR="00674E85" w:rsidRPr="00393CB4">
        <w:rPr>
          <w:rFonts w:ascii="Times New Roman" w:hAnsi="Times New Roman"/>
          <w:color w:val="000000" w:themeColor="text1"/>
          <w:lang w:val="en-GB"/>
        </w:rPr>
        <w:t>of idealisation</w:t>
      </w:r>
      <w:r w:rsidR="00281603" w:rsidRPr="00393CB4">
        <w:rPr>
          <w:rFonts w:ascii="Times New Roman" w:hAnsi="Times New Roman"/>
          <w:color w:val="000000" w:themeColor="text1"/>
          <w:lang w:val="en-GB"/>
        </w:rPr>
        <w:t>, a psychological defence process</w:t>
      </w:r>
      <w:r w:rsidR="00674E85" w:rsidRPr="00393CB4">
        <w:rPr>
          <w:rFonts w:ascii="Times New Roman" w:hAnsi="Times New Roman"/>
          <w:color w:val="000000" w:themeColor="text1"/>
          <w:lang w:val="en-GB"/>
        </w:rPr>
        <w:t>.  Idealising one’s strategic position is a</w:t>
      </w:r>
      <w:r w:rsidR="0068457B" w:rsidRPr="00393CB4">
        <w:rPr>
          <w:rFonts w:ascii="Times New Roman" w:hAnsi="Times New Roman"/>
          <w:color w:val="000000" w:themeColor="text1"/>
          <w:lang w:val="en-GB"/>
        </w:rPr>
        <w:t xml:space="preserve">n </w:t>
      </w:r>
      <w:r w:rsidR="00674E85" w:rsidRPr="00393CB4">
        <w:rPr>
          <w:rFonts w:ascii="Times New Roman" w:hAnsi="Times New Roman"/>
          <w:color w:val="000000" w:themeColor="text1"/>
          <w:lang w:val="en-GB"/>
        </w:rPr>
        <w:t>issue as it undermines the feasibility and plausibility of subsequent strategic plans.</w:t>
      </w:r>
    </w:p>
    <w:p w14:paraId="4DD43791" w14:textId="5B1786ED" w:rsidR="00674E85" w:rsidRPr="00393CB4" w:rsidRDefault="00674E85" w:rsidP="007925D0">
      <w:pPr>
        <w:jc w:val="both"/>
        <w:rPr>
          <w:rFonts w:ascii="Times New Roman" w:hAnsi="Times New Roman"/>
          <w:color w:val="000000" w:themeColor="text1"/>
          <w:lang w:val="en-GB"/>
        </w:rPr>
      </w:pPr>
      <w:r w:rsidRPr="00393CB4">
        <w:rPr>
          <w:rFonts w:ascii="Times New Roman" w:hAnsi="Times New Roman"/>
          <w:color w:val="000000" w:themeColor="text1"/>
          <w:lang w:val="en-GB"/>
        </w:rPr>
        <w:t>Idealisation in the Channel-MOR project raised a new set of research questions</w:t>
      </w:r>
      <w:r w:rsidR="00281603" w:rsidRPr="00393CB4">
        <w:rPr>
          <w:rFonts w:ascii="Times New Roman" w:hAnsi="Times New Roman"/>
          <w:color w:val="000000" w:themeColor="text1"/>
          <w:lang w:val="en-GB"/>
        </w:rPr>
        <w:t>, and the objectives of this paper is to answer them</w:t>
      </w:r>
      <w:r w:rsidRPr="00393CB4">
        <w:rPr>
          <w:rFonts w:ascii="Times New Roman" w:hAnsi="Times New Roman"/>
          <w:color w:val="000000" w:themeColor="text1"/>
          <w:lang w:val="en-GB"/>
        </w:rPr>
        <w:t xml:space="preserve">: How can we explain the prevalence of idealisation </w:t>
      </w:r>
      <w:r w:rsidR="00B1535A" w:rsidRPr="00393CB4">
        <w:rPr>
          <w:rFonts w:ascii="Times New Roman" w:hAnsi="Times New Roman"/>
          <w:color w:val="000000" w:themeColor="text1"/>
          <w:lang w:val="en-GB"/>
        </w:rPr>
        <w:t xml:space="preserve">amongst regional </w:t>
      </w:r>
      <w:r w:rsidR="00B1535A" w:rsidRPr="00393CB4">
        <w:rPr>
          <w:rFonts w:ascii="Times New Roman" w:hAnsi="Times New Roman"/>
          <w:color w:val="000000" w:themeColor="text1"/>
          <w:lang w:val="en-GB"/>
        </w:rPr>
        <w:lastRenderedPageBreak/>
        <w:t xml:space="preserve">stakeholders?  What are the consequences of idealisation on regional strategic planning </w:t>
      </w:r>
      <w:r w:rsidR="002D6085" w:rsidRPr="00393CB4">
        <w:rPr>
          <w:rFonts w:ascii="Times New Roman" w:hAnsi="Times New Roman"/>
          <w:color w:val="000000" w:themeColor="text1"/>
          <w:lang w:val="en-GB"/>
        </w:rPr>
        <w:t>of energy transitions</w:t>
      </w:r>
      <w:r w:rsidR="00B1535A" w:rsidRPr="00393CB4">
        <w:rPr>
          <w:rFonts w:ascii="Times New Roman" w:hAnsi="Times New Roman"/>
          <w:color w:val="000000" w:themeColor="text1"/>
          <w:lang w:val="en-GB"/>
        </w:rPr>
        <w:t>?</w:t>
      </w:r>
      <w:r w:rsidR="00C10C16" w:rsidRPr="00393CB4">
        <w:rPr>
          <w:rFonts w:ascii="Times New Roman" w:hAnsi="Times New Roman"/>
          <w:color w:val="000000" w:themeColor="text1"/>
          <w:lang w:val="en-GB"/>
        </w:rPr>
        <w:t xml:space="preserve">  </w:t>
      </w:r>
      <w:r w:rsidR="002D6085" w:rsidRPr="00393CB4">
        <w:rPr>
          <w:rFonts w:ascii="Times New Roman" w:hAnsi="Times New Roman"/>
          <w:color w:val="000000" w:themeColor="text1"/>
          <w:lang w:val="en-GB"/>
        </w:rPr>
        <w:t>In the rest of this paper, the d</w:t>
      </w:r>
      <w:r w:rsidR="00C10C16" w:rsidRPr="00393CB4">
        <w:rPr>
          <w:rFonts w:ascii="Times New Roman" w:hAnsi="Times New Roman"/>
          <w:color w:val="000000" w:themeColor="text1"/>
          <w:lang w:val="en-GB"/>
        </w:rPr>
        <w:t xml:space="preserve">ecision makers </w:t>
      </w:r>
      <w:r w:rsidR="002D6085" w:rsidRPr="00393CB4">
        <w:rPr>
          <w:rFonts w:ascii="Times New Roman" w:hAnsi="Times New Roman"/>
          <w:color w:val="000000" w:themeColor="text1"/>
          <w:lang w:val="en-GB"/>
        </w:rPr>
        <w:t xml:space="preserve">that play a key role in local energy transitions </w:t>
      </w:r>
      <w:r w:rsidR="00C10C16" w:rsidRPr="00393CB4">
        <w:rPr>
          <w:rFonts w:ascii="Times New Roman" w:hAnsi="Times New Roman"/>
          <w:color w:val="000000" w:themeColor="text1"/>
          <w:lang w:val="en-GB"/>
        </w:rPr>
        <w:t xml:space="preserve">are referred to as ‘regional stakeholders’.  They can be any regional organisation that gets involved in the process of planning for participation in offshore renewable energy initiatives and include regional authorities (councils in the UK and </w:t>
      </w:r>
      <w:proofErr w:type="spellStart"/>
      <w:r w:rsidR="00C10C16" w:rsidRPr="00393CB4">
        <w:rPr>
          <w:rFonts w:ascii="Times New Roman" w:hAnsi="Times New Roman"/>
          <w:i/>
          <w:color w:val="000000" w:themeColor="text1"/>
          <w:lang w:val="en-GB"/>
        </w:rPr>
        <w:t>régions</w:t>
      </w:r>
      <w:proofErr w:type="spellEnd"/>
      <w:r w:rsidR="00C10C16" w:rsidRPr="00393CB4">
        <w:rPr>
          <w:rFonts w:ascii="Times New Roman" w:hAnsi="Times New Roman"/>
          <w:color w:val="000000" w:themeColor="text1"/>
          <w:lang w:val="en-GB"/>
        </w:rPr>
        <w:t xml:space="preserve"> in France), </w:t>
      </w:r>
      <w:r w:rsidR="00281603" w:rsidRPr="00393CB4">
        <w:rPr>
          <w:rFonts w:ascii="Times New Roman" w:hAnsi="Times New Roman"/>
          <w:color w:val="000000" w:themeColor="text1"/>
          <w:lang w:val="en-GB"/>
        </w:rPr>
        <w:t xml:space="preserve">public and private sector actors, </w:t>
      </w:r>
      <w:r w:rsidR="00C10C16" w:rsidRPr="00393CB4">
        <w:rPr>
          <w:rFonts w:ascii="Times New Roman" w:hAnsi="Times New Roman"/>
          <w:color w:val="000000" w:themeColor="text1"/>
          <w:lang w:val="en-GB"/>
        </w:rPr>
        <w:t>universities, interest groups</w:t>
      </w:r>
      <w:r w:rsidR="00281603" w:rsidRPr="00393CB4">
        <w:rPr>
          <w:rFonts w:ascii="Times New Roman" w:hAnsi="Times New Roman"/>
          <w:color w:val="000000" w:themeColor="text1"/>
          <w:lang w:val="en-GB"/>
        </w:rPr>
        <w:t xml:space="preserve">, </w:t>
      </w:r>
      <w:r w:rsidR="00C10C16" w:rsidRPr="00393CB4">
        <w:rPr>
          <w:rFonts w:ascii="Times New Roman" w:hAnsi="Times New Roman"/>
          <w:color w:val="000000" w:themeColor="text1"/>
          <w:lang w:val="en-GB"/>
        </w:rPr>
        <w:t>associations, etc.</w:t>
      </w:r>
    </w:p>
    <w:p w14:paraId="6164882C" w14:textId="511F615F" w:rsidR="00C10C16" w:rsidRPr="00393CB4" w:rsidRDefault="007C5308" w:rsidP="007925D0">
      <w:pPr>
        <w:jc w:val="both"/>
        <w:rPr>
          <w:rFonts w:ascii="Times New Roman" w:hAnsi="Times New Roman"/>
          <w:color w:val="000000" w:themeColor="text1"/>
          <w:lang w:val="en-GB"/>
        </w:rPr>
      </w:pPr>
      <w:r w:rsidRPr="00393CB4">
        <w:rPr>
          <w:rFonts w:ascii="Times New Roman" w:hAnsi="Times New Roman"/>
          <w:color w:val="000000" w:themeColor="text1"/>
          <w:lang w:val="en-GB"/>
        </w:rPr>
        <w:t>This paper is organised as follows.  In the second section below</w:t>
      </w:r>
      <w:r w:rsidR="00B1535A" w:rsidRPr="00393CB4">
        <w:rPr>
          <w:rFonts w:ascii="Times New Roman" w:hAnsi="Times New Roman"/>
          <w:color w:val="000000" w:themeColor="text1"/>
          <w:lang w:val="en-GB"/>
        </w:rPr>
        <w:t xml:space="preserve">, we </w:t>
      </w:r>
      <w:r w:rsidRPr="00393CB4">
        <w:rPr>
          <w:rFonts w:ascii="Times New Roman" w:hAnsi="Times New Roman"/>
          <w:color w:val="000000" w:themeColor="text1"/>
          <w:lang w:val="en-GB"/>
        </w:rPr>
        <w:t>describe idealisation theoretically as a psychological defence but also from the perspective of the behavioural theory of the firm</w:t>
      </w:r>
      <w:r w:rsidR="00B1535A" w:rsidRPr="00393CB4">
        <w:rPr>
          <w:rFonts w:ascii="Times New Roman" w:hAnsi="Times New Roman"/>
          <w:color w:val="000000" w:themeColor="text1"/>
          <w:lang w:val="en-GB"/>
        </w:rPr>
        <w:t xml:space="preserve">.  </w:t>
      </w:r>
      <w:r w:rsidRPr="00393CB4">
        <w:rPr>
          <w:rFonts w:ascii="Times New Roman" w:hAnsi="Times New Roman"/>
          <w:color w:val="000000" w:themeColor="text1"/>
          <w:lang w:val="en-GB"/>
        </w:rPr>
        <w:t xml:space="preserve">The third part describes the case study methodology </w:t>
      </w:r>
      <w:r w:rsidR="009C102A" w:rsidRPr="00393CB4">
        <w:rPr>
          <w:rFonts w:ascii="Times New Roman" w:hAnsi="Times New Roman"/>
          <w:color w:val="000000" w:themeColor="text1"/>
          <w:lang w:val="en-GB"/>
        </w:rPr>
        <w:t>which</w:t>
      </w:r>
      <w:r w:rsidRPr="00393CB4">
        <w:rPr>
          <w:rFonts w:ascii="Times New Roman" w:hAnsi="Times New Roman"/>
          <w:color w:val="000000" w:themeColor="text1"/>
          <w:lang w:val="en-GB"/>
        </w:rPr>
        <w:t xml:space="preserve"> is used to causally explain idealisation and to explore its consequences.  The fourth section starts by presenting background information and the results of the Channel-MOR project before proceeding t</w:t>
      </w:r>
      <w:r w:rsidR="006F69A9" w:rsidRPr="00393CB4">
        <w:rPr>
          <w:rFonts w:ascii="Times New Roman" w:hAnsi="Times New Roman"/>
          <w:color w:val="000000" w:themeColor="text1"/>
          <w:lang w:val="en-GB"/>
        </w:rPr>
        <w:t>o the analysis of the case studies</w:t>
      </w:r>
      <w:r w:rsidRPr="00393CB4">
        <w:rPr>
          <w:rFonts w:ascii="Times New Roman" w:hAnsi="Times New Roman"/>
          <w:color w:val="000000" w:themeColor="text1"/>
          <w:lang w:val="en-GB"/>
        </w:rPr>
        <w:t xml:space="preserve">.  </w:t>
      </w:r>
    </w:p>
    <w:p w14:paraId="2BB17A53" w14:textId="7E9BA44C" w:rsidR="00F16A5F" w:rsidRPr="00393CB4" w:rsidRDefault="007C5308" w:rsidP="002263AD">
      <w:pPr>
        <w:pStyle w:val="Heading1"/>
        <w:rPr>
          <w:rFonts w:ascii="Times New Roman" w:hAnsi="Times New Roman"/>
          <w:color w:val="000000" w:themeColor="text1"/>
          <w:lang w:val="en-GB"/>
        </w:rPr>
      </w:pPr>
      <w:r w:rsidRPr="00393CB4">
        <w:rPr>
          <w:rFonts w:ascii="Times New Roman" w:hAnsi="Times New Roman"/>
          <w:color w:val="000000" w:themeColor="text1"/>
          <w:lang w:val="en-GB"/>
        </w:rPr>
        <w:t>2</w:t>
      </w:r>
      <w:r w:rsidR="00F16A5F" w:rsidRPr="00393CB4">
        <w:rPr>
          <w:rFonts w:ascii="Times New Roman" w:hAnsi="Times New Roman"/>
          <w:color w:val="000000" w:themeColor="text1"/>
          <w:lang w:val="en-GB"/>
        </w:rPr>
        <w:t>. Theory</w:t>
      </w:r>
    </w:p>
    <w:p w14:paraId="2710FBF5" w14:textId="6464D7A4" w:rsidR="008D2FE2" w:rsidRPr="00393CB4" w:rsidRDefault="000225DD" w:rsidP="007737BF">
      <w:pPr>
        <w:jc w:val="both"/>
        <w:rPr>
          <w:rFonts w:ascii="Times New Roman" w:hAnsi="Times New Roman"/>
          <w:color w:val="000000" w:themeColor="text1"/>
          <w:lang w:val="en-GB"/>
        </w:rPr>
      </w:pPr>
      <w:r w:rsidRPr="00393CB4">
        <w:rPr>
          <w:rFonts w:ascii="Times New Roman" w:hAnsi="Times New Roman"/>
          <w:color w:val="000000" w:themeColor="text1"/>
          <w:lang w:val="en-GB"/>
        </w:rPr>
        <w:t>I</w:t>
      </w:r>
      <w:r w:rsidR="00971323" w:rsidRPr="00393CB4">
        <w:rPr>
          <w:rFonts w:ascii="Times New Roman" w:hAnsi="Times New Roman"/>
          <w:color w:val="000000" w:themeColor="text1"/>
          <w:lang w:val="en-GB"/>
        </w:rPr>
        <w:t>dealisation</w:t>
      </w:r>
      <w:r w:rsidRPr="00393CB4">
        <w:rPr>
          <w:rFonts w:ascii="Times New Roman" w:hAnsi="Times New Roman"/>
          <w:color w:val="000000" w:themeColor="text1"/>
          <w:lang w:val="en-GB"/>
        </w:rPr>
        <w:t xml:space="preserve"> is </w:t>
      </w:r>
      <w:r w:rsidR="00971323" w:rsidRPr="00393CB4">
        <w:rPr>
          <w:rFonts w:ascii="Times New Roman" w:hAnsi="Times New Roman"/>
          <w:color w:val="000000" w:themeColor="text1"/>
          <w:lang w:val="en-GB"/>
        </w:rPr>
        <w:t xml:space="preserve">the process of over-valuing and augmenting a </w:t>
      </w:r>
      <w:r w:rsidR="00463F96" w:rsidRPr="00393CB4">
        <w:rPr>
          <w:rFonts w:ascii="Times New Roman" w:hAnsi="Times New Roman"/>
          <w:color w:val="000000" w:themeColor="text1"/>
          <w:lang w:val="en-GB"/>
        </w:rPr>
        <w:t>concept</w:t>
      </w:r>
      <w:r w:rsidR="00971323" w:rsidRPr="00393CB4">
        <w:rPr>
          <w:rFonts w:ascii="Times New Roman" w:hAnsi="Times New Roman"/>
          <w:color w:val="000000" w:themeColor="text1"/>
          <w:lang w:val="en-GB"/>
        </w:rPr>
        <w:t xml:space="preserve"> or idea to the extent that it cannot possibly be challenged (Brown and Starkey, 2000).  </w:t>
      </w:r>
      <w:r w:rsidR="003B6A67" w:rsidRPr="00393CB4">
        <w:rPr>
          <w:rFonts w:ascii="Times New Roman" w:hAnsi="Times New Roman"/>
          <w:color w:val="000000" w:themeColor="text1"/>
          <w:lang w:val="en-GB"/>
        </w:rPr>
        <w:t>Idealisation is a psychological defence (Brown and Starkey, 2000)</w:t>
      </w:r>
      <w:r w:rsidR="0016589B" w:rsidRPr="00393CB4">
        <w:rPr>
          <w:rFonts w:ascii="Times New Roman" w:hAnsi="Times New Roman"/>
          <w:color w:val="000000" w:themeColor="text1"/>
          <w:lang w:val="en-GB"/>
        </w:rPr>
        <w:t>:  w</w:t>
      </w:r>
      <w:r w:rsidR="008D2FE2" w:rsidRPr="00393CB4">
        <w:rPr>
          <w:rFonts w:ascii="Times New Roman" w:hAnsi="Times New Roman"/>
          <w:color w:val="000000" w:themeColor="text1"/>
          <w:lang w:val="en-GB"/>
        </w:rPr>
        <w:t xml:space="preserve">hen presented with evidence </w:t>
      </w:r>
      <w:r w:rsidR="0016589B" w:rsidRPr="00393CB4">
        <w:rPr>
          <w:rFonts w:ascii="Times New Roman" w:hAnsi="Times New Roman"/>
          <w:color w:val="000000" w:themeColor="text1"/>
          <w:lang w:val="en-GB"/>
        </w:rPr>
        <w:t>that an idea is flawed</w:t>
      </w:r>
      <w:r w:rsidR="008D2FE2" w:rsidRPr="00393CB4">
        <w:rPr>
          <w:rFonts w:ascii="Times New Roman" w:hAnsi="Times New Roman"/>
          <w:color w:val="000000" w:themeColor="text1"/>
          <w:lang w:val="en-GB"/>
        </w:rPr>
        <w:t xml:space="preserve">, participants </w:t>
      </w:r>
      <w:r w:rsidR="0016589B" w:rsidRPr="00393CB4">
        <w:rPr>
          <w:rFonts w:ascii="Times New Roman" w:hAnsi="Times New Roman"/>
          <w:color w:val="000000" w:themeColor="text1"/>
          <w:lang w:val="en-GB"/>
        </w:rPr>
        <w:t xml:space="preserve">will </w:t>
      </w:r>
      <w:r w:rsidR="008D2FE2" w:rsidRPr="00393CB4">
        <w:rPr>
          <w:rFonts w:ascii="Times New Roman" w:hAnsi="Times New Roman"/>
          <w:color w:val="000000" w:themeColor="text1"/>
          <w:lang w:val="en-GB"/>
        </w:rPr>
        <w:t>re</w:t>
      </w:r>
      <w:r w:rsidR="0016589B" w:rsidRPr="00393CB4">
        <w:rPr>
          <w:rFonts w:ascii="Times New Roman" w:hAnsi="Times New Roman"/>
          <w:color w:val="000000" w:themeColor="text1"/>
          <w:lang w:val="en-GB"/>
        </w:rPr>
        <w:t>ject this evidence as they do not want to or cannot bear with the consequence of accepting the flaw or its consequences.  In the Channel-MOR case study, participants r</w:t>
      </w:r>
      <w:r w:rsidR="008D2FE2" w:rsidRPr="00393CB4">
        <w:rPr>
          <w:rFonts w:ascii="Times New Roman" w:hAnsi="Times New Roman"/>
          <w:color w:val="000000" w:themeColor="text1"/>
          <w:lang w:val="en-GB"/>
        </w:rPr>
        <w:t>efused to accept a description of MRE opportunities other than the official government or international organisation positions, or the positions that created their mandates.  Idealisation thus brings a</w:t>
      </w:r>
      <w:r w:rsidR="003B6A67" w:rsidRPr="00393CB4">
        <w:rPr>
          <w:rFonts w:ascii="Times New Roman" w:hAnsi="Times New Roman"/>
          <w:color w:val="000000" w:themeColor="text1"/>
          <w:lang w:val="en-GB"/>
        </w:rPr>
        <w:t xml:space="preserve"> behavioural </w:t>
      </w:r>
      <w:r w:rsidR="008D2FE2" w:rsidRPr="00393CB4">
        <w:rPr>
          <w:rFonts w:ascii="Times New Roman" w:hAnsi="Times New Roman"/>
          <w:color w:val="000000" w:themeColor="text1"/>
          <w:lang w:val="en-GB"/>
        </w:rPr>
        <w:t>bias</w:t>
      </w:r>
      <w:r w:rsidR="003B6A67" w:rsidRPr="00393CB4">
        <w:rPr>
          <w:rFonts w:ascii="Times New Roman" w:hAnsi="Times New Roman"/>
          <w:color w:val="000000" w:themeColor="text1"/>
          <w:lang w:val="en-GB"/>
        </w:rPr>
        <w:t xml:space="preserve"> </w:t>
      </w:r>
      <w:r w:rsidR="008D2FE2" w:rsidRPr="00393CB4">
        <w:rPr>
          <w:rFonts w:ascii="Times New Roman" w:hAnsi="Times New Roman"/>
          <w:color w:val="000000" w:themeColor="text1"/>
          <w:lang w:val="en-GB"/>
        </w:rPr>
        <w:t>in</w:t>
      </w:r>
      <w:r w:rsidR="003B6A67" w:rsidRPr="00393CB4">
        <w:rPr>
          <w:rFonts w:ascii="Times New Roman" w:hAnsi="Times New Roman"/>
          <w:color w:val="000000" w:themeColor="text1"/>
          <w:lang w:val="en-GB"/>
        </w:rPr>
        <w:t xml:space="preserve"> </w:t>
      </w:r>
      <w:r w:rsidR="0016589B" w:rsidRPr="00393CB4">
        <w:rPr>
          <w:rFonts w:ascii="Times New Roman" w:hAnsi="Times New Roman"/>
          <w:color w:val="000000" w:themeColor="text1"/>
          <w:lang w:val="en-GB"/>
        </w:rPr>
        <w:t>decision-making</w:t>
      </w:r>
      <w:r w:rsidR="003B6A67" w:rsidRPr="00393CB4">
        <w:rPr>
          <w:rFonts w:ascii="Times New Roman" w:hAnsi="Times New Roman"/>
          <w:color w:val="000000" w:themeColor="text1"/>
          <w:lang w:val="en-GB"/>
        </w:rPr>
        <w:t xml:space="preserve">.  For this reason, we propose to explore </w:t>
      </w:r>
      <w:r w:rsidR="00145B04" w:rsidRPr="00393CB4">
        <w:rPr>
          <w:rFonts w:ascii="Times New Roman" w:hAnsi="Times New Roman"/>
          <w:color w:val="000000" w:themeColor="text1"/>
          <w:lang w:val="en-GB"/>
        </w:rPr>
        <w:t>th</w:t>
      </w:r>
      <w:r w:rsidR="008D2FE2" w:rsidRPr="00393CB4">
        <w:rPr>
          <w:rFonts w:ascii="Times New Roman" w:hAnsi="Times New Roman"/>
          <w:color w:val="000000" w:themeColor="text1"/>
          <w:lang w:val="en-GB"/>
        </w:rPr>
        <w:t>e</w:t>
      </w:r>
      <w:r w:rsidR="00145B04" w:rsidRPr="00393CB4">
        <w:rPr>
          <w:rFonts w:ascii="Times New Roman" w:hAnsi="Times New Roman"/>
          <w:color w:val="000000" w:themeColor="text1"/>
          <w:lang w:val="en-GB"/>
        </w:rPr>
        <w:t xml:space="preserve"> paper</w:t>
      </w:r>
      <w:r w:rsidR="008D2FE2" w:rsidRPr="00393CB4">
        <w:rPr>
          <w:rFonts w:ascii="Times New Roman" w:hAnsi="Times New Roman"/>
          <w:color w:val="000000" w:themeColor="text1"/>
          <w:lang w:val="en-GB"/>
        </w:rPr>
        <w:t>’s</w:t>
      </w:r>
      <w:r w:rsidR="00145B04" w:rsidRPr="00393CB4">
        <w:rPr>
          <w:rFonts w:ascii="Times New Roman" w:hAnsi="Times New Roman"/>
          <w:color w:val="000000" w:themeColor="text1"/>
          <w:lang w:val="en-GB"/>
        </w:rPr>
        <w:t xml:space="preserve"> research question about the prevalence of idealisation in the Channel-MOR project from the perspective of the behavioural theory of the firm (</w:t>
      </w:r>
      <w:proofErr w:type="spellStart"/>
      <w:r w:rsidR="00145B04" w:rsidRPr="00393CB4">
        <w:rPr>
          <w:rFonts w:ascii="Times New Roman" w:hAnsi="Times New Roman"/>
          <w:color w:val="000000" w:themeColor="text1"/>
          <w:lang w:val="en-GB"/>
        </w:rPr>
        <w:t>Cyert</w:t>
      </w:r>
      <w:proofErr w:type="spellEnd"/>
      <w:r w:rsidR="00145B04" w:rsidRPr="00393CB4">
        <w:rPr>
          <w:rFonts w:ascii="Times New Roman" w:hAnsi="Times New Roman"/>
          <w:color w:val="000000" w:themeColor="text1"/>
          <w:lang w:val="en-GB"/>
        </w:rPr>
        <w:t xml:space="preserve"> and </w:t>
      </w:r>
      <w:r w:rsidR="00155E2D" w:rsidRPr="00393CB4">
        <w:rPr>
          <w:rFonts w:ascii="Times New Roman" w:hAnsi="Times New Roman"/>
          <w:color w:val="000000" w:themeColor="text1"/>
          <w:lang w:val="en-GB"/>
        </w:rPr>
        <w:t>M</w:t>
      </w:r>
      <w:r w:rsidR="00145B04" w:rsidRPr="00393CB4">
        <w:rPr>
          <w:rFonts w:ascii="Times New Roman" w:hAnsi="Times New Roman"/>
          <w:color w:val="000000" w:themeColor="text1"/>
          <w:lang w:val="en-GB"/>
        </w:rPr>
        <w:t xml:space="preserve">arch, 1963).  </w:t>
      </w:r>
      <w:r w:rsidR="0016589B" w:rsidRPr="00393CB4">
        <w:rPr>
          <w:rFonts w:ascii="Times New Roman" w:hAnsi="Times New Roman"/>
          <w:color w:val="000000" w:themeColor="text1"/>
          <w:lang w:val="en-GB"/>
        </w:rPr>
        <w:t xml:space="preserve">The behavioural theory of the firm challenges the notion that managers aim to maximise shareholders’ wealth as they find themselves in complex and ambiguous decisional contexts.  Instead of rationally maximising the value of the firm, managers </w:t>
      </w:r>
      <w:r w:rsidR="00CE72D9" w:rsidRPr="00393CB4">
        <w:rPr>
          <w:rFonts w:ascii="Times New Roman" w:hAnsi="Times New Roman"/>
          <w:color w:val="000000" w:themeColor="text1"/>
          <w:lang w:val="en-GB"/>
        </w:rPr>
        <w:t>look for ways to improve the value of the firm in a fashion akin to adap</w:t>
      </w:r>
      <w:r w:rsidR="007B3382" w:rsidRPr="00393CB4">
        <w:rPr>
          <w:rFonts w:ascii="Times New Roman" w:hAnsi="Times New Roman"/>
          <w:color w:val="000000" w:themeColor="text1"/>
          <w:lang w:val="en-GB"/>
        </w:rPr>
        <w:t>ta</w:t>
      </w:r>
      <w:r w:rsidR="00CE72D9" w:rsidRPr="00393CB4">
        <w:rPr>
          <w:rFonts w:ascii="Times New Roman" w:hAnsi="Times New Roman"/>
          <w:color w:val="000000" w:themeColor="text1"/>
          <w:lang w:val="en-GB"/>
        </w:rPr>
        <w:t>tion</w:t>
      </w:r>
      <w:r w:rsidR="007B3382" w:rsidRPr="00393CB4">
        <w:rPr>
          <w:rFonts w:ascii="Times New Roman" w:hAnsi="Times New Roman"/>
          <w:color w:val="000000" w:themeColor="text1"/>
          <w:lang w:val="en-GB"/>
        </w:rPr>
        <w:t xml:space="preserve"> (Levinthal and March, 1981)</w:t>
      </w:r>
      <w:r w:rsidR="00CE72D9" w:rsidRPr="00393CB4">
        <w:rPr>
          <w:rFonts w:ascii="Times New Roman" w:hAnsi="Times New Roman"/>
          <w:color w:val="000000" w:themeColor="text1"/>
          <w:lang w:val="en-GB"/>
        </w:rPr>
        <w:t xml:space="preserve">.  </w:t>
      </w:r>
      <w:r w:rsidR="00145B04" w:rsidRPr="00393CB4">
        <w:rPr>
          <w:rFonts w:ascii="Times New Roman" w:hAnsi="Times New Roman"/>
          <w:color w:val="000000" w:themeColor="text1"/>
          <w:lang w:val="en-GB"/>
        </w:rPr>
        <w:t xml:space="preserve">The decisional contexts between corporate </w:t>
      </w:r>
      <w:r w:rsidR="00145B04" w:rsidRPr="00393CB4">
        <w:rPr>
          <w:rFonts w:ascii="Times New Roman" w:hAnsi="Times New Roman"/>
          <w:color w:val="000000" w:themeColor="text1"/>
          <w:lang w:val="en-GB"/>
        </w:rPr>
        <w:lastRenderedPageBreak/>
        <w:t xml:space="preserve">managers and the regional stakeholders in this paper </w:t>
      </w:r>
      <w:r w:rsidR="00D13F5E" w:rsidRPr="00393CB4">
        <w:rPr>
          <w:rFonts w:ascii="Times New Roman" w:hAnsi="Times New Roman"/>
          <w:color w:val="000000" w:themeColor="text1"/>
          <w:lang w:val="en-GB"/>
        </w:rPr>
        <w:t>are similar</w:t>
      </w:r>
      <w:r w:rsidR="00145B04" w:rsidRPr="00393CB4">
        <w:rPr>
          <w:rFonts w:ascii="Times New Roman" w:hAnsi="Times New Roman"/>
          <w:color w:val="000000" w:themeColor="text1"/>
          <w:lang w:val="en-GB"/>
        </w:rPr>
        <w:t xml:space="preserve"> enough to </w:t>
      </w:r>
      <w:r w:rsidR="008D2FE2" w:rsidRPr="00393CB4">
        <w:rPr>
          <w:rFonts w:ascii="Times New Roman" w:hAnsi="Times New Roman"/>
          <w:color w:val="000000" w:themeColor="text1"/>
          <w:lang w:val="en-GB"/>
        </w:rPr>
        <w:t>make the application of t</w:t>
      </w:r>
      <w:r w:rsidR="00145B04" w:rsidRPr="00393CB4">
        <w:rPr>
          <w:rFonts w:ascii="Times New Roman" w:hAnsi="Times New Roman"/>
          <w:color w:val="000000" w:themeColor="text1"/>
          <w:lang w:val="en-GB"/>
        </w:rPr>
        <w:t xml:space="preserve">he behavioural theory of the firm </w:t>
      </w:r>
      <w:r w:rsidR="008D2FE2" w:rsidRPr="00393CB4">
        <w:rPr>
          <w:rFonts w:ascii="Times New Roman" w:hAnsi="Times New Roman"/>
          <w:color w:val="000000" w:themeColor="text1"/>
          <w:lang w:val="en-GB"/>
        </w:rPr>
        <w:t>feasible</w:t>
      </w:r>
      <w:r w:rsidR="00145B04" w:rsidRPr="00393CB4">
        <w:rPr>
          <w:rFonts w:ascii="Times New Roman" w:hAnsi="Times New Roman"/>
          <w:color w:val="000000" w:themeColor="text1"/>
          <w:lang w:val="en-GB"/>
        </w:rPr>
        <w:t xml:space="preserve">.  </w:t>
      </w:r>
    </w:p>
    <w:p w14:paraId="27561F92" w14:textId="2B526755" w:rsidR="004269B4" w:rsidRPr="00393CB4" w:rsidRDefault="00145B04" w:rsidP="007737BF">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Idealisation is a commonly used variable in managerial </w:t>
      </w:r>
      <w:r w:rsidR="008D2FE2" w:rsidRPr="00393CB4">
        <w:rPr>
          <w:rFonts w:ascii="Times New Roman" w:hAnsi="Times New Roman"/>
          <w:color w:val="000000" w:themeColor="text1"/>
          <w:lang w:val="en-GB"/>
        </w:rPr>
        <w:t>psychology,</w:t>
      </w:r>
      <w:r w:rsidRPr="00393CB4">
        <w:rPr>
          <w:rFonts w:ascii="Times New Roman" w:hAnsi="Times New Roman"/>
          <w:color w:val="000000" w:themeColor="text1"/>
          <w:lang w:val="en-GB"/>
        </w:rPr>
        <w:t xml:space="preserve"> </w:t>
      </w:r>
      <w:r w:rsidR="008D2FE2" w:rsidRPr="00393CB4">
        <w:rPr>
          <w:rFonts w:ascii="Times New Roman" w:hAnsi="Times New Roman"/>
          <w:color w:val="000000" w:themeColor="text1"/>
          <w:lang w:val="en-GB"/>
        </w:rPr>
        <w:t>but it</w:t>
      </w:r>
      <w:r w:rsidRPr="00393CB4">
        <w:rPr>
          <w:rFonts w:ascii="Times New Roman" w:hAnsi="Times New Roman"/>
          <w:color w:val="000000" w:themeColor="text1"/>
          <w:lang w:val="en-GB"/>
        </w:rPr>
        <w:t xml:space="preserve"> has never been associated with the behavioural theory of the firm.  There are however a number of concepts in the behavioural theory of the firm that can explain behaviour</w:t>
      </w:r>
      <w:r w:rsidR="008D2FE2" w:rsidRPr="00393CB4">
        <w:rPr>
          <w:rFonts w:ascii="Times New Roman" w:hAnsi="Times New Roman"/>
          <w:color w:val="000000" w:themeColor="text1"/>
          <w:lang w:val="en-GB"/>
        </w:rPr>
        <w:t>s</w:t>
      </w:r>
      <w:r w:rsidRPr="00393CB4">
        <w:rPr>
          <w:rFonts w:ascii="Times New Roman" w:hAnsi="Times New Roman"/>
          <w:color w:val="000000" w:themeColor="text1"/>
          <w:lang w:val="en-GB"/>
        </w:rPr>
        <w:t xml:space="preserve"> akin to idealisation.  The </w:t>
      </w:r>
      <w:r w:rsidR="004269B4" w:rsidRPr="00393CB4">
        <w:rPr>
          <w:rFonts w:ascii="Times New Roman" w:hAnsi="Times New Roman"/>
          <w:color w:val="000000" w:themeColor="text1"/>
          <w:lang w:val="en-GB"/>
        </w:rPr>
        <w:t xml:space="preserve">behavioural theory of the firm </w:t>
      </w:r>
      <w:r w:rsidR="00E3481C" w:rsidRPr="00393CB4">
        <w:rPr>
          <w:rFonts w:ascii="Times New Roman" w:hAnsi="Times New Roman"/>
          <w:color w:val="000000" w:themeColor="text1"/>
          <w:lang w:val="en-GB"/>
        </w:rPr>
        <w:t>examines</w:t>
      </w:r>
      <w:r w:rsidR="004269B4" w:rsidRPr="00393CB4">
        <w:rPr>
          <w:rFonts w:ascii="Times New Roman" w:hAnsi="Times New Roman"/>
          <w:color w:val="000000" w:themeColor="text1"/>
          <w:lang w:val="en-GB"/>
        </w:rPr>
        <w:t xml:space="preserve"> the different coalitions that are created around different positions borne out of uncertainty</w:t>
      </w:r>
      <w:r w:rsidR="00D13F5E" w:rsidRPr="00393CB4">
        <w:rPr>
          <w:rFonts w:ascii="Times New Roman" w:hAnsi="Times New Roman"/>
          <w:color w:val="000000" w:themeColor="text1"/>
          <w:lang w:val="en-GB"/>
        </w:rPr>
        <w:t>,</w:t>
      </w:r>
      <w:r w:rsidR="004269B4" w:rsidRPr="00393CB4">
        <w:rPr>
          <w:rFonts w:ascii="Times New Roman" w:hAnsi="Times New Roman"/>
          <w:color w:val="000000" w:themeColor="text1"/>
          <w:lang w:val="en-GB"/>
        </w:rPr>
        <w:t xml:space="preserve"> ambiguity</w:t>
      </w:r>
      <w:r w:rsidR="00D13F5E" w:rsidRPr="00393CB4">
        <w:rPr>
          <w:rFonts w:ascii="Times New Roman" w:hAnsi="Times New Roman"/>
          <w:color w:val="000000" w:themeColor="text1"/>
          <w:lang w:val="en-GB"/>
        </w:rPr>
        <w:t>, and bounded rationality</w:t>
      </w:r>
      <w:r w:rsidR="004269B4" w:rsidRPr="00393CB4">
        <w:rPr>
          <w:rFonts w:ascii="Times New Roman" w:hAnsi="Times New Roman"/>
          <w:color w:val="000000" w:themeColor="text1"/>
          <w:lang w:val="en-GB"/>
        </w:rPr>
        <w:t xml:space="preserve">.  Shared idealisation, which often </w:t>
      </w:r>
      <w:r w:rsidR="00D13F5E" w:rsidRPr="00393CB4">
        <w:rPr>
          <w:rFonts w:ascii="Times New Roman" w:hAnsi="Times New Roman"/>
          <w:color w:val="000000" w:themeColor="text1"/>
          <w:lang w:val="en-GB"/>
        </w:rPr>
        <w:t xml:space="preserve">leads to </w:t>
      </w:r>
      <w:r w:rsidR="004269B4" w:rsidRPr="00393CB4">
        <w:rPr>
          <w:rFonts w:ascii="Times New Roman" w:hAnsi="Times New Roman"/>
          <w:color w:val="000000" w:themeColor="text1"/>
          <w:lang w:val="en-GB"/>
        </w:rPr>
        <w:t>ignor</w:t>
      </w:r>
      <w:r w:rsidR="00D13F5E" w:rsidRPr="00393CB4">
        <w:rPr>
          <w:rFonts w:ascii="Times New Roman" w:hAnsi="Times New Roman"/>
          <w:color w:val="000000" w:themeColor="text1"/>
          <w:lang w:val="en-GB"/>
        </w:rPr>
        <w:t>ing</w:t>
      </w:r>
      <w:r w:rsidR="004269B4" w:rsidRPr="00393CB4">
        <w:rPr>
          <w:rFonts w:ascii="Times New Roman" w:hAnsi="Times New Roman"/>
          <w:color w:val="000000" w:themeColor="text1"/>
          <w:lang w:val="en-GB"/>
        </w:rPr>
        <w:t xml:space="preserve"> the impact of uncertainty on a course of action, is a mechanism for creating a coalition</w:t>
      </w:r>
      <w:r w:rsidR="00D13F5E" w:rsidRPr="00393CB4">
        <w:rPr>
          <w:rFonts w:ascii="Times New Roman" w:hAnsi="Times New Roman"/>
          <w:color w:val="000000" w:themeColor="text1"/>
          <w:lang w:val="en-GB"/>
        </w:rPr>
        <w:t xml:space="preserve"> whose behaviour will be similar to </w:t>
      </w:r>
      <w:r w:rsidR="004269B4" w:rsidRPr="00393CB4">
        <w:rPr>
          <w:rFonts w:ascii="Times New Roman" w:hAnsi="Times New Roman"/>
          <w:color w:val="000000" w:themeColor="text1"/>
          <w:lang w:val="en-GB"/>
        </w:rPr>
        <w:t>the phenomenon of escalation of commitment (</w:t>
      </w:r>
      <w:proofErr w:type="spellStart"/>
      <w:r w:rsidR="004269B4" w:rsidRPr="00393CB4">
        <w:rPr>
          <w:rFonts w:ascii="Times New Roman" w:hAnsi="Times New Roman"/>
          <w:color w:val="000000" w:themeColor="text1"/>
          <w:lang w:val="en-GB"/>
        </w:rPr>
        <w:t>Staw</w:t>
      </w:r>
      <w:proofErr w:type="spellEnd"/>
      <w:r w:rsidR="004269B4" w:rsidRPr="00393CB4">
        <w:rPr>
          <w:rFonts w:ascii="Times New Roman" w:hAnsi="Times New Roman"/>
          <w:color w:val="000000" w:themeColor="text1"/>
          <w:lang w:val="en-GB"/>
        </w:rPr>
        <w:t>, 1981) and irrationality in decision making (</w:t>
      </w:r>
      <w:proofErr w:type="spellStart"/>
      <w:r w:rsidR="004269B4" w:rsidRPr="00393CB4">
        <w:rPr>
          <w:rFonts w:ascii="Times New Roman" w:hAnsi="Times New Roman"/>
          <w:color w:val="000000" w:themeColor="text1"/>
          <w:lang w:val="en-GB"/>
        </w:rPr>
        <w:t>Brunsson</w:t>
      </w:r>
      <w:proofErr w:type="spellEnd"/>
      <w:r w:rsidR="004269B4" w:rsidRPr="00393CB4">
        <w:rPr>
          <w:rFonts w:ascii="Times New Roman" w:hAnsi="Times New Roman"/>
          <w:color w:val="000000" w:themeColor="text1"/>
          <w:lang w:val="en-GB"/>
        </w:rPr>
        <w:t>, 1982)</w:t>
      </w:r>
      <w:r w:rsidR="00D13F5E" w:rsidRPr="00393CB4">
        <w:rPr>
          <w:rFonts w:ascii="Times New Roman" w:hAnsi="Times New Roman"/>
          <w:color w:val="000000" w:themeColor="text1"/>
          <w:lang w:val="en-GB"/>
        </w:rPr>
        <w:t>, both classic research themes with the behavioural theory of the firm.</w:t>
      </w:r>
    </w:p>
    <w:p w14:paraId="3F2BB1AF" w14:textId="67AEDC3C" w:rsidR="00971323" w:rsidRPr="00393CB4" w:rsidRDefault="004269B4" w:rsidP="007737BF">
      <w:pPr>
        <w:jc w:val="both"/>
        <w:rPr>
          <w:rFonts w:ascii="Times New Roman" w:hAnsi="Times New Roman"/>
          <w:color w:val="000000" w:themeColor="text1"/>
          <w:lang w:val="en-GB"/>
        </w:rPr>
      </w:pPr>
      <w:r w:rsidRPr="00393CB4">
        <w:rPr>
          <w:rFonts w:ascii="Times New Roman" w:hAnsi="Times New Roman"/>
          <w:color w:val="000000" w:themeColor="text1"/>
          <w:lang w:val="en-GB"/>
        </w:rPr>
        <w:t>Different coalitions will not look for the optimal solution to a problem as they will disagree on both the nature of the problem and the ways to solve it.  Instead they will adopt different directions of search (</w:t>
      </w:r>
      <w:proofErr w:type="spellStart"/>
      <w:r w:rsidRPr="00393CB4">
        <w:rPr>
          <w:rFonts w:ascii="Times New Roman" w:hAnsi="Times New Roman"/>
          <w:color w:val="000000" w:themeColor="text1"/>
          <w:lang w:val="en-GB"/>
        </w:rPr>
        <w:t>Cyert</w:t>
      </w:r>
      <w:proofErr w:type="spellEnd"/>
      <w:r w:rsidRPr="00393CB4">
        <w:rPr>
          <w:rFonts w:ascii="Times New Roman" w:hAnsi="Times New Roman"/>
          <w:color w:val="000000" w:themeColor="text1"/>
          <w:lang w:val="en-GB"/>
        </w:rPr>
        <w:t xml:space="preserve"> and March, 1963).  The behavioural theory of the firm offers many theoretical perspectives to characterise different searches, as for example the preference for explorat</w:t>
      </w:r>
      <w:r w:rsidR="00220E23" w:rsidRPr="00393CB4">
        <w:rPr>
          <w:rFonts w:ascii="Times New Roman" w:hAnsi="Times New Roman"/>
          <w:color w:val="000000" w:themeColor="text1"/>
          <w:lang w:val="en-GB"/>
        </w:rPr>
        <w:t>ive versus exploitative searches (</w:t>
      </w:r>
      <w:proofErr w:type="gramStart"/>
      <w:r w:rsidR="00220E23" w:rsidRPr="00393CB4">
        <w:rPr>
          <w:rFonts w:ascii="Times New Roman" w:hAnsi="Times New Roman"/>
          <w:color w:val="000000" w:themeColor="text1"/>
          <w:lang w:val="en-GB"/>
        </w:rPr>
        <w:t>March,</w:t>
      </w:r>
      <w:proofErr w:type="gramEnd"/>
      <w:r w:rsidR="00220E23" w:rsidRPr="00393CB4">
        <w:rPr>
          <w:rFonts w:ascii="Times New Roman" w:hAnsi="Times New Roman"/>
          <w:color w:val="000000" w:themeColor="text1"/>
          <w:lang w:val="en-GB"/>
        </w:rPr>
        <w:t xml:space="preserve"> 19</w:t>
      </w:r>
      <w:r w:rsidR="00C26E96">
        <w:rPr>
          <w:rFonts w:ascii="Times New Roman" w:hAnsi="Times New Roman"/>
          <w:color w:val="000000" w:themeColor="text1"/>
          <w:lang w:val="en-GB"/>
        </w:rPr>
        <w:t>9</w:t>
      </w:r>
      <w:r w:rsidR="00220E23" w:rsidRPr="00393CB4">
        <w:rPr>
          <w:rFonts w:ascii="Times New Roman" w:hAnsi="Times New Roman"/>
          <w:color w:val="000000" w:themeColor="text1"/>
          <w:lang w:val="en-GB"/>
        </w:rPr>
        <w:t>1) or cognitive versus experiential searches (</w:t>
      </w:r>
      <w:proofErr w:type="spellStart"/>
      <w:r w:rsidR="00220E23" w:rsidRPr="00393CB4">
        <w:rPr>
          <w:rFonts w:ascii="Times New Roman" w:hAnsi="Times New Roman"/>
          <w:color w:val="000000" w:themeColor="text1"/>
          <w:lang w:val="en-GB"/>
        </w:rPr>
        <w:t>Gavetti</w:t>
      </w:r>
      <w:proofErr w:type="spellEnd"/>
      <w:r w:rsidR="00220E23" w:rsidRPr="00393CB4">
        <w:rPr>
          <w:rFonts w:ascii="Times New Roman" w:hAnsi="Times New Roman"/>
          <w:color w:val="000000" w:themeColor="text1"/>
          <w:lang w:val="en-GB"/>
        </w:rPr>
        <w:t xml:space="preserve"> and Levinthal, 2000).  </w:t>
      </w:r>
      <w:r w:rsidR="007737BF" w:rsidRPr="00393CB4">
        <w:rPr>
          <w:rFonts w:ascii="Times New Roman" w:hAnsi="Times New Roman"/>
          <w:color w:val="000000" w:themeColor="text1"/>
          <w:lang w:val="en-GB"/>
        </w:rPr>
        <w:t>This means that the behavioural theory of the firm offers a unique perspective to understand not only idealisation but also its impact on the direction of search that coalitions of regional stakeholders will adopt.</w:t>
      </w:r>
    </w:p>
    <w:p w14:paraId="4B0671C3" w14:textId="6B4720ED" w:rsidR="00220E23" w:rsidRPr="00393CB4" w:rsidRDefault="00D9342F" w:rsidP="00220E23">
      <w:pPr>
        <w:pStyle w:val="Heading1"/>
        <w:rPr>
          <w:rFonts w:ascii="Times New Roman" w:hAnsi="Times New Roman"/>
          <w:color w:val="000000" w:themeColor="text1"/>
          <w:lang w:val="en-GB"/>
        </w:rPr>
      </w:pPr>
      <w:r w:rsidRPr="00393CB4">
        <w:rPr>
          <w:rFonts w:ascii="Times New Roman" w:hAnsi="Times New Roman"/>
          <w:color w:val="000000" w:themeColor="text1"/>
          <w:lang w:val="en-GB"/>
        </w:rPr>
        <w:t>3</w:t>
      </w:r>
      <w:r w:rsidR="00220E23" w:rsidRPr="00393CB4">
        <w:rPr>
          <w:rFonts w:ascii="Times New Roman" w:hAnsi="Times New Roman"/>
          <w:color w:val="000000" w:themeColor="text1"/>
          <w:lang w:val="en-GB"/>
        </w:rPr>
        <w:t>. Methodology</w:t>
      </w:r>
    </w:p>
    <w:p w14:paraId="434B02C1" w14:textId="77777777" w:rsidR="00C80795" w:rsidRPr="00393CB4" w:rsidRDefault="00C80795" w:rsidP="00C80795">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In the Channel-MOR project, 6 regional teams produced strategic mapping and scenarios for 10 regions.  This paper investigates these 10 regional case studies.  For each region, the purpose of the research is to assess to which extent idealisation was an issue, why, and what were its impacts on strategic planning from the perspective of the behavioural theory of the firm.  The 10 cases offer considerable variation in terms of (1) team composition, (2) prior knowledge of the MRE sector, and </w:t>
      </w:r>
      <w:r w:rsidRPr="00393CB4">
        <w:rPr>
          <w:rFonts w:ascii="Times New Roman" w:hAnsi="Times New Roman"/>
          <w:color w:val="000000" w:themeColor="text1"/>
          <w:lang w:val="en-GB"/>
        </w:rPr>
        <w:lastRenderedPageBreak/>
        <w:t xml:space="preserve">(3) decision making independence from political/governmental bodies.  As such, the 10 cases make for a very good ‘maximum variation sample’ as defined by Miles and </w:t>
      </w:r>
      <w:proofErr w:type="spellStart"/>
      <w:r w:rsidRPr="00393CB4">
        <w:rPr>
          <w:rFonts w:ascii="Times New Roman" w:hAnsi="Times New Roman"/>
          <w:color w:val="000000" w:themeColor="text1"/>
          <w:lang w:val="en-GB"/>
        </w:rPr>
        <w:t>Hubberman</w:t>
      </w:r>
      <w:proofErr w:type="spellEnd"/>
      <w:r w:rsidRPr="00393CB4">
        <w:rPr>
          <w:rFonts w:ascii="Times New Roman" w:hAnsi="Times New Roman"/>
          <w:color w:val="000000" w:themeColor="text1"/>
          <w:lang w:val="en-GB"/>
        </w:rPr>
        <w:t xml:space="preserve"> (1994).</w:t>
      </w:r>
    </w:p>
    <w:p w14:paraId="4AEDC0BD" w14:textId="730C5A9E" w:rsidR="00220E23" w:rsidRPr="00393CB4" w:rsidRDefault="00C80795" w:rsidP="00C80795">
      <w:pPr>
        <w:jc w:val="both"/>
        <w:rPr>
          <w:rFonts w:ascii="Times New Roman" w:hAnsi="Times New Roman"/>
          <w:color w:val="000000" w:themeColor="text1"/>
          <w:lang w:val="en-GB"/>
        </w:rPr>
      </w:pPr>
      <w:r w:rsidRPr="00393CB4">
        <w:rPr>
          <w:rFonts w:ascii="Times New Roman" w:hAnsi="Times New Roman"/>
          <w:color w:val="000000" w:themeColor="text1"/>
          <w:lang w:val="en-GB"/>
        </w:rPr>
        <w:t>Case study research is now recognised as an approach to research which is pluralist in terms of methodo</w:t>
      </w:r>
      <w:r w:rsidR="006A7139" w:rsidRPr="00393CB4">
        <w:rPr>
          <w:rFonts w:ascii="Times New Roman" w:hAnsi="Times New Roman"/>
          <w:color w:val="000000" w:themeColor="text1"/>
          <w:lang w:val="en-GB"/>
        </w:rPr>
        <w:t>logy</w:t>
      </w:r>
      <w:r w:rsidRPr="00393CB4">
        <w:rPr>
          <w:rFonts w:ascii="Times New Roman" w:hAnsi="Times New Roman"/>
          <w:color w:val="000000" w:themeColor="text1"/>
          <w:lang w:val="en-GB"/>
        </w:rPr>
        <w:t xml:space="preserve"> (Welch et al., 2011) and that can accommodate positivist, </w:t>
      </w:r>
      <w:r w:rsidR="006A7139" w:rsidRPr="00393CB4">
        <w:rPr>
          <w:rFonts w:ascii="Times New Roman" w:hAnsi="Times New Roman"/>
          <w:color w:val="000000" w:themeColor="text1"/>
          <w:lang w:val="en-GB"/>
        </w:rPr>
        <w:t xml:space="preserve">interpretivist, or critical realist paradigms.  As </w:t>
      </w:r>
      <w:r w:rsidRPr="00393CB4">
        <w:rPr>
          <w:rFonts w:ascii="Times New Roman" w:hAnsi="Times New Roman"/>
          <w:color w:val="000000" w:themeColor="text1"/>
          <w:lang w:val="en-GB"/>
        </w:rPr>
        <w:t>t</w:t>
      </w:r>
      <w:r w:rsidR="00177D3C" w:rsidRPr="00393CB4">
        <w:rPr>
          <w:rFonts w:ascii="Times New Roman" w:hAnsi="Times New Roman"/>
          <w:color w:val="000000" w:themeColor="text1"/>
          <w:lang w:val="en-GB"/>
        </w:rPr>
        <w:t>he purpose of this paper is to explain the prevalence of idealisation in a</w:t>
      </w:r>
      <w:r w:rsidRPr="00393CB4">
        <w:rPr>
          <w:rFonts w:ascii="Times New Roman" w:hAnsi="Times New Roman"/>
          <w:color w:val="000000" w:themeColor="text1"/>
          <w:lang w:val="en-GB"/>
        </w:rPr>
        <w:t xml:space="preserve">n applied research project </w:t>
      </w:r>
      <w:r w:rsidR="007447E4" w:rsidRPr="00393CB4">
        <w:rPr>
          <w:rFonts w:ascii="Times New Roman" w:hAnsi="Times New Roman"/>
          <w:color w:val="000000" w:themeColor="text1"/>
          <w:lang w:val="en-GB"/>
        </w:rPr>
        <w:t>which</w:t>
      </w:r>
      <w:r w:rsidR="00177D3C" w:rsidRPr="00393CB4">
        <w:rPr>
          <w:rFonts w:ascii="Times New Roman" w:hAnsi="Times New Roman"/>
          <w:color w:val="000000" w:themeColor="text1"/>
          <w:lang w:val="en-GB"/>
        </w:rPr>
        <w:t xml:space="preserve"> was </w:t>
      </w:r>
      <w:r w:rsidR="007447E4" w:rsidRPr="00393CB4">
        <w:rPr>
          <w:rFonts w:ascii="Times New Roman" w:hAnsi="Times New Roman"/>
          <w:color w:val="000000" w:themeColor="text1"/>
          <w:lang w:val="en-GB"/>
        </w:rPr>
        <w:t xml:space="preserve">carefully </w:t>
      </w:r>
      <w:r w:rsidR="00177D3C" w:rsidRPr="00393CB4">
        <w:rPr>
          <w:rFonts w:ascii="Times New Roman" w:hAnsi="Times New Roman"/>
          <w:color w:val="000000" w:themeColor="text1"/>
          <w:lang w:val="en-GB"/>
        </w:rPr>
        <w:t>design</w:t>
      </w:r>
      <w:r w:rsidRPr="00393CB4">
        <w:rPr>
          <w:rFonts w:ascii="Times New Roman" w:hAnsi="Times New Roman"/>
          <w:color w:val="000000" w:themeColor="text1"/>
          <w:lang w:val="en-GB"/>
        </w:rPr>
        <w:t>ed to ‘outlaw’ subjectivity through the deployment of</w:t>
      </w:r>
      <w:r w:rsidR="00177D3C" w:rsidRPr="00393CB4">
        <w:rPr>
          <w:rFonts w:ascii="Times New Roman" w:hAnsi="Times New Roman"/>
          <w:color w:val="000000" w:themeColor="text1"/>
          <w:lang w:val="en-GB"/>
        </w:rPr>
        <w:t xml:space="preserve"> several operation</w:t>
      </w:r>
      <w:r w:rsidR="00873C8E" w:rsidRPr="00393CB4">
        <w:rPr>
          <w:rFonts w:ascii="Times New Roman" w:hAnsi="Times New Roman"/>
          <w:color w:val="000000" w:themeColor="text1"/>
          <w:lang w:val="en-GB"/>
        </w:rPr>
        <w:t>al</w:t>
      </w:r>
      <w:r w:rsidR="00177D3C" w:rsidRPr="00393CB4">
        <w:rPr>
          <w:rFonts w:ascii="Times New Roman" w:hAnsi="Times New Roman"/>
          <w:color w:val="000000" w:themeColor="text1"/>
          <w:lang w:val="en-GB"/>
        </w:rPr>
        <w:t xml:space="preserve"> research t</w:t>
      </w:r>
      <w:r w:rsidR="006F69A9" w:rsidRPr="00393CB4">
        <w:rPr>
          <w:rFonts w:ascii="Times New Roman" w:hAnsi="Times New Roman"/>
          <w:color w:val="000000" w:themeColor="text1"/>
          <w:lang w:val="en-GB"/>
        </w:rPr>
        <w:t>echniques</w:t>
      </w:r>
      <w:r w:rsidR="006A7139" w:rsidRPr="00393CB4">
        <w:rPr>
          <w:rFonts w:ascii="Times New Roman" w:hAnsi="Times New Roman"/>
          <w:color w:val="000000" w:themeColor="text1"/>
          <w:lang w:val="en-GB"/>
        </w:rPr>
        <w:t>, an inter</w:t>
      </w:r>
      <w:r w:rsidR="007447E4" w:rsidRPr="00393CB4">
        <w:rPr>
          <w:rFonts w:ascii="Times New Roman" w:hAnsi="Times New Roman"/>
          <w:color w:val="000000" w:themeColor="text1"/>
          <w:lang w:val="en-GB"/>
        </w:rPr>
        <w:t>pretivist approach is ruled</w:t>
      </w:r>
      <w:r w:rsidR="006A7139" w:rsidRPr="00393CB4">
        <w:rPr>
          <w:rFonts w:ascii="Times New Roman" w:hAnsi="Times New Roman"/>
          <w:color w:val="000000" w:themeColor="text1"/>
          <w:lang w:val="en-GB"/>
        </w:rPr>
        <w:t xml:space="preserve"> out</w:t>
      </w:r>
      <w:r w:rsidR="00177D3C" w:rsidRPr="00393CB4">
        <w:rPr>
          <w:rFonts w:ascii="Times New Roman" w:hAnsi="Times New Roman"/>
          <w:color w:val="000000" w:themeColor="text1"/>
          <w:lang w:val="en-GB"/>
        </w:rPr>
        <w:t xml:space="preserve">.  </w:t>
      </w:r>
      <w:r w:rsidR="006A7139" w:rsidRPr="00393CB4">
        <w:rPr>
          <w:rFonts w:ascii="Times New Roman" w:hAnsi="Times New Roman"/>
          <w:color w:val="000000" w:themeColor="text1"/>
          <w:lang w:val="en-GB"/>
        </w:rPr>
        <w:t>Instead, t</w:t>
      </w:r>
      <w:r w:rsidR="00177D3C" w:rsidRPr="00393CB4">
        <w:rPr>
          <w:rFonts w:ascii="Times New Roman" w:hAnsi="Times New Roman"/>
          <w:color w:val="000000" w:themeColor="text1"/>
          <w:lang w:val="en-GB"/>
        </w:rPr>
        <w:t>o explain such a surprising and contrasting outcome requires an emphasis on both strong causal explanation and contextualisation.</w:t>
      </w:r>
      <w:r w:rsidR="007447E4" w:rsidRPr="00393CB4">
        <w:rPr>
          <w:rFonts w:ascii="Times New Roman" w:hAnsi="Times New Roman"/>
          <w:color w:val="000000" w:themeColor="text1"/>
          <w:lang w:val="en-GB"/>
        </w:rPr>
        <w:t xml:space="preserve">  The central research question is: what</w:t>
      </w:r>
      <w:r w:rsidR="006F69A9" w:rsidRPr="00393CB4">
        <w:rPr>
          <w:rFonts w:ascii="Times New Roman" w:hAnsi="Times New Roman"/>
          <w:color w:val="000000" w:themeColor="text1"/>
          <w:lang w:val="en-GB"/>
        </w:rPr>
        <w:t xml:space="preserve"> were</w:t>
      </w:r>
      <w:r w:rsidR="007447E4" w:rsidRPr="00393CB4">
        <w:rPr>
          <w:rFonts w:ascii="Times New Roman" w:hAnsi="Times New Roman"/>
          <w:color w:val="000000" w:themeColor="text1"/>
          <w:lang w:val="en-GB"/>
        </w:rPr>
        <w:t xml:space="preserve"> the causes of idealisation?  How could it happen in this specific context given all the efforts made to make the approach more rational?</w:t>
      </w:r>
      <w:r w:rsidR="00177D3C" w:rsidRPr="00393CB4">
        <w:rPr>
          <w:rFonts w:ascii="Times New Roman" w:hAnsi="Times New Roman"/>
          <w:color w:val="000000" w:themeColor="text1"/>
          <w:lang w:val="en-GB"/>
        </w:rPr>
        <w:t xml:space="preserve">  Welch et al. (2011) define such a research programme as the contextualised explanation </w:t>
      </w:r>
      <w:r w:rsidR="006D7513" w:rsidRPr="00393CB4">
        <w:rPr>
          <w:rFonts w:ascii="Times New Roman" w:hAnsi="Times New Roman"/>
          <w:color w:val="000000" w:themeColor="text1"/>
          <w:lang w:val="en-GB"/>
        </w:rPr>
        <w:t xml:space="preserve">approach </w:t>
      </w:r>
      <w:r w:rsidR="00177D3C" w:rsidRPr="00393CB4">
        <w:rPr>
          <w:rFonts w:ascii="Times New Roman" w:hAnsi="Times New Roman"/>
          <w:color w:val="000000" w:themeColor="text1"/>
          <w:lang w:val="en-GB"/>
        </w:rPr>
        <w:t>to case study research, which uses the ontological basis of critical realism (</w:t>
      </w:r>
      <w:proofErr w:type="spellStart"/>
      <w:r w:rsidR="00177D3C" w:rsidRPr="00393CB4">
        <w:rPr>
          <w:rFonts w:ascii="Times New Roman" w:hAnsi="Times New Roman"/>
          <w:color w:val="000000" w:themeColor="text1"/>
          <w:lang w:val="en-GB"/>
        </w:rPr>
        <w:t>Bashkar</w:t>
      </w:r>
      <w:proofErr w:type="spellEnd"/>
      <w:r w:rsidR="00177D3C" w:rsidRPr="00393CB4">
        <w:rPr>
          <w:rFonts w:ascii="Times New Roman" w:hAnsi="Times New Roman"/>
          <w:color w:val="000000" w:themeColor="text1"/>
          <w:lang w:val="en-GB"/>
        </w:rPr>
        <w:t xml:space="preserve">, 1998).  </w:t>
      </w:r>
      <w:r w:rsidR="00E116C9" w:rsidRPr="00393CB4">
        <w:rPr>
          <w:rFonts w:ascii="Times New Roman" w:hAnsi="Times New Roman"/>
          <w:color w:val="000000" w:themeColor="text1"/>
          <w:lang w:val="en-GB"/>
        </w:rPr>
        <w:t xml:space="preserve">The principle of this approach </w:t>
      </w:r>
      <w:r w:rsidR="00E37A8C" w:rsidRPr="00393CB4">
        <w:rPr>
          <w:rFonts w:ascii="Times New Roman" w:hAnsi="Times New Roman"/>
          <w:color w:val="000000" w:themeColor="text1"/>
          <w:lang w:val="en-GB"/>
        </w:rPr>
        <w:t>is</w:t>
      </w:r>
      <w:r w:rsidR="00E116C9" w:rsidRPr="00393CB4">
        <w:rPr>
          <w:rFonts w:ascii="Times New Roman" w:hAnsi="Times New Roman"/>
          <w:color w:val="000000" w:themeColor="text1"/>
          <w:lang w:val="en-GB"/>
        </w:rPr>
        <w:t xml:space="preserve"> to use a theory-informed case study analysis which pays </w:t>
      </w:r>
      <w:r w:rsidR="00E37A8C" w:rsidRPr="00393CB4">
        <w:rPr>
          <w:rFonts w:ascii="Times New Roman" w:hAnsi="Times New Roman"/>
          <w:color w:val="000000" w:themeColor="text1"/>
          <w:lang w:val="en-GB"/>
        </w:rPr>
        <w:t>attention</w:t>
      </w:r>
      <w:r w:rsidR="00E116C9" w:rsidRPr="00393CB4">
        <w:rPr>
          <w:rFonts w:ascii="Times New Roman" w:hAnsi="Times New Roman"/>
          <w:color w:val="000000" w:themeColor="text1"/>
          <w:lang w:val="en-GB"/>
        </w:rPr>
        <w:t xml:space="preserve"> to the context of the case study</w:t>
      </w:r>
      <w:r w:rsidR="00177D3C" w:rsidRPr="00393CB4">
        <w:rPr>
          <w:rFonts w:ascii="Times New Roman" w:hAnsi="Times New Roman"/>
          <w:color w:val="000000" w:themeColor="text1"/>
          <w:lang w:val="en-GB"/>
        </w:rPr>
        <w:t xml:space="preserve"> </w:t>
      </w:r>
      <w:r w:rsidR="00E116C9" w:rsidRPr="00393CB4">
        <w:rPr>
          <w:rFonts w:ascii="Times New Roman" w:hAnsi="Times New Roman"/>
          <w:color w:val="000000" w:themeColor="text1"/>
          <w:lang w:val="en-GB"/>
        </w:rPr>
        <w:t xml:space="preserve">in order to abductively provide an explanation of the events and processes that led to the observed results.  </w:t>
      </w:r>
      <w:r w:rsidR="007447E4" w:rsidRPr="00393CB4">
        <w:rPr>
          <w:rFonts w:ascii="Times New Roman" w:hAnsi="Times New Roman"/>
          <w:color w:val="000000" w:themeColor="text1"/>
          <w:lang w:val="en-GB"/>
        </w:rPr>
        <w:t xml:space="preserve">This means not only paying attention to the context of the case studies themselves but also </w:t>
      </w:r>
      <w:r w:rsidR="00270A51">
        <w:rPr>
          <w:rFonts w:ascii="Times New Roman" w:hAnsi="Times New Roman"/>
          <w:color w:val="000000" w:themeColor="text1"/>
          <w:lang w:val="en-GB"/>
        </w:rPr>
        <w:t xml:space="preserve">to </w:t>
      </w:r>
      <w:r w:rsidR="007447E4" w:rsidRPr="00393CB4">
        <w:rPr>
          <w:rFonts w:ascii="Times New Roman" w:hAnsi="Times New Roman"/>
          <w:color w:val="000000" w:themeColor="text1"/>
          <w:lang w:val="en-GB"/>
        </w:rPr>
        <w:t>the historical national and regional contexts that have shaped the industry prior to the Channel-MOR project.</w:t>
      </w:r>
    </w:p>
    <w:p w14:paraId="57E45C3D" w14:textId="7494DE1B" w:rsidR="007447E4" w:rsidRPr="00393CB4" w:rsidRDefault="007447E4" w:rsidP="00C80795">
      <w:pPr>
        <w:jc w:val="both"/>
        <w:rPr>
          <w:rFonts w:ascii="Times New Roman" w:hAnsi="Times New Roman"/>
          <w:color w:val="000000" w:themeColor="text1"/>
          <w:lang w:val="en-GB"/>
        </w:rPr>
      </w:pPr>
      <w:r w:rsidRPr="00393CB4">
        <w:rPr>
          <w:rFonts w:ascii="Times New Roman" w:hAnsi="Times New Roman"/>
          <w:color w:val="000000" w:themeColor="text1"/>
          <w:lang w:val="en-GB"/>
        </w:rPr>
        <w:t>Figure 1 summarises the behavioural theory of the firm</w:t>
      </w:r>
      <w:r w:rsidR="006F69A9" w:rsidRPr="00393CB4">
        <w:rPr>
          <w:rFonts w:ascii="Times New Roman" w:hAnsi="Times New Roman"/>
          <w:color w:val="000000" w:themeColor="text1"/>
          <w:lang w:val="en-GB"/>
        </w:rPr>
        <w:t>’s</w:t>
      </w:r>
      <w:r w:rsidRPr="00393CB4">
        <w:rPr>
          <w:rFonts w:ascii="Times New Roman" w:hAnsi="Times New Roman"/>
          <w:color w:val="000000" w:themeColor="text1"/>
          <w:lang w:val="en-GB"/>
        </w:rPr>
        <w:t xml:space="preserve"> key conjecture, i.e. the idea that complex decision contexts result in the creation of coalitions adopting specific behaviours, as a research framework explaining how the case analysis will be performed.</w:t>
      </w:r>
    </w:p>
    <w:p w14:paraId="0C210F82" w14:textId="3D1D792D" w:rsidR="00C80795" w:rsidRPr="00393CB4" w:rsidRDefault="009D650F" w:rsidP="007447E4">
      <w:pPr>
        <w:jc w:val="center"/>
        <w:rPr>
          <w:rFonts w:ascii="Times New Roman" w:hAnsi="Times New Roman"/>
          <w:i/>
          <w:color w:val="000000" w:themeColor="text1"/>
          <w:lang w:val="en-GB"/>
        </w:rPr>
      </w:pPr>
      <w:r w:rsidRPr="00393CB4">
        <w:rPr>
          <w:color w:val="000000" w:themeColor="text1"/>
        </w:rPr>
        <w:object w:dxaOrig="11640" w:dyaOrig="1560" w14:anchorId="58CFF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50.75pt;height:60.75pt" o:ole="">
            <v:imagedata r:id="rId8" o:title=""/>
          </v:shape>
          <o:OLEObject Type="Embed" ProgID="Visio.Drawing.15" ShapeID="_x0000_i1031" DrawAspect="Content" ObjectID="_1599325614" r:id="rId9"/>
        </w:object>
      </w:r>
      <w:r w:rsidR="007447E4" w:rsidRPr="00393CB4">
        <w:rPr>
          <w:rFonts w:ascii="Times New Roman" w:hAnsi="Times New Roman"/>
          <w:i/>
          <w:color w:val="000000" w:themeColor="text1"/>
        </w:rPr>
        <w:t>Figure 1. Research Framework</w:t>
      </w:r>
    </w:p>
    <w:p w14:paraId="5997DE27" w14:textId="47314E39" w:rsidR="00E116C9" w:rsidRPr="00393CB4" w:rsidRDefault="007447E4" w:rsidP="007447E4">
      <w:pPr>
        <w:ind w:firstLine="0"/>
        <w:jc w:val="both"/>
        <w:rPr>
          <w:rFonts w:ascii="Times New Roman" w:hAnsi="Times New Roman"/>
          <w:color w:val="000000" w:themeColor="text1"/>
          <w:lang w:val="en-GB"/>
        </w:rPr>
      </w:pPr>
      <w:r w:rsidRPr="00393CB4">
        <w:rPr>
          <w:rFonts w:ascii="Times New Roman" w:hAnsi="Times New Roman"/>
          <w:color w:val="000000" w:themeColor="text1"/>
          <w:lang w:val="en-GB"/>
        </w:rPr>
        <w:t>Figure 1 can be used to break down the central research question (causal explanations of idealisation) into a series of structure</w:t>
      </w:r>
      <w:r w:rsidR="00D21C58" w:rsidRPr="00393CB4">
        <w:rPr>
          <w:rFonts w:ascii="Times New Roman" w:hAnsi="Times New Roman"/>
          <w:color w:val="000000" w:themeColor="text1"/>
          <w:lang w:val="en-GB"/>
        </w:rPr>
        <w:t>d</w:t>
      </w:r>
      <w:r w:rsidRPr="00393CB4">
        <w:rPr>
          <w:rFonts w:ascii="Times New Roman" w:hAnsi="Times New Roman"/>
          <w:color w:val="000000" w:themeColor="text1"/>
          <w:lang w:val="en-GB"/>
        </w:rPr>
        <w:t xml:space="preserve"> research </w:t>
      </w:r>
      <w:r w:rsidR="00D21C58" w:rsidRPr="00393CB4">
        <w:rPr>
          <w:rFonts w:ascii="Times New Roman" w:hAnsi="Times New Roman"/>
          <w:color w:val="000000" w:themeColor="text1"/>
          <w:lang w:val="en-GB"/>
        </w:rPr>
        <w:t>sub-questions:</w:t>
      </w:r>
    </w:p>
    <w:p w14:paraId="1DDF3F89" w14:textId="73BD3F65" w:rsidR="00D21C58" w:rsidRPr="00393CB4" w:rsidRDefault="00D21C58" w:rsidP="00D21C58">
      <w:pPr>
        <w:pStyle w:val="ListParagraph"/>
        <w:numPr>
          <w:ilvl w:val="0"/>
          <w:numId w:val="17"/>
        </w:numPr>
        <w:jc w:val="both"/>
        <w:rPr>
          <w:rFonts w:ascii="Times New Roman" w:hAnsi="Times New Roman"/>
          <w:color w:val="000000" w:themeColor="text1"/>
          <w:lang w:val="en-GB"/>
        </w:rPr>
      </w:pPr>
      <w:r w:rsidRPr="00393CB4">
        <w:rPr>
          <w:rFonts w:ascii="Times New Roman" w:hAnsi="Times New Roman"/>
          <w:color w:val="000000" w:themeColor="text1"/>
          <w:lang w:val="en-GB"/>
        </w:rPr>
        <w:lastRenderedPageBreak/>
        <w:t xml:space="preserve">How complex and ambiguous was the </w:t>
      </w:r>
      <w:r w:rsidR="009D650F" w:rsidRPr="00393CB4">
        <w:rPr>
          <w:rFonts w:ascii="Times New Roman" w:hAnsi="Times New Roman"/>
          <w:color w:val="000000" w:themeColor="text1"/>
          <w:lang w:val="en-GB"/>
        </w:rPr>
        <w:t>decisional</w:t>
      </w:r>
      <w:r w:rsidRPr="00393CB4">
        <w:rPr>
          <w:rFonts w:ascii="Times New Roman" w:hAnsi="Times New Roman"/>
          <w:color w:val="000000" w:themeColor="text1"/>
          <w:lang w:val="en-GB"/>
        </w:rPr>
        <w:t xml:space="preserve"> context in the Channel-MOR project?</w:t>
      </w:r>
    </w:p>
    <w:p w14:paraId="08A15DDF" w14:textId="656C39EA" w:rsidR="00D21C58" w:rsidRPr="00393CB4" w:rsidRDefault="00D21C58" w:rsidP="00D21C58">
      <w:pPr>
        <w:pStyle w:val="ListParagraph"/>
        <w:numPr>
          <w:ilvl w:val="0"/>
          <w:numId w:val="17"/>
        </w:numPr>
        <w:jc w:val="both"/>
        <w:rPr>
          <w:rFonts w:ascii="Times New Roman" w:hAnsi="Times New Roman"/>
          <w:color w:val="000000" w:themeColor="text1"/>
          <w:lang w:val="en-GB"/>
        </w:rPr>
      </w:pPr>
      <w:r w:rsidRPr="00393CB4">
        <w:rPr>
          <w:rFonts w:ascii="Times New Roman" w:hAnsi="Times New Roman"/>
          <w:color w:val="000000" w:themeColor="text1"/>
          <w:lang w:val="en-GB"/>
        </w:rPr>
        <w:t>What is the evidence that idealisation took place?</w:t>
      </w:r>
    </w:p>
    <w:p w14:paraId="797C5591" w14:textId="53C77EA2" w:rsidR="00D21C58" w:rsidRPr="00393CB4" w:rsidRDefault="00D21C58" w:rsidP="00D21C58">
      <w:pPr>
        <w:pStyle w:val="ListParagraph"/>
        <w:numPr>
          <w:ilvl w:val="0"/>
          <w:numId w:val="17"/>
        </w:numPr>
        <w:jc w:val="both"/>
        <w:rPr>
          <w:rFonts w:ascii="Times New Roman" w:hAnsi="Times New Roman"/>
          <w:color w:val="000000" w:themeColor="text1"/>
          <w:lang w:val="en-GB"/>
        </w:rPr>
      </w:pPr>
      <w:r w:rsidRPr="00393CB4">
        <w:rPr>
          <w:rFonts w:ascii="Times New Roman" w:hAnsi="Times New Roman"/>
          <w:color w:val="000000" w:themeColor="text1"/>
          <w:lang w:val="en-GB"/>
        </w:rPr>
        <w:t>What are the coalitions to consider when explaining idealisation as a behaviour?</w:t>
      </w:r>
    </w:p>
    <w:p w14:paraId="2751DC81" w14:textId="5F43BD5E" w:rsidR="00D21C58" w:rsidRPr="00393CB4" w:rsidRDefault="00D21C58" w:rsidP="00D21C58">
      <w:pPr>
        <w:pStyle w:val="ListParagraph"/>
        <w:numPr>
          <w:ilvl w:val="0"/>
          <w:numId w:val="17"/>
        </w:numPr>
        <w:jc w:val="both"/>
        <w:rPr>
          <w:rFonts w:ascii="Times New Roman" w:hAnsi="Times New Roman"/>
          <w:color w:val="000000" w:themeColor="text1"/>
          <w:lang w:val="en-GB"/>
        </w:rPr>
      </w:pPr>
      <w:r w:rsidRPr="00393CB4">
        <w:rPr>
          <w:rFonts w:ascii="Times New Roman" w:hAnsi="Times New Roman"/>
          <w:color w:val="000000" w:themeColor="text1"/>
          <w:lang w:val="en-GB"/>
        </w:rPr>
        <w:t>What are the root causes of idealisation?  Was it avoided in any of the cases, and if so, how?</w:t>
      </w:r>
    </w:p>
    <w:p w14:paraId="44FED233" w14:textId="04A8273B" w:rsidR="00D21C58" w:rsidRPr="00393CB4" w:rsidRDefault="00D21C58" w:rsidP="00D21C58">
      <w:pPr>
        <w:pStyle w:val="ListParagraph"/>
        <w:numPr>
          <w:ilvl w:val="0"/>
          <w:numId w:val="17"/>
        </w:numPr>
        <w:jc w:val="both"/>
        <w:rPr>
          <w:rFonts w:ascii="Times New Roman" w:hAnsi="Times New Roman"/>
          <w:color w:val="000000" w:themeColor="text1"/>
          <w:lang w:val="en-GB"/>
        </w:rPr>
      </w:pPr>
      <w:r w:rsidRPr="00393CB4">
        <w:rPr>
          <w:rFonts w:ascii="Times New Roman" w:hAnsi="Times New Roman"/>
          <w:color w:val="000000" w:themeColor="text1"/>
          <w:lang w:val="en-GB"/>
        </w:rPr>
        <w:t>What is the impact of idealisation?</w:t>
      </w:r>
    </w:p>
    <w:p w14:paraId="5DFFB107" w14:textId="6D5436A1" w:rsidR="00E116C9" w:rsidRPr="00393CB4" w:rsidRDefault="00D21C58" w:rsidP="00A256D1">
      <w:pPr>
        <w:pStyle w:val="Heading1"/>
        <w:rPr>
          <w:color w:val="000000" w:themeColor="text1"/>
        </w:rPr>
      </w:pPr>
      <w:r w:rsidRPr="00393CB4">
        <w:rPr>
          <w:color w:val="000000" w:themeColor="text1"/>
        </w:rPr>
        <w:t>4</w:t>
      </w:r>
      <w:r w:rsidR="00E116C9" w:rsidRPr="00393CB4">
        <w:rPr>
          <w:color w:val="000000" w:themeColor="text1"/>
        </w:rPr>
        <w:t xml:space="preserve">. </w:t>
      </w:r>
      <w:r w:rsidR="00A256D1" w:rsidRPr="00393CB4">
        <w:rPr>
          <w:color w:val="000000" w:themeColor="text1"/>
        </w:rPr>
        <w:t>Case Study</w:t>
      </w:r>
    </w:p>
    <w:p w14:paraId="013C9467" w14:textId="53A8711A" w:rsidR="00A256D1" w:rsidRPr="00393CB4" w:rsidRDefault="00D21C58" w:rsidP="00A256D1">
      <w:pPr>
        <w:pStyle w:val="Heading2"/>
        <w:rPr>
          <w:color w:val="000000" w:themeColor="text1"/>
          <w:lang w:val="en-GB"/>
        </w:rPr>
      </w:pPr>
      <w:r w:rsidRPr="00393CB4">
        <w:rPr>
          <w:color w:val="000000" w:themeColor="text1"/>
          <w:lang w:val="en-GB"/>
        </w:rPr>
        <w:t>4</w:t>
      </w:r>
      <w:r w:rsidR="00A256D1" w:rsidRPr="00393CB4">
        <w:rPr>
          <w:color w:val="000000" w:themeColor="text1"/>
          <w:lang w:val="en-GB"/>
        </w:rPr>
        <w:t>.1. The Channel-MOR Project</w:t>
      </w:r>
    </w:p>
    <w:p w14:paraId="0C15D6F0" w14:textId="3E641A32" w:rsidR="00A256D1" w:rsidRPr="00393CB4" w:rsidRDefault="00D21C58" w:rsidP="00A256D1">
      <w:pPr>
        <w:pStyle w:val="Heading2"/>
        <w:rPr>
          <w:rFonts w:ascii="Times New Roman" w:hAnsi="Times New Roman"/>
          <w:color w:val="000000" w:themeColor="text1"/>
          <w:lang w:val="en-GB"/>
        </w:rPr>
      </w:pPr>
      <w:r w:rsidRPr="00393CB4">
        <w:rPr>
          <w:rFonts w:ascii="Times New Roman" w:hAnsi="Times New Roman"/>
          <w:color w:val="000000" w:themeColor="text1"/>
          <w:lang w:val="en-GB"/>
        </w:rPr>
        <w:t>4</w:t>
      </w:r>
      <w:r w:rsidR="00A256D1" w:rsidRPr="00393CB4">
        <w:rPr>
          <w:rFonts w:ascii="Times New Roman" w:hAnsi="Times New Roman"/>
          <w:color w:val="000000" w:themeColor="text1"/>
          <w:lang w:val="en-GB"/>
        </w:rPr>
        <w:t>.1.1. Background</w:t>
      </w:r>
    </w:p>
    <w:p w14:paraId="3CE36C69" w14:textId="2F738787" w:rsidR="00A256D1" w:rsidRPr="00393CB4" w:rsidRDefault="00A256D1" w:rsidP="00A256D1">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Marine renewable energy (MRE) is a promising addition to the portfolio of energy sources of the future in a context of increasing global concerns with sustainability.  The energy policy literature has discussed the potential of MRE sources in this context at great length, especially in the case of offshore wind (e.g., </w:t>
      </w:r>
      <w:proofErr w:type="spellStart"/>
      <w:r w:rsidRPr="00393CB4">
        <w:rPr>
          <w:rFonts w:ascii="Times New Roman" w:hAnsi="Times New Roman"/>
          <w:color w:val="000000" w:themeColor="text1"/>
          <w:lang w:val="en-GB"/>
        </w:rPr>
        <w:t>Makridis</w:t>
      </w:r>
      <w:proofErr w:type="spellEnd"/>
      <w:r w:rsidRPr="00393CB4">
        <w:rPr>
          <w:rFonts w:ascii="Times New Roman" w:hAnsi="Times New Roman"/>
          <w:color w:val="000000" w:themeColor="text1"/>
          <w:lang w:val="en-GB"/>
        </w:rPr>
        <w:t xml:space="preserve">, 2013; Higgins and Fowley, 2014; </w:t>
      </w:r>
      <w:proofErr w:type="spellStart"/>
      <w:r w:rsidRPr="00393CB4">
        <w:rPr>
          <w:rFonts w:ascii="Times New Roman" w:hAnsi="Times New Roman"/>
          <w:color w:val="000000" w:themeColor="text1"/>
          <w:lang w:val="en-GB"/>
        </w:rPr>
        <w:t>Toke</w:t>
      </w:r>
      <w:proofErr w:type="spellEnd"/>
      <w:r w:rsidRPr="00393CB4">
        <w:rPr>
          <w:rFonts w:ascii="Times New Roman" w:hAnsi="Times New Roman"/>
          <w:color w:val="000000" w:themeColor="text1"/>
          <w:lang w:val="en-GB"/>
        </w:rPr>
        <w:t>, 2011).  There is an equally rich literature analysing the challenges facing the growth of the offshore wind sector (e.g. Govindan and Shankar, 2016), with key concerns including cost (</w:t>
      </w:r>
      <w:proofErr w:type="spellStart"/>
      <w:r w:rsidRPr="00393CB4">
        <w:rPr>
          <w:rFonts w:ascii="Times New Roman" w:hAnsi="Times New Roman"/>
          <w:color w:val="000000" w:themeColor="text1"/>
          <w:lang w:val="en-GB"/>
        </w:rPr>
        <w:t>Stentoft</w:t>
      </w:r>
      <w:proofErr w:type="spellEnd"/>
      <w:r w:rsidRPr="00393CB4">
        <w:rPr>
          <w:rFonts w:ascii="Times New Roman" w:hAnsi="Times New Roman"/>
          <w:color w:val="000000" w:themeColor="text1"/>
          <w:lang w:val="en-GB"/>
        </w:rPr>
        <w:t xml:space="preserve"> et al., 2016; </w:t>
      </w:r>
      <w:proofErr w:type="spellStart"/>
      <w:r w:rsidRPr="00393CB4">
        <w:rPr>
          <w:rFonts w:ascii="Times New Roman" w:hAnsi="Times New Roman"/>
          <w:color w:val="000000" w:themeColor="text1"/>
          <w:lang w:val="en-GB"/>
        </w:rPr>
        <w:t>Gernaat</w:t>
      </w:r>
      <w:proofErr w:type="spellEnd"/>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et al</w:t>
      </w:r>
      <w:r w:rsidRPr="00393CB4">
        <w:rPr>
          <w:rFonts w:ascii="Times New Roman" w:hAnsi="Times New Roman"/>
          <w:color w:val="000000" w:themeColor="text1"/>
          <w:lang w:val="en-GB"/>
        </w:rPr>
        <w:t xml:space="preserve">., 2014; </w:t>
      </w:r>
      <w:proofErr w:type="spellStart"/>
      <w:r w:rsidRPr="00393CB4">
        <w:rPr>
          <w:rFonts w:ascii="Times New Roman" w:hAnsi="Times New Roman"/>
          <w:color w:val="000000" w:themeColor="text1"/>
          <w:lang w:val="en-GB"/>
        </w:rPr>
        <w:t>Kaldellis</w:t>
      </w:r>
      <w:proofErr w:type="spellEnd"/>
      <w:r w:rsidRPr="00393CB4">
        <w:rPr>
          <w:rFonts w:ascii="Times New Roman" w:hAnsi="Times New Roman"/>
          <w:color w:val="000000" w:themeColor="text1"/>
          <w:lang w:val="en-GB"/>
        </w:rPr>
        <w:t xml:space="preserve"> and </w:t>
      </w:r>
      <w:proofErr w:type="spellStart"/>
      <w:r w:rsidRPr="00393CB4">
        <w:rPr>
          <w:rFonts w:ascii="Times New Roman" w:hAnsi="Times New Roman"/>
          <w:color w:val="000000" w:themeColor="text1"/>
          <w:lang w:val="en-GB"/>
        </w:rPr>
        <w:t>Kapasali</w:t>
      </w:r>
      <w:proofErr w:type="spellEnd"/>
      <w:r w:rsidRPr="00393CB4">
        <w:rPr>
          <w:rFonts w:ascii="Times New Roman" w:hAnsi="Times New Roman"/>
          <w:color w:val="000000" w:themeColor="text1"/>
          <w:lang w:val="en-GB"/>
        </w:rPr>
        <w:t>, 2013), technology capability (</w:t>
      </w:r>
      <w:proofErr w:type="spellStart"/>
      <w:r w:rsidRPr="00393CB4">
        <w:rPr>
          <w:rFonts w:ascii="Times New Roman" w:hAnsi="Times New Roman"/>
          <w:color w:val="000000" w:themeColor="text1"/>
          <w:lang w:val="en-GB"/>
        </w:rPr>
        <w:t>Perveen</w:t>
      </w:r>
      <w:proofErr w:type="spellEnd"/>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et al</w:t>
      </w:r>
      <w:r w:rsidRPr="00393CB4">
        <w:rPr>
          <w:rFonts w:ascii="Times New Roman" w:hAnsi="Times New Roman"/>
          <w:color w:val="000000" w:themeColor="text1"/>
          <w:lang w:val="en-GB"/>
        </w:rPr>
        <w:t xml:space="preserve">., 2014; </w:t>
      </w:r>
      <w:proofErr w:type="spellStart"/>
      <w:r w:rsidRPr="00393CB4">
        <w:rPr>
          <w:rFonts w:ascii="Times New Roman" w:hAnsi="Times New Roman"/>
          <w:color w:val="000000" w:themeColor="text1"/>
          <w:lang w:val="en-GB"/>
        </w:rPr>
        <w:t>Kaldellis</w:t>
      </w:r>
      <w:proofErr w:type="spellEnd"/>
      <w:r w:rsidRPr="00393CB4">
        <w:rPr>
          <w:rFonts w:ascii="Times New Roman" w:hAnsi="Times New Roman"/>
          <w:color w:val="000000" w:themeColor="text1"/>
          <w:lang w:val="en-GB"/>
        </w:rPr>
        <w:t xml:space="preserve"> and </w:t>
      </w:r>
      <w:proofErr w:type="spellStart"/>
      <w:r w:rsidRPr="00393CB4">
        <w:rPr>
          <w:rFonts w:ascii="Times New Roman" w:hAnsi="Times New Roman"/>
          <w:color w:val="000000" w:themeColor="text1"/>
          <w:lang w:val="en-GB"/>
        </w:rPr>
        <w:t>Kapasali</w:t>
      </w:r>
      <w:proofErr w:type="spellEnd"/>
      <w:r w:rsidRPr="00393CB4">
        <w:rPr>
          <w:rFonts w:ascii="Times New Roman" w:hAnsi="Times New Roman"/>
          <w:color w:val="000000" w:themeColor="text1"/>
          <w:lang w:val="en-GB"/>
        </w:rPr>
        <w:t xml:space="preserve">, 2013, Sun </w:t>
      </w:r>
      <w:r w:rsidRPr="00393CB4">
        <w:rPr>
          <w:rFonts w:ascii="Times New Roman" w:hAnsi="Times New Roman"/>
          <w:i/>
          <w:color w:val="000000" w:themeColor="text1"/>
          <w:lang w:val="en-GB"/>
        </w:rPr>
        <w:t>et al</w:t>
      </w:r>
      <w:r w:rsidRPr="00393CB4">
        <w:rPr>
          <w:rFonts w:ascii="Times New Roman" w:hAnsi="Times New Roman"/>
          <w:color w:val="000000" w:themeColor="text1"/>
          <w:lang w:val="en-GB"/>
        </w:rPr>
        <w:t>., 2012), often volatile political support (</w:t>
      </w:r>
      <w:proofErr w:type="spellStart"/>
      <w:r w:rsidRPr="00393CB4">
        <w:rPr>
          <w:rFonts w:ascii="Times New Roman" w:hAnsi="Times New Roman"/>
          <w:color w:val="000000" w:themeColor="text1"/>
          <w:lang w:val="en-GB"/>
        </w:rPr>
        <w:t>Normann</w:t>
      </w:r>
      <w:proofErr w:type="spellEnd"/>
      <w:r w:rsidRPr="00393CB4">
        <w:rPr>
          <w:rFonts w:ascii="Times New Roman" w:hAnsi="Times New Roman"/>
          <w:color w:val="000000" w:themeColor="text1"/>
          <w:lang w:val="en-GB"/>
        </w:rPr>
        <w:t>, 2015), ‘battles over institutions' (</w:t>
      </w:r>
      <w:proofErr w:type="spellStart"/>
      <w:r w:rsidRPr="00393CB4">
        <w:rPr>
          <w:rFonts w:ascii="Times New Roman" w:hAnsi="Times New Roman"/>
          <w:color w:val="000000" w:themeColor="text1"/>
          <w:lang w:val="en-GB"/>
        </w:rPr>
        <w:t>Jacobsson</w:t>
      </w:r>
      <w:proofErr w:type="spellEnd"/>
      <w:r w:rsidRPr="00393CB4">
        <w:rPr>
          <w:rFonts w:ascii="Times New Roman" w:hAnsi="Times New Roman"/>
          <w:color w:val="000000" w:themeColor="text1"/>
          <w:lang w:val="en-GB"/>
        </w:rPr>
        <w:t xml:space="preserve"> and Lauber, 2006; </w:t>
      </w:r>
      <w:proofErr w:type="spellStart"/>
      <w:r w:rsidRPr="00393CB4">
        <w:rPr>
          <w:rFonts w:ascii="Times New Roman" w:hAnsi="Times New Roman"/>
          <w:color w:val="000000" w:themeColor="text1"/>
          <w:lang w:val="en-GB"/>
        </w:rPr>
        <w:t>Dhanju</w:t>
      </w:r>
      <w:proofErr w:type="spellEnd"/>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et al</w:t>
      </w:r>
      <w:r w:rsidRPr="00393CB4">
        <w:rPr>
          <w:rFonts w:ascii="Times New Roman" w:hAnsi="Times New Roman"/>
          <w:color w:val="000000" w:themeColor="text1"/>
          <w:lang w:val="en-GB"/>
        </w:rPr>
        <w:t xml:space="preserve">., 2011), and social acceptance (Bell </w:t>
      </w:r>
      <w:r w:rsidRPr="00393CB4">
        <w:rPr>
          <w:rFonts w:ascii="Times New Roman" w:hAnsi="Times New Roman"/>
          <w:i/>
          <w:color w:val="000000" w:themeColor="text1"/>
          <w:lang w:val="en-GB"/>
        </w:rPr>
        <w:t>et al</w:t>
      </w:r>
      <w:r w:rsidRPr="00393CB4">
        <w:rPr>
          <w:rFonts w:ascii="Times New Roman" w:hAnsi="Times New Roman"/>
          <w:color w:val="000000" w:themeColor="text1"/>
          <w:lang w:val="en-GB"/>
        </w:rPr>
        <w:t xml:space="preserve">., 2005; Devine-Wright, 2005; </w:t>
      </w:r>
      <w:proofErr w:type="spellStart"/>
      <w:r w:rsidRPr="00393CB4">
        <w:rPr>
          <w:rFonts w:ascii="Times New Roman" w:hAnsi="Times New Roman"/>
          <w:color w:val="000000" w:themeColor="text1"/>
          <w:lang w:val="en-GB"/>
        </w:rPr>
        <w:t>Wolsink</w:t>
      </w:r>
      <w:proofErr w:type="spellEnd"/>
      <w:r w:rsidRPr="00393CB4">
        <w:rPr>
          <w:rFonts w:ascii="Times New Roman" w:hAnsi="Times New Roman"/>
          <w:color w:val="000000" w:themeColor="text1"/>
          <w:lang w:val="en-GB"/>
        </w:rPr>
        <w:t>, 2011).  Throughout the rest of this paper, it is important to bear in mind this ambivalent property of renewable energy in both the research literature but also in the popular press: the MRE sector is often described as an exciting, very promising, new ‘smart’ sector which is however associated with considerable commercial, technological, social, and political risks.</w:t>
      </w:r>
    </w:p>
    <w:p w14:paraId="7BC2D876" w14:textId="20D0AE73" w:rsidR="00A256D1" w:rsidRPr="00393CB4" w:rsidRDefault="00D21C58" w:rsidP="00A256D1">
      <w:pPr>
        <w:pStyle w:val="Heading2"/>
        <w:rPr>
          <w:rFonts w:ascii="Times New Roman" w:hAnsi="Times New Roman"/>
          <w:color w:val="000000" w:themeColor="text1"/>
          <w:lang w:val="en-GB"/>
        </w:rPr>
      </w:pPr>
      <w:r w:rsidRPr="00393CB4">
        <w:rPr>
          <w:rFonts w:ascii="Times New Roman" w:hAnsi="Times New Roman"/>
          <w:color w:val="000000" w:themeColor="text1"/>
          <w:lang w:val="en-GB"/>
        </w:rPr>
        <w:t>4</w:t>
      </w:r>
      <w:r w:rsidR="00A256D1" w:rsidRPr="00393CB4">
        <w:rPr>
          <w:rFonts w:ascii="Times New Roman" w:hAnsi="Times New Roman"/>
          <w:color w:val="000000" w:themeColor="text1"/>
          <w:lang w:val="en-GB"/>
        </w:rPr>
        <w:t>.</w:t>
      </w:r>
      <w:r w:rsidR="00D73237">
        <w:rPr>
          <w:rFonts w:ascii="Times New Roman" w:hAnsi="Times New Roman"/>
          <w:color w:val="000000" w:themeColor="text1"/>
          <w:lang w:val="en-GB"/>
        </w:rPr>
        <w:t>1</w:t>
      </w:r>
      <w:r w:rsidR="00A256D1" w:rsidRPr="00393CB4">
        <w:rPr>
          <w:rFonts w:ascii="Times New Roman" w:hAnsi="Times New Roman"/>
          <w:color w:val="000000" w:themeColor="text1"/>
          <w:lang w:val="en-GB"/>
        </w:rPr>
        <w:t>.2. Channel MOR Project</w:t>
      </w:r>
    </w:p>
    <w:p w14:paraId="7CF726FE" w14:textId="77777777" w:rsidR="00A256D1" w:rsidRPr="00393CB4" w:rsidRDefault="00A256D1" w:rsidP="00A256D1">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The purpose of the project was to produce a strategic position analysis of each Channel region in order to identify strategies so that local businesses (and especially local SMEs) could take advantage of </w:t>
      </w:r>
      <w:r w:rsidRPr="00393CB4">
        <w:rPr>
          <w:rFonts w:ascii="Times New Roman" w:hAnsi="Times New Roman"/>
          <w:color w:val="000000" w:themeColor="text1"/>
          <w:lang w:val="en-GB"/>
        </w:rPr>
        <w:lastRenderedPageBreak/>
        <w:t xml:space="preserve">Maritime Renewable Energy (MRE) opportunities.  The Channel-MOR project brought together 6 different partners, 3 from the UK and 3 from France, each involving a team of 5 individuals on average.   A traditional strategic analysis approach (SWOT analysis, </w:t>
      </w:r>
      <w:proofErr w:type="spellStart"/>
      <w:r w:rsidRPr="00393CB4">
        <w:rPr>
          <w:rFonts w:ascii="Times New Roman" w:hAnsi="Times New Roman"/>
          <w:color w:val="000000" w:themeColor="text1"/>
          <w:lang w:val="en-GB"/>
        </w:rPr>
        <w:t>Wheelen</w:t>
      </w:r>
      <w:proofErr w:type="spellEnd"/>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et al</w:t>
      </w:r>
      <w:r w:rsidRPr="00393CB4">
        <w:rPr>
          <w:rFonts w:ascii="Times New Roman" w:hAnsi="Times New Roman"/>
          <w:color w:val="000000" w:themeColor="text1"/>
          <w:lang w:val="en-GB"/>
        </w:rPr>
        <w:t xml:space="preserve">., 2015) was used to facilitate data collection as direct and indirect participants would all be familiar with it.  However, SWOT can be used subjectively or erroneously (Hill and Westbrook, 1997) and in order to address such issues, the applied research design described below was used.   </w:t>
      </w:r>
    </w:p>
    <w:p w14:paraId="309FCF7E" w14:textId="77777777" w:rsidR="00A256D1" w:rsidRPr="00393CB4" w:rsidRDefault="00A256D1" w:rsidP="00A256D1">
      <w:pPr>
        <w:jc w:val="both"/>
        <w:rPr>
          <w:rFonts w:ascii="Times New Roman" w:hAnsi="Times New Roman"/>
          <w:color w:val="000000" w:themeColor="text1"/>
          <w:lang w:val="en-GB"/>
        </w:rPr>
      </w:pPr>
      <w:r w:rsidRPr="00393CB4">
        <w:rPr>
          <w:rFonts w:ascii="Times New Roman" w:hAnsi="Times New Roman"/>
          <w:color w:val="000000" w:themeColor="text1"/>
          <w:lang w:val="en-GB"/>
        </w:rPr>
        <w:t>A literature review was used to generate a list of commonly used strategic factors (strengths, weaknesses, opportunities, and threats, see table 1).  To measure the relative importance of strategic factors, a global survey of experts was performed (including but not limited to the Channel-MOR team). The full survey was released in July 2014 after a pilot survey.  1751 invitations to complete the survey were sent to industry experts listed in the Channel-MOR database of contacts, which includes published academic authors, regional officers, and practitioners.  A total of 80 e-mails bounced back making the effective population size 1671.  A total of 91 people started the survey.  However, as the survey was quite long to complete, only 57 completed the survey, for a response rate of 3.4%.  The focus of the survey was to rate the importance of strategic factors through pairwise comparisons.  For example, respondents were asked if a region would derive a stronger competitive advantage in the MRE sector from local R&amp;D capabilities by opposition to ideal siting conditions for MRE facilities. Survey results are shown in table 1.</w:t>
      </w:r>
    </w:p>
    <w:p w14:paraId="7DE7D9EE" w14:textId="062AAD5C" w:rsidR="00A256D1" w:rsidRPr="00393CB4" w:rsidRDefault="00A256D1" w:rsidP="00A256D1">
      <w:pPr>
        <w:jc w:val="both"/>
        <w:rPr>
          <w:rFonts w:ascii="Times New Roman" w:hAnsi="Times New Roman"/>
          <w:color w:val="000000" w:themeColor="text1"/>
          <w:lang w:val="en-GB"/>
        </w:rPr>
      </w:pPr>
      <w:r w:rsidRPr="00393CB4">
        <w:rPr>
          <w:rFonts w:ascii="Times New Roman" w:hAnsi="Times New Roman"/>
          <w:color w:val="000000" w:themeColor="text1"/>
          <w:lang w:val="en-GB"/>
        </w:rPr>
        <w:t>The survey results revealed high variation and skew.  Given the nature of the survey – rating strategic factors in a sector famous for its strategic ambiguity- this issue was anticipated, and the survey was based on an AHP methodology (</w:t>
      </w:r>
      <w:proofErr w:type="spellStart"/>
      <w:r w:rsidRPr="00393CB4">
        <w:rPr>
          <w:rFonts w:ascii="Times New Roman" w:hAnsi="Times New Roman"/>
          <w:color w:val="000000" w:themeColor="text1"/>
          <w:lang w:val="en-GB"/>
        </w:rPr>
        <w:t>Saaty</w:t>
      </w:r>
      <w:proofErr w:type="spellEnd"/>
      <w:r w:rsidRPr="00393CB4">
        <w:rPr>
          <w:rFonts w:ascii="Times New Roman" w:hAnsi="Times New Roman"/>
          <w:color w:val="000000" w:themeColor="text1"/>
          <w:lang w:val="en-GB"/>
        </w:rPr>
        <w:t>, 1980) through which the logical consistency of respondents can be measured.  A question about the respondents’ self-rated confidence was also added to the survey,</w:t>
      </w:r>
      <w:r w:rsidR="00D21C58" w:rsidRPr="00393CB4">
        <w:rPr>
          <w:rFonts w:ascii="Times New Roman" w:hAnsi="Times New Roman"/>
          <w:color w:val="000000" w:themeColor="text1"/>
          <w:lang w:val="en-GB"/>
        </w:rPr>
        <w:t xml:space="preserve"> and the graph shown in figure 2</w:t>
      </w:r>
      <w:r w:rsidRPr="00393CB4">
        <w:rPr>
          <w:rFonts w:ascii="Times New Roman" w:hAnsi="Times New Roman"/>
          <w:color w:val="000000" w:themeColor="text1"/>
          <w:lang w:val="en-GB"/>
        </w:rPr>
        <w:t xml:space="preserve"> was used to only select as valid answers those from respondents who self-rated themselves as confident and who achieved acceptable levels of logical consistency.  The results of the survey from the experts group (</w:t>
      </w:r>
      <w:r w:rsidRPr="00393CB4">
        <w:rPr>
          <w:rFonts w:ascii="Times New Roman" w:hAnsi="Times New Roman"/>
          <w:i/>
          <w:color w:val="000000" w:themeColor="text1"/>
          <w:lang w:val="en-GB"/>
        </w:rPr>
        <w:t>n</w:t>
      </w:r>
      <w:r w:rsidRPr="00393CB4">
        <w:rPr>
          <w:rFonts w:ascii="Times New Roman" w:hAnsi="Times New Roman"/>
          <w:color w:val="000000" w:themeColor="text1"/>
          <w:lang w:val="en-GB"/>
        </w:rPr>
        <w:t>=40) was used to define the weight of each strategic factor in the mapping exercise.</w:t>
      </w:r>
    </w:p>
    <w:p w14:paraId="42A07267" w14:textId="77777777" w:rsidR="00A256D1" w:rsidRPr="00393CB4" w:rsidRDefault="00A256D1" w:rsidP="00A256D1">
      <w:pPr>
        <w:jc w:val="center"/>
        <w:rPr>
          <w:rFonts w:ascii="Times New Roman" w:hAnsi="Times New Roman"/>
          <w:color w:val="000000" w:themeColor="text1"/>
          <w:lang w:val="en-GB"/>
        </w:rPr>
      </w:pPr>
      <w:r w:rsidRPr="00393CB4">
        <w:rPr>
          <w:rFonts w:ascii="Times New Roman" w:hAnsi="Times New Roman"/>
          <w:color w:val="000000" w:themeColor="text1"/>
          <w:lang w:val="en-GB"/>
        </w:rPr>
        <w:object w:dxaOrig="16292" w:dyaOrig="9304" w14:anchorId="0B601CC6">
          <v:shape id="_x0000_i1026" type="#_x0000_t75" style="width:423pt;height:241.5pt" o:ole="">
            <v:imagedata r:id="rId10" o:title=""/>
          </v:shape>
          <o:OLEObject Type="Embed" ProgID="Visio.Drawing.11" ShapeID="_x0000_i1026" DrawAspect="Content" ObjectID="_1599325615" r:id="rId11"/>
        </w:object>
      </w:r>
    </w:p>
    <w:p w14:paraId="2051A579" w14:textId="5DD27349" w:rsidR="00A256D1" w:rsidRPr="00393CB4" w:rsidRDefault="00D21C58" w:rsidP="00A256D1">
      <w:pPr>
        <w:jc w:val="center"/>
        <w:rPr>
          <w:rFonts w:ascii="Times New Roman" w:hAnsi="Times New Roman"/>
          <w:i/>
          <w:color w:val="000000" w:themeColor="text1"/>
          <w:lang w:val="en-GB"/>
        </w:rPr>
      </w:pPr>
      <w:r w:rsidRPr="00393CB4">
        <w:rPr>
          <w:rFonts w:ascii="Times New Roman" w:hAnsi="Times New Roman"/>
          <w:i/>
          <w:color w:val="000000" w:themeColor="text1"/>
          <w:lang w:val="en-GB"/>
        </w:rPr>
        <w:t>Figure 2</w:t>
      </w:r>
      <w:r w:rsidR="00A256D1" w:rsidRPr="00393CB4">
        <w:rPr>
          <w:rFonts w:ascii="Times New Roman" w:hAnsi="Times New Roman"/>
          <w:i/>
          <w:color w:val="000000" w:themeColor="text1"/>
          <w:lang w:val="en-GB"/>
        </w:rPr>
        <w:t>. Scatter diagram of average consistency ratio (y) against confidence (x) of each respondent</w:t>
      </w:r>
    </w:p>
    <w:p w14:paraId="15C2A07D" w14:textId="77777777" w:rsidR="006B536E" w:rsidRPr="00393CB4" w:rsidRDefault="006B536E" w:rsidP="006B536E">
      <w:pPr>
        <w:ind w:firstLine="720"/>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Each regional team was asked to perform an External Factors Strategic Analysis (EFAS) and an Internal Factors Strategic Analysis (IFAS; </w:t>
      </w:r>
      <w:proofErr w:type="spellStart"/>
      <w:r w:rsidRPr="00393CB4">
        <w:rPr>
          <w:rFonts w:ascii="Times New Roman" w:hAnsi="Times New Roman"/>
          <w:color w:val="000000" w:themeColor="text1"/>
          <w:lang w:val="en-GB"/>
        </w:rPr>
        <w:t>Wheelen</w:t>
      </w:r>
      <w:proofErr w:type="spellEnd"/>
      <w:r w:rsidRPr="00393CB4">
        <w:rPr>
          <w:rFonts w:ascii="Times New Roman" w:hAnsi="Times New Roman"/>
          <w:color w:val="000000" w:themeColor="text1"/>
          <w:lang w:val="en-GB"/>
        </w:rPr>
        <w:t xml:space="preserve"> et al., 2015).  Each team reviewed previous applied research projects outputs and/or collected new data in order to determine a regional rating for each strategic factor, i.e. a measure of the ability of a region to take action in relation to a factor. Typically, additional data collection was done through workshops involving 5 to 10 additional participants.</w:t>
      </w:r>
    </w:p>
    <w:p w14:paraId="669385E4" w14:textId="77777777" w:rsidR="006B536E" w:rsidRPr="00393CB4" w:rsidRDefault="006B536E" w:rsidP="006B536E">
      <w:pPr>
        <w:ind w:firstLine="720"/>
        <w:jc w:val="both"/>
        <w:rPr>
          <w:rFonts w:ascii="Times New Roman" w:hAnsi="Times New Roman"/>
          <w:color w:val="000000" w:themeColor="text1"/>
          <w:lang w:val="en-GB"/>
        </w:rPr>
      </w:pPr>
      <w:r w:rsidRPr="00393CB4">
        <w:rPr>
          <w:rFonts w:ascii="Times New Roman" w:hAnsi="Times New Roman"/>
          <w:color w:val="000000" w:themeColor="text1"/>
          <w:lang w:val="en-GB"/>
        </w:rPr>
        <w:t>The strategic mapping was performed with the approach developed by Chang and Huang (2006):  the product of the weight and of the rating for each factor gives a score on a scale from 0 to 5.  For each region, these values are plotted on Christensen et al. (1976) grand strategy matrix, where threats are considered as negative opportunities and weaknesses as negative strengths, as shown at the top of figure 3.</w:t>
      </w:r>
    </w:p>
    <w:p w14:paraId="628AD69A" w14:textId="77777777" w:rsidR="006B536E" w:rsidRPr="00393CB4" w:rsidRDefault="006B536E" w:rsidP="00A256D1">
      <w:pPr>
        <w:rPr>
          <w:rFonts w:ascii="Times New Roman" w:hAnsi="Times New Roman"/>
          <w:color w:val="000000" w:themeColor="text1"/>
          <w:lang w:val="en-GB"/>
        </w:rPr>
        <w:sectPr w:rsidR="006B536E" w:rsidRPr="00393CB4" w:rsidSect="007D39E7">
          <w:footerReference w:type="default" r:id="rId12"/>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4642"/>
        <w:gridCol w:w="730"/>
        <w:gridCol w:w="987"/>
        <w:gridCol w:w="906"/>
        <w:gridCol w:w="973"/>
        <w:gridCol w:w="987"/>
        <w:gridCol w:w="703"/>
        <w:gridCol w:w="846"/>
        <w:gridCol w:w="984"/>
        <w:gridCol w:w="805"/>
      </w:tblGrid>
      <w:tr w:rsidR="00393CB4" w:rsidRPr="00393CB4" w14:paraId="4645B436" w14:textId="77777777" w:rsidTr="007447E4">
        <w:trPr>
          <w:trHeight w:val="305"/>
        </w:trPr>
        <w:tc>
          <w:tcPr>
            <w:tcW w:w="6164" w:type="dxa"/>
            <w:gridSpan w:val="2"/>
            <w:vMerge w:val="restart"/>
            <w:vAlign w:val="center"/>
          </w:tcPr>
          <w:p w14:paraId="4CF3E9D0"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r w:rsidRPr="00393CB4">
              <w:rPr>
                <w:rFonts w:asciiTheme="minorHAnsi" w:hAnsiTheme="minorHAnsi" w:cstheme="minorHAnsi"/>
                <w:b/>
                <w:color w:val="000000" w:themeColor="text1"/>
                <w:sz w:val="20"/>
                <w:szCs w:val="20"/>
              </w:rPr>
              <w:lastRenderedPageBreak/>
              <w:t>Strategic factors and their relative importance</w:t>
            </w:r>
          </w:p>
        </w:tc>
        <w:tc>
          <w:tcPr>
            <w:tcW w:w="736" w:type="dxa"/>
          </w:tcPr>
          <w:p w14:paraId="445DA6A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color w:val="000000" w:themeColor="text1"/>
                <w:sz w:val="20"/>
                <w:szCs w:val="20"/>
              </w:rPr>
            </w:pPr>
            <w:r w:rsidRPr="00393CB4">
              <w:rPr>
                <w:rFonts w:asciiTheme="minorHAnsi" w:hAnsiTheme="minorHAnsi" w:cstheme="minorHAnsi"/>
                <w:b/>
                <w:color w:val="000000" w:themeColor="text1"/>
                <w:sz w:val="20"/>
                <w:szCs w:val="20"/>
              </w:rPr>
              <w:t>Pilot</w:t>
            </w:r>
          </w:p>
        </w:tc>
        <w:tc>
          <w:tcPr>
            <w:tcW w:w="7274" w:type="dxa"/>
            <w:gridSpan w:val="8"/>
          </w:tcPr>
          <w:p w14:paraId="57CF498E"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color w:val="000000" w:themeColor="text1"/>
                <w:sz w:val="20"/>
                <w:szCs w:val="20"/>
              </w:rPr>
            </w:pPr>
            <w:r w:rsidRPr="00393CB4">
              <w:rPr>
                <w:rFonts w:asciiTheme="minorHAnsi" w:hAnsiTheme="minorHAnsi" w:cstheme="minorHAnsi"/>
                <w:b/>
                <w:color w:val="000000" w:themeColor="text1"/>
                <w:sz w:val="20"/>
                <w:szCs w:val="20"/>
              </w:rPr>
              <w:t>Full Survey Results</w:t>
            </w:r>
          </w:p>
        </w:tc>
      </w:tr>
      <w:tr w:rsidR="00393CB4" w:rsidRPr="00393CB4" w14:paraId="3F30FBA2" w14:textId="77777777" w:rsidTr="007447E4">
        <w:trPr>
          <w:trHeight w:val="595"/>
        </w:trPr>
        <w:tc>
          <w:tcPr>
            <w:tcW w:w="6164" w:type="dxa"/>
            <w:gridSpan w:val="2"/>
            <w:vMerge/>
          </w:tcPr>
          <w:p w14:paraId="7B1F5D78" w14:textId="77777777" w:rsidR="00A256D1" w:rsidRPr="00393CB4" w:rsidRDefault="00A256D1" w:rsidP="007447E4">
            <w:pPr>
              <w:autoSpaceDE w:val="0"/>
              <w:autoSpaceDN w:val="0"/>
              <w:adjustRightInd w:val="0"/>
              <w:spacing w:after="0" w:line="240" w:lineRule="auto"/>
              <w:ind w:firstLine="0"/>
              <w:jc w:val="right"/>
              <w:rPr>
                <w:rFonts w:asciiTheme="minorHAnsi" w:hAnsiTheme="minorHAnsi" w:cstheme="minorHAnsi"/>
                <w:color w:val="000000" w:themeColor="text1"/>
                <w:sz w:val="20"/>
                <w:szCs w:val="20"/>
              </w:rPr>
            </w:pPr>
          </w:p>
        </w:tc>
        <w:tc>
          <w:tcPr>
            <w:tcW w:w="736" w:type="dxa"/>
          </w:tcPr>
          <w:p w14:paraId="7D51CD5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GM</w:t>
            </w:r>
          </w:p>
        </w:tc>
        <w:tc>
          <w:tcPr>
            <w:tcW w:w="1007" w:type="dxa"/>
          </w:tcPr>
          <w:p w14:paraId="463F491D"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GM-All</w:t>
            </w:r>
          </w:p>
        </w:tc>
        <w:tc>
          <w:tcPr>
            <w:tcW w:w="922" w:type="dxa"/>
          </w:tcPr>
          <w:p w14:paraId="04E4B48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GM-1</w:t>
            </w:r>
          </w:p>
        </w:tc>
        <w:tc>
          <w:tcPr>
            <w:tcW w:w="992" w:type="dxa"/>
          </w:tcPr>
          <w:p w14:paraId="54EE747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GM-2</w:t>
            </w:r>
          </w:p>
        </w:tc>
        <w:tc>
          <w:tcPr>
            <w:tcW w:w="992" w:type="dxa"/>
          </w:tcPr>
          <w:p w14:paraId="5AF6AF67"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Channel MOR</w:t>
            </w:r>
          </w:p>
        </w:tc>
        <w:tc>
          <w:tcPr>
            <w:tcW w:w="709" w:type="dxa"/>
          </w:tcPr>
          <w:p w14:paraId="44B3E8C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smartTag w:uri="urn:schemas-microsoft-com:office:smarttags" w:element="country-region">
              <w:smartTag w:uri="urn:schemas-microsoft-com:office:smarttags" w:element="place">
                <w:r w:rsidRPr="00393CB4">
                  <w:rPr>
                    <w:rFonts w:asciiTheme="minorHAnsi" w:hAnsiTheme="minorHAnsi" w:cstheme="minorHAnsi"/>
                    <w:b/>
                    <w:bCs/>
                    <w:color w:val="000000" w:themeColor="text1"/>
                    <w:sz w:val="20"/>
                    <w:szCs w:val="20"/>
                  </w:rPr>
                  <w:t>UK</w:t>
                </w:r>
              </w:smartTag>
            </w:smartTag>
          </w:p>
        </w:tc>
        <w:tc>
          <w:tcPr>
            <w:tcW w:w="850" w:type="dxa"/>
          </w:tcPr>
          <w:p w14:paraId="44F5AC0D"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smartTag w:uri="urn:schemas-microsoft-com:office:smarttags" w:element="country-region">
              <w:smartTag w:uri="urn:schemas-microsoft-com:office:smarttags" w:element="place">
                <w:r w:rsidRPr="00393CB4">
                  <w:rPr>
                    <w:rFonts w:asciiTheme="minorHAnsi" w:hAnsiTheme="minorHAnsi" w:cstheme="minorHAnsi"/>
                    <w:b/>
                    <w:bCs/>
                    <w:color w:val="000000" w:themeColor="text1"/>
                    <w:sz w:val="20"/>
                    <w:szCs w:val="20"/>
                  </w:rPr>
                  <w:t>France</w:t>
                </w:r>
              </w:smartTag>
            </w:smartTag>
          </w:p>
        </w:tc>
        <w:tc>
          <w:tcPr>
            <w:tcW w:w="993" w:type="dxa"/>
          </w:tcPr>
          <w:p w14:paraId="1FD64A7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Rest of</w:t>
            </w:r>
          </w:p>
          <w:p w14:paraId="7AF26AB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smartTag w:uri="urn:schemas-microsoft-com:office:smarttags" w:element="place">
              <w:r w:rsidRPr="00393CB4">
                <w:rPr>
                  <w:rFonts w:asciiTheme="minorHAnsi" w:hAnsiTheme="minorHAnsi" w:cstheme="minorHAnsi"/>
                  <w:b/>
                  <w:bCs/>
                  <w:color w:val="000000" w:themeColor="text1"/>
                  <w:sz w:val="20"/>
                  <w:szCs w:val="20"/>
                </w:rPr>
                <w:t>Europe</w:t>
              </w:r>
            </w:smartTag>
          </w:p>
        </w:tc>
        <w:tc>
          <w:tcPr>
            <w:tcW w:w="809" w:type="dxa"/>
          </w:tcPr>
          <w:p w14:paraId="40F62D34"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Rest of World</w:t>
            </w:r>
          </w:p>
        </w:tc>
      </w:tr>
      <w:tr w:rsidR="00393CB4" w:rsidRPr="00393CB4" w14:paraId="7A52CB7E" w14:textId="77777777" w:rsidTr="007447E4">
        <w:trPr>
          <w:trHeight w:val="595"/>
        </w:trPr>
        <w:tc>
          <w:tcPr>
            <w:tcW w:w="6164" w:type="dxa"/>
            <w:gridSpan w:val="2"/>
          </w:tcPr>
          <w:p w14:paraId="5532443A" w14:textId="77777777" w:rsidR="00A256D1" w:rsidRPr="00393CB4" w:rsidRDefault="00A256D1" w:rsidP="007447E4">
            <w:pPr>
              <w:autoSpaceDE w:val="0"/>
              <w:autoSpaceDN w:val="0"/>
              <w:adjustRightInd w:val="0"/>
              <w:spacing w:after="12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Number of respondents</w:t>
            </w:r>
          </w:p>
        </w:tc>
        <w:tc>
          <w:tcPr>
            <w:tcW w:w="736" w:type="dxa"/>
          </w:tcPr>
          <w:p w14:paraId="04703EC3" w14:textId="77777777" w:rsidR="00A256D1" w:rsidRPr="00393CB4" w:rsidRDefault="00A256D1" w:rsidP="007447E4">
            <w:pPr>
              <w:autoSpaceDE w:val="0"/>
              <w:autoSpaceDN w:val="0"/>
              <w:adjustRightInd w:val="0"/>
              <w:spacing w:after="12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12</w:t>
            </w:r>
          </w:p>
        </w:tc>
        <w:tc>
          <w:tcPr>
            <w:tcW w:w="1007" w:type="dxa"/>
          </w:tcPr>
          <w:p w14:paraId="61248293" w14:textId="77777777" w:rsidR="00A256D1" w:rsidRPr="00393CB4" w:rsidRDefault="00A256D1" w:rsidP="007447E4">
            <w:pPr>
              <w:autoSpaceDE w:val="0"/>
              <w:autoSpaceDN w:val="0"/>
              <w:adjustRightInd w:val="0"/>
              <w:spacing w:after="12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57</w:t>
            </w:r>
          </w:p>
        </w:tc>
        <w:tc>
          <w:tcPr>
            <w:tcW w:w="922" w:type="dxa"/>
          </w:tcPr>
          <w:p w14:paraId="50B22309" w14:textId="77777777" w:rsidR="00A256D1" w:rsidRPr="00393CB4" w:rsidRDefault="00A256D1" w:rsidP="007447E4">
            <w:pPr>
              <w:autoSpaceDE w:val="0"/>
              <w:autoSpaceDN w:val="0"/>
              <w:adjustRightInd w:val="0"/>
              <w:spacing w:after="12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40</w:t>
            </w:r>
          </w:p>
        </w:tc>
        <w:tc>
          <w:tcPr>
            <w:tcW w:w="992" w:type="dxa"/>
          </w:tcPr>
          <w:p w14:paraId="5CF6DDBE" w14:textId="77777777" w:rsidR="00A256D1" w:rsidRPr="00393CB4" w:rsidRDefault="00A256D1" w:rsidP="007447E4">
            <w:pPr>
              <w:autoSpaceDE w:val="0"/>
              <w:autoSpaceDN w:val="0"/>
              <w:adjustRightInd w:val="0"/>
              <w:spacing w:after="12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17</w:t>
            </w:r>
          </w:p>
        </w:tc>
        <w:tc>
          <w:tcPr>
            <w:tcW w:w="992" w:type="dxa"/>
          </w:tcPr>
          <w:p w14:paraId="05A5BB30" w14:textId="77777777" w:rsidR="00A256D1" w:rsidRPr="00393CB4" w:rsidRDefault="00A256D1" w:rsidP="007447E4">
            <w:pPr>
              <w:autoSpaceDE w:val="0"/>
              <w:autoSpaceDN w:val="0"/>
              <w:adjustRightInd w:val="0"/>
              <w:spacing w:after="12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12</w:t>
            </w:r>
          </w:p>
        </w:tc>
        <w:tc>
          <w:tcPr>
            <w:tcW w:w="709" w:type="dxa"/>
          </w:tcPr>
          <w:p w14:paraId="420AC8E6" w14:textId="77777777" w:rsidR="00A256D1" w:rsidRPr="00393CB4" w:rsidRDefault="00A256D1" w:rsidP="007447E4">
            <w:pPr>
              <w:autoSpaceDE w:val="0"/>
              <w:autoSpaceDN w:val="0"/>
              <w:adjustRightInd w:val="0"/>
              <w:spacing w:after="12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35</w:t>
            </w:r>
          </w:p>
        </w:tc>
        <w:tc>
          <w:tcPr>
            <w:tcW w:w="850" w:type="dxa"/>
          </w:tcPr>
          <w:p w14:paraId="32C9FCB1" w14:textId="77777777" w:rsidR="00A256D1" w:rsidRPr="00393CB4" w:rsidRDefault="00A256D1" w:rsidP="007447E4">
            <w:pPr>
              <w:autoSpaceDE w:val="0"/>
              <w:autoSpaceDN w:val="0"/>
              <w:adjustRightInd w:val="0"/>
              <w:spacing w:after="12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14</w:t>
            </w:r>
          </w:p>
        </w:tc>
        <w:tc>
          <w:tcPr>
            <w:tcW w:w="993" w:type="dxa"/>
          </w:tcPr>
          <w:p w14:paraId="09EFE3AD" w14:textId="77777777" w:rsidR="00A256D1" w:rsidRPr="00393CB4" w:rsidRDefault="00A256D1" w:rsidP="007447E4">
            <w:pPr>
              <w:autoSpaceDE w:val="0"/>
              <w:autoSpaceDN w:val="0"/>
              <w:adjustRightInd w:val="0"/>
              <w:spacing w:after="12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4</w:t>
            </w:r>
          </w:p>
        </w:tc>
        <w:tc>
          <w:tcPr>
            <w:tcW w:w="809" w:type="dxa"/>
          </w:tcPr>
          <w:p w14:paraId="52FE215D" w14:textId="77777777" w:rsidR="00A256D1" w:rsidRPr="00393CB4" w:rsidRDefault="00A256D1" w:rsidP="007447E4">
            <w:pPr>
              <w:autoSpaceDE w:val="0"/>
              <w:autoSpaceDN w:val="0"/>
              <w:adjustRightInd w:val="0"/>
              <w:spacing w:after="12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4</w:t>
            </w:r>
          </w:p>
        </w:tc>
      </w:tr>
      <w:tr w:rsidR="00393CB4" w:rsidRPr="00393CB4" w14:paraId="5DCEF96B" w14:textId="77777777" w:rsidTr="007447E4">
        <w:trPr>
          <w:trHeight w:val="305"/>
        </w:trPr>
        <w:tc>
          <w:tcPr>
            <w:tcW w:w="1384" w:type="dxa"/>
            <w:vMerge w:val="restart"/>
            <w:vAlign w:val="center"/>
          </w:tcPr>
          <w:p w14:paraId="55559164"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color w:val="000000" w:themeColor="text1"/>
                <w:sz w:val="20"/>
                <w:szCs w:val="20"/>
              </w:rPr>
            </w:pPr>
            <w:r w:rsidRPr="00393CB4">
              <w:rPr>
                <w:rFonts w:asciiTheme="minorHAnsi" w:hAnsiTheme="minorHAnsi" w:cstheme="minorHAnsi"/>
                <w:b/>
                <w:color w:val="000000" w:themeColor="text1"/>
                <w:sz w:val="20"/>
                <w:szCs w:val="20"/>
              </w:rPr>
              <w:t>MRE Technology</w:t>
            </w:r>
          </w:p>
        </w:tc>
        <w:tc>
          <w:tcPr>
            <w:tcW w:w="4780" w:type="dxa"/>
          </w:tcPr>
          <w:p w14:paraId="4EB78377"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Offshore Wind</w:t>
            </w:r>
          </w:p>
        </w:tc>
        <w:tc>
          <w:tcPr>
            <w:tcW w:w="736" w:type="dxa"/>
          </w:tcPr>
          <w:p w14:paraId="713B59C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0.42</w:t>
            </w:r>
          </w:p>
        </w:tc>
        <w:tc>
          <w:tcPr>
            <w:tcW w:w="1007" w:type="dxa"/>
          </w:tcPr>
          <w:p w14:paraId="0CEFF034"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0.49</w:t>
            </w:r>
          </w:p>
        </w:tc>
        <w:tc>
          <w:tcPr>
            <w:tcW w:w="922" w:type="dxa"/>
          </w:tcPr>
          <w:p w14:paraId="6BDEA45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0.47</w:t>
            </w:r>
          </w:p>
        </w:tc>
        <w:tc>
          <w:tcPr>
            <w:tcW w:w="992" w:type="dxa"/>
          </w:tcPr>
          <w:p w14:paraId="5752EF2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0.43</w:t>
            </w:r>
          </w:p>
        </w:tc>
        <w:tc>
          <w:tcPr>
            <w:tcW w:w="992" w:type="dxa"/>
          </w:tcPr>
          <w:p w14:paraId="23AD6D5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0.53</w:t>
            </w:r>
          </w:p>
        </w:tc>
        <w:tc>
          <w:tcPr>
            <w:tcW w:w="709" w:type="dxa"/>
          </w:tcPr>
          <w:p w14:paraId="4F481844"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0.45</w:t>
            </w:r>
          </w:p>
        </w:tc>
        <w:tc>
          <w:tcPr>
            <w:tcW w:w="850" w:type="dxa"/>
          </w:tcPr>
          <w:p w14:paraId="1BD7BFF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0.52</w:t>
            </w:r>
          </w:p>
        </w:tc>
        <w:tc>
          <w:tcPr>
            <w:tcW w:w="993" w:type="dxa"/>
          </w:tcPr>
          <w:p w14:paraId="3EED649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0.66</w:t>
            </w:r>
          </w:p>
        </w:tc>
        <w:tc>
          <w:tcPr>
            <w:tcW w:w="809" w:type="dxa"/>
          </w:tcPr>
          <w:p w14:paraId="3437DABB"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0.49</w:t>
            </w:r>
          </w:p>
        </w:tc>
      </w:tr>
      <w:tr w:rsidR="00393CB4" w:rsidRPr="00393CB4" w14:paraId="7A3BA4EA" w14:textId="77777777" w:rsidTr="007447E4">
        <w:trPr>
          <w:trHeight w:val="305"/>
        </w:trPr>
        <w:tc>
          <w:tcPr>
            <w:tcW w:w="1384" w:type="dxa"/>
            <w:vMerge/>
          </w:tcPr>
          <w:p w14:paraId="684374A1"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p>
        </w:tc>
        <w:tc>
          <w:tcPr>
            <w:tcW w:w="4780" w:type="dxa"/>
          </w:tcPr>
          <w:p w14:paraId="7EDE40DE"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Wave</w:t>
            </w:r>
          </w:p>
        </w:tc>
        <w:tc>
          <w:tcPr>
            <w:tcW w:w="736" w:type="dxa"/>
          </w:tcPr>
          <w:p w14:paraId="2F6B7292"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0.31</w:t>
            </w:r>
          </w:p>
        </w:tc>
        <w:tc>
          <w:tcPr>
            <w:tcW w:w="1007" w:type="dxa"/>
          </w:tcPr>
          <w:p w14:paraId="4817107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0.16</w:t>
            </w:r>
          </w:p>
        </w:tc>
        <w:tc>
          <w:tcPr>
            <w:tcW w:w="922" w:type="dxa"/>
          </w:tcPr>
          <w:p w14:paraId="37E0C09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0.15</w:t>
            </w:r>
          </w:p>
        </w:tc>
        <w:tc>
          <w:tcPr>
            <w:tcW w:w="992" w:type="dxa"/>
          </w:tcPr>
          <w:p w14:paraId="44491C4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c>
          <w:tcPr>
            <w:tcW w:w="992" w:type="dxa"/>
          </w:tcPr>
          <w:p w14:paraId="43CE84D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0.22</w:t>
            </w:r>
          </w:p>
        </w:tc>
        <w:tc>
          <w:tcPr>
            <w:tcW w:w="709" w:type="dxa"/>
          </w:tcPr>
          <w:p w14:paraId="64CB1D0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0.19</w:t>
            </w:r>
          </w:p>
        </w:tc>
        <w:tc>
          <w:tcPr>
            <w:tcW w:w="850" w:type="dxa"/>
          </w:tcPr>
          <w:p w14:paraId="5F253EC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0.12</w:t>
            </w:r>
          </w:p>
        </w:tc>
        <w:tc>
          <w:tcPr>
            <w:tcW w:w="993" w:type="dxa"/>
          </w:tcPr>
          <w:p w14:paraId="32E5483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0.13</w:t>
            </w:r>
          </w:p>
        </w:tc>
        <w:tc>
          <w:tcPr>
            <w:tcW w:w="809" w:type="dxa"/>
          </w:tcPr>
          <w:p w14:paraId="210FE7C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r>
      <w:tr w:rsidR="00393CB4" w:rsidRPr="00393CB4" w14:paraId="430490B6" w14:textId="77777777" w:rsidTr="007447E4">
        <w:trPr>
          <w:trHeight w:val="305"/>
        </w:trPr>
        <w:tc>
          <w:tcPr>
            <w:tcW w:w="1384" w:type="dxa"/>
            <w:vMerge/>
          </w:tcPr>
          <w:p w14:paraId="5D32AD3A"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p>
        </w:tc>
        <w:tc>
          <w:tcPr>
            <w:tcW w:w="4780" w:type="dxa"/>
          </w:tcPr>
          <w:p w14:paraId="7C2C6C99"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Tidal</w:t>
            </w:r>
          </w:p>
        </w:tc>
        <w:tc>
          <w:tcPr>
            <w:tcW w:w="736" w:type="dxa"/>
          </w:tcPr>
          <w:p w14:paraId="4F4F245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1007" w:type="dxa"/>
          </w:tcPr>
          <w:p w14:paraId="2A30FF49"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0.35</w:t>
            </w:r>
          </w:p>
        </w:tc>
        <w:tc>
          <w:tcPr>
            <w:tcW w:w="922" w:type="dxa"/>
          </w:tcPr>
          <w:p w14:paraId="34BE4E6A"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0.38</w:t>
            </w:r>
          </w:p>
        </w:tc>
        <w:tc>
          <w:tcPr>
            <w:tcW w:w="992" w:type="dxa"/>
          </w:tcPr>
          <w:p w14:paraId="03D30982"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0.38</w:t>
            </w:r>
          </w:p>
        </w:tc>
        <w:tc>
          <w:tcPr>
            <w:tcW w:w="992" w:type="dxa"/>
          </w:tcPr>
          <w:p w14:paraId="5220814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0.25</w:t>
            </w:r>
          </w:p>
        </w:tc>
        <w:tc>
          <w:tcPr>
            <w:tcW w:w="709" w:type="dxa"/>
          </w:tcPr>
          <w:p w14:paraId="440BDAA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0.36</w:t>
            </w:r>
          </w:p>
        </w:tc>
        <w:tc>
          <w:tcPr>
            <w:tcW w:w="850" w:type="dxa"/>
          </w:tcPr>
          <w:p w14:paraId="15D0276A"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0.35</w:t>
            </w:r>
          </w:p>
        </w:tc>
        <w:tc>
          <w:tcPr>
            <w:tcW w:w="993" w:type="dxa"/>
          </w:tcPr>
          <w:p w14:paraId="6D84D2D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0.21</w:t>
            </w:r>
          </w:p>
        </w:tc>
        <w:tc>
          <w:tcPr>
            <w:tcW w:w="809" w:type="dxa"/>
          </w:tcPr>
          <w:p w14:paraId="1B98767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0.34</w:t>
            </w:r>
          </w:p>
        </w:tc>
      </w:tr>
      <w:tr w:rsidR="00393CB4" w:rsidRPr="00393CB4" w14:paraId="0756CC0D" w14:textId="77777777" w:rsidTr="007447E4">
        <w:trPr>
          <w:trHeight w:val="305"/>
        </w:trPr>
        <w:tc>
          <w:tcPr>
            <w:tcW w:w="1384" w:type="dxa"/>
            <w:vMerge w:val="restart"/>
            <w:vAlign w:val="center"/>
          </w:tcPr>
          <w:p w14:paraId="213070C8"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r w:rsidRPr="00393CB4">
              <w:rPr>
                <w:rFonts w:asciiTheme="minorHAnsi" w:hAnsiTheme="minorHAnsi" w:cstheme="minorHAnsi"/>
                <w:b/>
                <w:color w:val="000000" w:themeColor="text1"/>
                <w:sz w:val="20"/>
                <w:szCs w:val="20"/>
              </w:rPr>
              <w:t>Opportunities</w:t>
            </w:r>
          </w:p>
        </w:tc>
        <w:tc>
          <w:tcPr>
            <w:tcW w:w="4780" w:type="dxa"/>
          </w:tcPr>
          <w:p w14:paraId="5A637A40"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 xml:space="preserve"> Construction (CAPEX)</w:t>
            </w:r>
          </w:p>
        </w:tc>
        <w:tc>
          <w:tcPr>
            <w:tcW w:w="736" w:type="dxa"/>
          </w:tcPr>
          <w:p w14:paraId="3555E209"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0.12</w:t>
            </w:r>
          </w:p>
        </w:tc>
        <w:tc>
          <w:tcPr>
            <w:tcW w:w="1007" w:type="dxa"/>
          </w:tcPr>
          <w:p w14:paraId="3ACD459E"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922" w:type="dxa"/>
          </w:tcPr>
          <w:p w14:paraId="6FF489C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c>
          <w:tcPr>
            <w:tcW w:w="992" w:type="dxa"/>
          </w:tcPr>
          <w:p w14:paraId="135666C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0.25</w:t>
            </w:r>
          </w:p>
        </w:tc>
        <w:tc>
          <w:tcPr>
            <w:tcW w:w="992" w:type="dxa"/>
          </w:tcPr>
          <w:p w14:paraId="74B248F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709" w:type="dxa"/>
          </w:tcPr>
          <w:p w14:paraId="76A5458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0.26</w:t>
            </w:r>
          </w:p>
        </w:tc>
        <w:tc>
          <w:tcPr>
            <w:tcW w:w="850" w:type="dxa"/>
          </w:tcPr>
          <w:p w14:paraId="3D692F2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0.19</w:t>
            </w:r>
          </w:p>
        </w:tc>
        <w:tc>
          <w:tcPr>
            <w:tcW w:w="993" w:type="dxa"/>
          </w:tcPr>
          <w:p w14:paraId="074390D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0.19</w:t>
            </w:r>
          </w:p>
        </w:tc>
        <w:tc>
          <w:tcPr>
            <w:tcW w:w="809" w:type="dxa"/>
          </w:tcPr>
          <w:p w14:paraId="46174FA2"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0.21</w:t>
            </w:r>
          </w:p>
        </w:tc>
      </w:tr>
      <w:tr w:rsidR="00393CB4" w:rsidRPr="00393CB4" w14:paraId="04C7ABA9" w14:textId="77777777" w:rsidTr="007447E4">
        <w:trPr>
          <w:trHeight w:val="305"/>
        </w:trPr>
        <w:tc>
          <w:tcPr>
            <w:tcW w:w="1384" w:type="dxa"/>
            <w:vMerge/>
          </w:tcPr>
          <w:p w14:paraId="27DECC2A"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p>
        </w:tc>
        <w:tc>
          <w:tcPr>
            <w:tcW w:w="4780" w:type="dxa"/>
          </w:tcPr>
          <w:p w14:paraId="294B3F00"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R&amp;D</w:t>
            </w:r>
          </w:p>
        </w:tc>
        <w:tc>
          <w:tcPr>
            <w:tcW w:w="736" w:type="dxa"/>
          </w:tcPr>
          <w:p w14:paraId="46BCB16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0.28</w:t>
            </w:r>
          </w:p>
        </w:tc>
        <w:tc>
          <w:tcPr>
            <w:tcW w:w="1007" w:type="dxa"/>
          </w:tcPr>
          <w:p w14:paraId="4FED899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c>
          <w:tcPr>
            <w:tcW w:w="922" w:type="dxa"/>
          </w:tcPr>
          <w:p w14:paraId="66C34369"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992" w:type="dxa"/>
          </w:tcPr>
          <w:p w14:paraId="6BFDF4C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0.20</w:t>
            </w:r>
          </w:p>
        </w:tc>
        <w:tc>
          <w:tcPr>
            <w:tcW w:w="992" w:type="dxa"/>
          </w:tcPr>
          <w:p w14:paraId="08A443C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c>
          <w:tcPr>
            <w:tcW w:w="709" w:type="dxa"/>
          </w:tcPr>
          <w:p w14:paraId="20C8AF84"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0.19</w:t>
            </w:r>
          </w:p>
        </w:tc>
        <w:tc>
          <w:tcPr>
            <w:tcW w:w="850" w:type="dxa"/>
          </w:tcPr>
          <w:p w14:paraId="4E02115A"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993" w:type="dxa"/>
          </w:tcPr>
          <w:p w14:paraId="40607E97"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0.08</w:t>
            </w:r>
          </w:p>
        </w:tc>
        <w:tc>
          <w:tcPr>
            <w:tcW w:w="809" w:type="dxa"/>
          </w:tcPr>
          <w:p w14:paraId="50E538FA"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0.13</w:t>
            </w:r>
          </w:p>
        </w:tc>
      </w:tr>
      <w:tr w:rsidR="00393CB4" w:rsidRPr="00393CB4" w14:paraId="5920060E" w14:textId="77777777" w:rsidTr="007447E4">
        <w:trPr>
          <w:trHeight w:val="305"/>
        </w:trPr>
        <w:tc>
          <w:tcPr>
            <w:tcW w:w="1384" w:type="dxa"/>
            <w:vMerge/>
          </w:tcPr>
          <w:p w14:paraId="7B1127E4"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p>
        </w:tc>
        <w:tc>
          <w:tcPr>
            <w:tcW w:w="4780" w:type="dxa"/>
          </w:tcPr>
          <w:p w14:paraId="5C344A31"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Operations and Maintenance (OPEX)</w:t>
            </w:r>
          </w:p>
        </w:tc>
        <w:tc>
          <w:tcPr>
            <w:tcW w:w="736" w:type="dxa"/>
          </w:tcPr>
          <w:p w14:paraId="5D0F171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c>
          <w:tcPr>
            <w:tcW w:w="1007" w:type="dxa"/>
          </w:tcPr>
          <w:p w14:paraId="26F5864E"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c>
          <w:tcPr>
            <w:tcW w:w="922" w:type="dxa"/>
          </w:tcPr>
          <w:p w14:paraId="342E139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992" w:type="dxa"/>
          </w:tcPr>
          <w:p w14:paraId="66B3272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0.21</w:t>
            </w:r>
          </w:p>
        </w:tc>
        <w:tc>
          <w:tcPr>
            <w:tcW w:w="992" w:type="dxa"/>
          </w:tcPr>
          <w:p w14:paraId="01F1069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c>
          <w:tcPr>
            <w:tcW w:w="709" w:type="dxa"/>
          </w:tcPr>
          <w:p w14:paraId="1695998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0.22</w:t>
            </w:r>
          </w:p>
        </w:tc>
        <w:tc>
          <w:tcPr>
            <w:tcW w:w="850" w:type="dxa"/>
          </w:tcPr>
          <w:p w14:paraId="042FBA5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993" w:type="dxa"/>
          </w:tcPr>
          <w:p w14:paraId="360D8F5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0.38</w:t>
            </w:r>
          </w:p>
        </w:tc>
        <w:tc>
          <w:tcPr>
            <w:tcW w:w="809" w:type="dxa"/>
          </w:tcPr>
          <w:p w14:paraId="4140419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r>
      <w:tr w:rsidR="00393CB4" w:rsidRPr="00393CB4" w14:paraId="3B8342A2" w14:textId="77777777" w:rsidTr="007447E4">
        <w:trPr>
          <w:trHeight w:val="305"/>
        </w:trPr>
        <w:tc>
          <w:tcPr>
            <w:tcW w:w="1384" w:type="dxa"/>
            <w:vMerge/>
          </w:tcPr>
          <w:p w14:paraId="3C9531A2"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p>
        </w:tc>
        <w:tc>
          <w:tcPr>
            <w:tcW w:w="4780" w:type="dxa"/>
          </w:tcPr>
          <w:p w14:paraId="429DF8EE"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Downstream supply chain (distribution, storage, retail)</w:t>
            </w:r>
          </w:p>
        </w:tc>
        <w:tc>
          <w:tcPr>
            <w:tcW w:w="736" w:type="dxa"/>
          </w:tcPr>
          <w:p w14:paraId="41639D9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0.16</w:t>
            </w:r>
          </w:p>
        </w:tc>
        <w:tc>
          <w:tcPr>
            <w:tcW w:w="1007" w:type="dxa"/>
          </w:tcPr>
          <w:p w14:paraId="25A0E57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c>
          <w:tcPr>
            <w:tcW w:w="922" w:type="dxa"/>
          </w:tcPr>
          <w:p w14:paraId="288F2679"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992" w:type="dxa"/>
          </w:tcPr>
          <w:p w14:paraId="16C3C48E"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0.20</w:t>
            </w:r>
          </w:p>
        </w:tc>
        <w:tc>
          <w:tcPr>
            <w:tcW w:w="992" w:type="dxa"/>
          </w:tcPr>
          <w:p w14:paraId="6F5831D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709" w:type="dxa"/>
          </w:tcPr>
          <w:p w14:paraId="257CA5B4"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850" w:type="dxa"/>
          </w:tcPr>
          <w:p w14:paraId="39ED9E77"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c>
          <w:tcPr>
            <w:tcW w:w="993" w:type="dxa"/>
          </w:tcPr>
          <w:p w14:paraId="6BE51E49"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809" w:type="dxa"/>
          </w:tcPr>
          <w:p w14:paraId="4FC7B54E"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0.25</w:t>
            </w:r>
          </w:p>
        </w:tc>
      </w:tr>
      <w:tr w:rsidR="00393CB4" w:rsidRPr="00393CB4" w14:paraId="147D07F2" w14:textId="77777777" w:rsidTr="007447E4">
        <w:trPr>
          <w:trHeight w:val="305"/>
        </w:trPr>
        <w:tc>
          <w:tcPr>
            <w:tcW w:w="1384" w:type="dxa"/>
            <w:vMerge/>
          </w:tcPr>
          <w:p w14:paraId="35A01DC3"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p>
        </w:tc>
        <w:tc>
          <w:tcPr>
            <w:tcW w:w="4780" w:type="dxa"/>
          </w:tcPr>
          <w:p w14:paraId="5AA2A4AB"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proofErr w:type="spellStart"/>
            <w:r w:rsidRPr="00393CB4">
              <w:rPr>
                <w:rFonts w:asciiTheme="minorHAnsi" w:hAnsiTheme="minorHAnsi" w:cstheme="minorHAnsi"/>
                <w:color w:val="000000" w:themeColor="text1"/>
                <w:sz w:val="20"/>
                <w:szCs w:val="20"/>
              </w:rPr>
              <w:t>Internationalisation</w:t>
            </w:r>
            <w:proofErr w:type="spellEnd"/>
            <w:r w:rsidRPr="00393CB4">
              <w:rPr>
                <w:rFonts w:asciiTheme="minorHAnsi" w:hAnsiTheme="minorHAnsi" w:cstheme="minorHAnsi"/>
                <w:color w:val="000000" w:themeColor="text1"/>
                <w:sz w:val="20"/>
                <w:szCs w:val="20"/>
              </w:rPr>
              <w:t xml:space="preserve"> (seeking global opportunities)</w:t>
            </w:r>
          </w:p>
        </w:tc>
        <w:tc>
          <w:tcPr>
            <w:tcW w:w="736" w:type="dxa"/>
          </w:tcPr>
          <w:p w14:paraId="2C94245D"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0.21</w:t>
            </w:r>
          </w:p>
        </w:tc>
        <w:tc>
          <w:tcPr>
            <w:tcW w:w="1007" w:type="dxa"/>
          </w:tcPr>
          <w:p w14:paraId="4A43E15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922" w:type="dxa"/>
          </w:tcPr>
          <w:p w14:paraId="2929CE5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0.19</w:t>
            </w:r>
          </w:p>
        </w:tc>
        <w:tc>
          <w:tcPr>
            <w:tcW w:w="992" w:type="dxa"/>
          </w:tcPr>
          <w:p w14:paraId="43DD5E0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0.14</w:t>
            </w:r>
          </w:p>
        </w:tc>
        <w:tc>
          <w:tcPr>
            <w:tcW w:w="992" w:type="dxa"/>
          </w:tcPr>
          <w:p w14:paraId="1E6D39DE"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709" w:type="dxa"/>
          </w:tcPr>
          <w:p w14:paraId="5F51AEC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0.16</w:t>
            </w:r>
          </w:p>
        </w:tc>
        <w:tc>
          <w:tcPr>
            <w:tcW w:w="850" w:type="dxa"/>
          </w:tcPr>
          <w:p w14:paraId="5BAAB37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0.20</w:t>
            </w:r>
          </w:p>
        </w:tc>
        <w:tc>
          <w:tcPr>
            <w:tcW w:w="993" w:type="dxa"/>
          </w:tcPr>
          <w:p w14:paraId="3EB3349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0.11</w:t>
            </w:r>
          </w:p>
        </w:tc>
        <w:tc>
          <w:tcPr>
            <w:tcW w:w="809" w:type="dxa"/>
          </w:tcPr>
          <w:p w14:paraId="7BF581A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r>
      <w:tr w:rsidR="00393CB4" w:rsidRPr="00393CB4" w14:paraId="5EE9DB40" w14:textId="77777777" w:rsidTr="007447E4">
        <w:trPr>
          <w:trHeight w:val="305"/>
        </w:trPr>
        <w:tc>
          <w:tcPr>
            <w:tcW w:w="1384" w:type="dxa"/>
            <w:vMerge w:val="restart"/>
            <w:vAlign w:val="center"/>
          </w:tcPr>
          <w:p w14:paraId="1BA67BA6"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r w:rsidRPr="00393CB4">
              <w:rPr>
                <w:rFonts w:asciiTheme="minorHAnsi" w:hAnsiTheme="minorHAnsi" w:cstheme="minorHAnsi"/>
                <w:b/>
                <w:color w:val="000000" w:themeColor="text1"/>
                <w:sz w:val="20"/>
                <w:szCs w:val="20"/>
              </w:rPr>
              <w:t>Threats</w:t>
            </w:r>
          </w:p>
        </w:tc>
        <w:tc>
          <w:tcPr>
            <w:tcW w:w="4780" w:type="dxa"/>
          </w:tcPr>
          <w:p w14:paraId="5CE253A3"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Competition</w:t>
            </w:r>
          </w:p>
        </w:tc>
        <w:tc>
          <w:tcPr>
            <w:tcW w:w="736" w:type="dxa"/>
          </w:tcPr>
          <w:p w14:paraId="71AF873A"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0.19</w:t>
            </w:r>
          </w:p>
        </w:tc>
        <w:tc>
          <w:tcPr>
            <w:tcW w:w="1007" w:type="dxa"/>
          </w:tcPr>
          <w:p w14:paraId="75E3B54D"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0.15</w:t>
            </w:r>
          </w:p>
        </w:tc>
        <w:tc>
          <w:tcPr>
            <w:tcW w:w="922" w:type="dxa"/>
          </w:tcPr>
          <w:p w14:paraId="3BAF4747"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0.14</w:t>
            </w:r>
          </w:p>
        </w:tc>
        <w:tc>
          <w:tcPr>
            <w:tcW w:w="992" w:type="dxa"/>
          </w:tcPr>
          <w:p w14:paraId="4E4E55D2"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0.16</w:t>
            </w:r>
          </w:p>
        </w:tc>
        <w:tc>
          <w:tcPr>
            <w:tcW w:w="992" w:type="dxa"/>
          </w:tcPr>
          <w:p w14:paraId="2E3F29C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0.13</w:t>
            </w:r>
          </w:p>
        </w:tc>
        <w:tc>
          <w:tcPr>
            <w:tcW w:w="709" w:type="dxa"/>
          </w:tcPr>
          <w:p w14:paraId="4831FAD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c>
          <w:tcPr>
            <w:tcW w:w="850" w:type="dxa"/>
          </w:tcPr>
          <w:p w14:paraId="40705A74"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993" w:type="dxa"/>
          </w:tcPr>
          <w:p w14:paraId="314AD9E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c>
          <w:tcPr>
            <w:tcW w:w="809" w:type="dxa"/>
          </w:tcPr>
          <w:p w14:paraId="1F962A84"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r>
      <w:tr w:rsidR="00393CB4" w:rsidRPr="00393CB4" w14:paraId="505661AF" w14:textId="77777777" w:rsidTr="007447E4">
        <w:trPr>
          <w:trHeight w:val="305"/>
        </w:trPr>
        <w:tc>
          <w:tcPr>
            <w:tcW w:w="1384" w:type="dxa"/>
            <w:vMerge/>
            <w:vAlign w:val="center"/>
          </w:tcPr>
          <w:p w14:paraId="4C8D0329"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p>
        </w:tc>
        <w:tc>
          <w:tcPr>
            <w:tcW w:w="4780" w:type="dxa"/>
          </w:tcPr>
          <w:p w14:paraId="58BF1EB9"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Cost (cost of renewable electricity is a threat to sector)</w:t>
            </w:r>
          </w:p>
        </w:tc>
        <w:tc>
          <w:tcPr>
            <w:tcW w:w="736" w:type="dxa"/>
          </w:tcPr>
          <w:p w14:paraId="370A8F7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0.19</w:t>
            </w:r>
          </w:p>
        </w:tc>
        <w:tc>
          <w:tcPr>
            <w:tcW w:w="1007" w:type="dxa"/>
          </w:tcPr>
          <w:p w14:paraId="2B2E0C5D"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0.29</w:t>
            </w:r>
          </w:p>
        </w:tc>
        <w:tc>
          <w:tcPr>
            <w:tcW w:w="922" w:type="dxa"/>
          </w:tcPr>
          <w:p w14:paraId="209D209B"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0.30</w:t>
            </w:r>
          </w:p>
        </w:tc>
        <w:tc>
          <w:tcPr>
            <w:tcW w:w="992" w:type="dxa"/>
          </w:tcPr>
          <w:p w14:paraId="46F8A57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0.26</w:t>
            </w:r>
          </w:p>
        </w:tc>
        <w:tc>
          <w:tcPr>
            <w:tcW w:w="992" w:type="dxa"/>
          </w:tcPr>
          <w:p w14:paraId="4BF080D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0.32</w:t>
            </w:r>
          </w:p>
        </w:tc>
        <w:tc>
          <w:tcPr>
            <w:tcW w:w="709" w:type="dxa"/>
          </w:tcPr>
          <w:p w14:paraId="648AFA2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c>
          <w:tcPr>
            <w:tcW w:w="850" w:type="dxa"/>
          </w:tcPr>
          <w:p w14:paraId="42AB089A"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c>
          <w:tcPr>
            <w:tcW w:w="993" w:type="dxa"/>
          </w:tcPr>
          <w:p w14:paraId="3675C76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809" w:type="dxa"/>
          </w:tcPr>
          <w:p w14:paraId="5F6F6A8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r>
      <w:tr w:rsidR="00393CB4" w:rsidRPr="00393CB4" w14:paraId="14EF174E" w14:textId="77777777" w:rsidTr="007447E4">
        <w:trPr>
          <w:trHeight w:val="305"/>
        </w:trPr>
        <w:tc>
          <w:tcPr>
            <w:tcW w:w="1384" w:type="dxa"/>
            <w:vMerge/>
            <w:vAlign w:val="center"/>
          </w:tcPr>
          <w:p w14:paraId="1CEE4999"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p>
        </w:tc>
        <w:tc>
          <w:tcPr>
            <w:tcW w:w="4780" w:type="dxa"/>
          </w:tcPr>
          <w:p w14:paraId="7C8A2FF2"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Public (opposition to developments)</w:t>
            </w:r>
          </w:p>
        </w:tc>
        <w:tc>
          <w:tcPr>
            <w:tcW w:w="736" w:type="dxa"/>
          </w:tcPr>
          <w:p w14:paraId="5C5E4E0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w:t>
            </w:r>
          </w:p>
        </w:tc>
        <w:tc>
          <w:tcPr>
            <w:tcW w:w="1007" w:type="dxa"/>
          </w:tcPr>
          <w:p w14:paraId="28E51B5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0.13</w:t>
            </w:r>
          </w:p>
        </w:tc>
        <w:tc>
          <w:tcPr>
            <w:tcW w:w="922" w:type="dxa"/>
          </w:tcPr>
          <w:p w14:paraId="7857CC6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0.14</w:t>
            </w:r>
          </w:p>
        </w:tc>
        <w:tc>
          <w:tcPr>
            <w:tcW w:w="992" w:type="dxa"/>
          </w:tcPr>
          <w:p w14:paraId="5B494A6E"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0.12</w:t>
            </w:r>
          </w:p>
        </w:tc>
        <w:tc>
          <w:tcPr>
            <w:tcW w:w="992" w:type="dxa"/>
          </w:tcPr>
          <w:p w14:paraId="25B9550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0.12</w:t>
            </w:r>
          </w:p>
        </w:tc>
        <w:tc>
          <w:tcPr>
            <w:tcW w:w="709" w:type="dxa"/>
          </w:tcPr>
          <w:p w14:paraId="51FF92B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0.16</w:t>
            </w:r>
          </w:p>
        </w:tc>
        <w:tc>
          <w:tcPr>
            <w:tcW w:w="850" w:type="dxa"/>
          </w:tcPr>
          <w:p w14:paraId="54AC073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c>
          <w:tcPr>
            <w:tcW w:w="993" w:type="dxa"/>
          </w:tcPr>
          <w:p w14:paraId="669CA9AE"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809" w:type="dxa"/>
          </w:tcPr>
          <w:p w14:paraId="232671F9"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0.19</w:t>
            </w:r>
          </w:p>
        </w:tc>
      </w:tr>
      <w:tr w:rsidR="00393CB4" w:rsidRPr="00393CB4" w14:paraId="64BAACA6" w14:textId="77777777" w:rsidTr="007447E4">
        <w:trPr>
          <w:trHeight w:val="305"/>
        </w:trPr>
        <w:tc>
          <w:tcPr>
            <w:tcW w:w="1384" w:type="dxa"/>
            <w:vMerge/>
            <w:vAlign w:val="center"/>
          </w:tcPr>
          <w:p w14:paraId="335DC781"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p>
        </w:tc>
        <w:tc>
          <w:tcPr>
            <w:tcW w:w="4780" w:type="dxa"/>
          </w:tcPr>
          <w:p w14:paraId="2FBB743C"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Market  Power(of large industry players)</w:t>
            </w:r>
          </w:p>
        </w:tc>
        <w:tc>
          <w:tcPr>
            <w:tcW w:w="736" w:type="dxa"/>
          </w:tcPr>
          <w:p w14:paraId="4566E98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0.22</w:t>
            </w:r>
          </w:p>
        </w:tc>
        <w:tc>
          <w:tcPr>
            <w:tcW w:w="1007" w:type="dxa"/>
          </w:tcPr>
          <w:p w14:paraId="1818CD3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0.14</w:t>
            </w:r>
          </w:p>
        </w:tc>
        <w:tc>
          <w:tcPr>
            <w:tcW w:w="922" w:type="dxa"/>
          </w:tcPr>
          <w:p w14:paraId="0A845D5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0.13</w:t>
            </w:r>
          </w:p>
        </w:tc>
        <w:tc>
          <w:tcPr>
            <w:tcW w:w="992" w:type="dxa"/>
          </w:tcPr>
          <w:p w14:paraId="12FCACB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0.16</w:t>
            </w:r>
          </w:p>
        </w:tc>
        <w:tc>
          <w:tcPr>
            <w:tcW w:w="992" w:type="dxa"/>
          </w:tcPr>
          <w:p w14:paraId="027ABC7B"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0.11</w:t>
            </w:r>
          </w:p>
        </w:tc>
        <w:tc>
          <w:tcPr>
            <w:tcW w:w="709" w:type="dxa"/>
          </w:tcPr>
          <w:p w14:paraId="399D5F8D"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850" w:type="dxa"/>
          </w:tcPr>
          <w:p w14:paraId="656765C9"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c>
          <w:tcPr>
            <w:tcW w:w="993" w:type="dxa"/>
          </w:tcPr>
          <w:p w14:paraId="4AB8BE6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c>
          <w:tcPr>
            <w:tcW w:w="809" w:type="dxa"/>
          </w:tcPr>
          <w:p w14:paraId="2C6CCB29"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0.19</w:t>
            </w:r>
          </w:p>
        </w:tc>
      </w:tr>
      <w:tr w:rsidR="00393CB4" w:rsidRPr="00393CB4" w14:paraId="15DCAE86" w14:textId="77777777" w:rsidTr="007447E4">
        <w:trPr>
          <w:trHeight w:val="305"/>
        </w:trPr>
        <w:tc>
          <w:tcPr>
            <w:tcW w:w="1384" w:type="dxa"/>
            <w:vMerge/>
            <w:vAlign w:val="center"/>
          </w:tcPr>
          <w:p w14:paraId="687E4474"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p>
        </w:tc>
        <w:tc>
          <w:tcPr>
            <w:tcW w:w="4780" w:type="dxa"/>
          </w:tcPr>
          <w:p w14:paraId="4F150269"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Uncertainty (of sector as a whole)</w:t>
            </w:r>
          </w:p>
        </w:tc>
        <w:tc>
          <w:tcPr>
            <w:tcW w:w="736" w:type="dxa"/>
          </w:tcPr>
          <w:p w14:paraId="740A620A"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w:t>
            </w:r>
          </w:p>
        </w:tc>
        <w:tc>
          <w:tcPr>
            <w:tcW w:w="1007" w:type="dxa"/>
          </w:tcPr>
          <w:p w14:paraId="4D60090D"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0.30</w:t>
            </w:r>
          </w:p>
        </w:tc>
        <w:tc>
          <w:tcPr>
            <w:tcW w:w="922" w:type="dxa"/>
          </w:tcPr>
          <w:p w14:paraId="78481574"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0.29</w:t>
            </w:r>
          </w:p>
        </w:tc>
        <w:tc>
          <w:tcPr>
            <w:tcW w:w="992" w:type="dxa"/>
          </w:tcPr>
          <w:p w14:paraId="006C0C4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0.30</w:t>
            </w:r>
          </w:p>
        </w:tc>
        <w:tc>
          <w:tcPr>
            <w:tcW w:w="992" w:type="dxa"/>
          </w:tcPr>
          <w:p w14:paraId="4C1F296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0.32</w:t>
            </w:r>
          </w:p>
        </w:tc>
        <w:tc>
          <w:tcPr>
            <w:tcW w:w="709" w:type="dxa"/>
          </w:tcPr>
          <w:p w14:paraId="62841DB2"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0.26</w:t>
            </w:r>
          </w:p>
        </w:tc>
        <w:tc>
          <w:tcPr>
            <w:tcW w:w="850" w:type="dxa"/>
          </w:tcPr>
          <w:p w14:paraId="017433B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c>
          <w:tcPr>
            <w:tcW w:w="993" w:type="dxa"/>
          </w:tcPr>
          <w:p w14:paraId="61EFFB12"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809" w:type="dxa"/>
          </w:tcPr>
          <w:p w14:paraId="4E7FBF5A"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0.19</w:t>
            </w:r>
          </w:p>
        </w:tc>
      </w:tr>
      <w:tr w:rsidR="00393CB4" w:rsidRPr="00393CB4" w14:paraId="47FFC0E8" w14:textId="77777777" w:rsidTr="007447E4">
        <w:trPr>
          <w:trHeight w:val="305"/>
        </w:trPr>
        <w:tc>
          <w:tcPr>
            <w:tcW w:w="1384" w:type="dxa"/>
            <w:vMerge w:val="restart"/>
            <w:vAlign w:val="center"/>
          </w:tcPr>
          <w:p w14:paraId="4E200174"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r w:rsidRPr="00393CB4">
              <w:rPr>
                <w:rFonts w:asciiTheme="minorHAnsi" w:hAnsiTheme="minorHAnsi" w:cstheme="minorHAnsi"/>
                <w:b/>
                <w:color w:val="000000" w:themeColor="text1"/>
                <w:sz w:val="20"/>
                <w:szCs w:val="20"/>
              </w:rPr>
              <w:t>Weaknesses</w:t>
            </w:r>
          </w:p>
        </w:tc>
        <w:tc>
          <w:tcPr>
            <w:tcW w:w="4780" w:type="dxa"/>
          </w:tcPr>
          <w:p w14:paraId="3CE49083"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Lack of ability to move technology forward</w:t>
            </w:r>
          </w:p>
        </w:tc>
        <w:tc>
          <w:tcPr>
            <w:tcW w:w="736" w:type="dxa"/>
          </w:tcPr>
          <w:p w14:paraId="2788D579"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0.21</w:t>
            </w:r>
          </w:p>
        </w:tc>
        <w:tc>
          <w:tcPr>
            <w:tcW w:w="1007" w:type="dxa"/>
          </w:tcPr>
          <w:p w14:paraId="47723B4E"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0.26</w:t>
            </w:r>
          </w:p>
        </w:tc>
        <w:tc>
          <w:tcPr>
            <w:tcW w:w="922" w:type="dxa"/>
          </w:tcPr>
          <w:p w14:paraId="0459E99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992" w:type="dxa"/>
          </w:tcPr>
          <w:p w14:paraId="08631FE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0.29</w:t>
            </w:r>
          </w:p>
        </w:tc>
        <w:tc>
          <w:tcPr>
            <w:tcW w:w="992" w:type="dxa"/>
          </w:tcPr>
          <w:p w14:paraId="5DCC60F2"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0.32</w:t>
            </w:r>
          </w:p>
        </w:tc>
        <w:tc>
          <w:tcPr>
            <w:tcW w:w="709" w:type="dxa"/>
          </w:tcPr>
          <w:p w14:paraId="04B0174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0.26</w:t>
            </w:r>
          </w:p>
        </w:tc>
        <w:tc>
          <w:tcPr>
            <w:tcW w:w="850" w:type="dxa"/>
          </w:tcPr>
          <w:p w14:paraId="727ADAA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0.25</w:t>
            </w:r>
          </w:p>
        </w:tc>
        <w:tc>
          <w:tcPr>
            <w:tcW w:w="993" w:type="dxa"/>
          </w:tcPr>
          <w:p w14:paraId="6E24531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809" w:type="dxa"/>
          </w:tcPr>
          <w:p w14:paraId="0295CDAB"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0.25</w:t>
            </w:r>
          </w:p>
        </w:tc>
      </w:tr>
      <w:tr w:rsidR="00393CB4" w:rsidRPr="00393CB4" w14:paraId="23F111E6" w14:textId="77777777" w:rsidTr="007447E4">
        <w:trPr>
          <w:trHeight w:val="305"/>
        </w:trPr>
        <w:tc>
          <w:tcPr>
            <w:tcW w:w="1384" w:type="dxa"/>
            <w:vMerge/>
            <w:vAlign w:val="center"/>
          </w:tcPr>
          <w:p w14:paraId="39986F6F"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p>
        </w:tc>
        <w:tc>
          <w:tcPr>
            <w:tcW w:w="4780" w:type="dxa"/>
          </w:tcPr>
          <w:p w14:paraId="27F7B610"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Lack of resources</w:t>
            </w:r>
          </w:p>
        </w:tc>
        <w:tc>
          <w:tcPr>
            <w:tcW w:w="736" w:type="dxa"/>
          </w:tcPr>
          <w:p w14:paraId="65105B4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0.41</w:t>
            </w:r>
          </w:p>
        </w:tc>
        <w:tc>
          <w:tcPr>
            <w:tcW w:w="1007" w:type="dxa"/>
          </w:tcPr>
          <w:p w14:paraId="3F89A57B"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0.32</w:t>
            </w:r>
          </w:p>
        </w:tc>
        <w:tc>
          <w:tcPr>
            <w:tcW w:w="922" w:type="dxa"/>
          </w:tcPr>
          <w:p w14:paraId="1E9E237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0.34</w:t>
            </w:r>
          </w:p>
        </w:tc>
        <w:tc>
          <w:tcPr>
            <w:tcW w:w="992" w:type="dxa"/>
          </w:tcPr>
          <w:p w14:paraId="33C4816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992" w:type="dxa"/>
          </w:tcPr>
          <w:p w14:paraId="14A4093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0.26</w:t>
            </w:r>
          </w:p>
        </w:tc>
        <w:tc>
          <w:tcPr>
            <w:tcW w:w="709" w:type="dxa"/>
          </w:tcPr>
          <w:p w14:paraId="7402EF9A"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0.28</w:t>
            </w:r>
          </w:p>
        </w:tc>
        <w:tc>
          <w:tcPr>
            <w:tcW w:w="850" w:type="dxa"/>
          </w:tcPr>
          <w:p w14:paraId="2FAED89D"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993" w:type="dxa"/>
          </w:tcPr>
          <w:p w14:paraId="61B8C7A4"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0.29</w:t>
            </w:r>
          </w:p>
        </w:tc>
        <w:tc>
          <w:tcPr>
            <w:tcW w:w="809" w:type="dxa"/>
          </w:tcPr>
          <w:p w14:paraId="08CFB8C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r>
      <w:tr w:rsidR="00393CB4" w:rsidRPr="00393CB4" w14:paraId="3AA8002A" w14:textId="77777777" w:rsidTr="007447E4">
        <w:trPr>
          <w:trHeight w:val="305"/>
        </w:trPr>
        <w:tc>
          <w:tcPr>
            <w:tcW w:w="1384" w:type="dxa"/>
            <w:vMerge/>
            <w:vAlign w:val="center"/>
          </w:tcPr>
          <w:p w14:paraId="72486956"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p>
        </w:tc>
        <w:tc>
          <w:tcPr>
            <w:tcW w:w="4780" w:type="dxa"/>
          </w:tcPr>
          <w:p w14:paraId="5EFDFEB4"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Not possessing a first mover's advantage</w:t>
            </w:r>
          </w:p>
        </w:tc>
        <w:tc>
          <w:tcPr>
            <w:tcW w:w="736" w:type="dxa"/>
          </w:tcPr>
          <w:p w14:paraId="51211FF9"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0.12</w:t>
            </w:r>
          </w:p>
        </w:tc>
        <w:tc>
          <w:tcPr>
            <w:tcW w:w="1007" w:type="dxa"/>
          </w:tcPr>
          <w:p w14:paraId="7ED4727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0.18</w:t>
            </w:r>
          </w:p>
        </w:tc>
        <w:tc>
          <w:tcPr>
            <w:tcW w:w="922" w:type="dxa"/>
          </w:tcPr>
          <w:p w14:paraId="3738255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992" w:type="dxa"/>
          </w:tcPr>
          <w:p w14:paraId="7FFE041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c>
          <w:tcPr>
            <w:tcW w:w="992" w:type="dxa"/>
          </w:tcPr>
          <w:p w14:paraId="4EEF3BF2"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0.21</w:t>
            </w:r>
          </w:p>
        </w:tc>
        <w:tc>
          <w:tcPr>
            <w:tcW w:w="709" w:type="dxa"/>
          </w:tcPr>
          <w:p w14:paraId="4ADB943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0.22</w:t>
            </w:r>
          </w:p>
        </w:tc>
        <w:tc>
          <w:tcPr>
            <w:tcW w:w="850" w:type="dxa"/>
          </w:tcPr>
          <w:p w14:paraId="64D30CDA"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0.22</w:t>
            </w:r>
          </w:p>
        </w:tc>
        <w:tc>
          <w:tcPr>
            <w:tcW w:w="993" w:type="dxa"/>
          </w:tcPr>
          <w:p w14:paraId="0FA0EA7B"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c>
          <w:tcPr>
            <w:tcW w:w="809" w:type="dxa"/>
          </w:tcPr>
          <w:p w14:paraId="2B5017A6"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r>
      <w:tr w:rsidR="00393CB4" w:rsidRPr="00393CB4" w14:paraId="2F7ECA6E" w14:textId="77777777" w:rsidTr="007447E4">
        <w:trPr>
          <w:trHeight w:val="305"/>
        </w:trPr>
        <w:tc>
          <w:tcPr>
            <w:tcW w:w="1384" w:type="dxa"/>
            <w:vMerge/>
            <w:vAlign w:val="center"/>
          </w:tcPr>
          <w:p w14:paraId="5A1B2253"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p>
        </w:tc>
        <w:tc>
          <w:tcPr>
            <w:tcW w:w="4780" w:type="dxa"/>
          </w:tcPr>
          <w:p w14:paraId="5E00A68A"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Weak industrial capability</w:t>
            </w:r>
          </w:p>
        </w:tc>
        <w:tc>
          <w:tcPr>
            <w:tcW w:w="736" w:type="dxa"/>
          </w:tcPr>
          <w:p w14:paraId="5A01D48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0.26</w:t>
            </w:r>
          </w:p>
        </w:tc>
        <w:tc>
          <w:tcPr>
            <w:tcW w:w="1007" w:type="dxa"/>
          </w:tcPr>
          <w:p w14:paraId="1343E597"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922" w:type="dxa"/>
          </w:tcPr>
          <w:p w14:paraId="2ECB867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992" w:type="dxa"/>
          </w:tcPr>
          <w:p w14:paraId="50F1FD9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0.21</w:t>
            </w:r>
          </w:p>
        </w:tc>
        <w:tc>
          <w:tcPr>
            <w:tcW w:w="992" w:type="dxa"/>
          </w:tcPr>
          <w:p w14:paraId="6E9B31F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0.21</w:t>
            </w:r>
          </w:p>
        </w:tc>
        <w:tc>
          <w:tcPr>
            <w:tcW w:w="709" w:type="dxa"/>
          </w:tcPr>
          <w:p w14:paraId="52D8F14D"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0.25</w:t>
            </w:r>
          </w:p>
        </w:tc>
        <w:tc>
          <w:tcPr>
            <w:tcW w:w="850" w:type="dxa"/>
          </w:tcPr>
          <w:p w14:paraId="67ADFAB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0.25</w:t>
            </w:r>
          </w:p>
        </w:tc>
        <w:tc>
          <w:tcPr>
            <w:tcW w:w="993" w:type="dxa"/>
          </w:tcPr>
          <w:p w14:paraId="18779C2B"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809" w:type="dxa"/>
          </w:tcPr>
          <w:p w14:paraId="3FAEC9C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r>
      <w:tr w:rsidR="00393CB4" w:rsidRPr="00393CB4" w14:paraId="2481A453" w14:textId="77777777" w:rsidTr="007447E4">
        <w:trPr>
          <w:trHeight w:val="305"/>
        </w:trPr>
        <w:tc>
          <w:tcPr>
            <w:tcW w:w="1384" w:type="dxa"/>
            <w:vMerge w:val="restart"/>
            <w:vAlign w:val="center"/>
          </w:tcPr>
          <w:p w14:paraId="2E28A538"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b/>
                <w:color w:val="000000" w:themeColor="text1"/>
                <w:sz w:val="20"/>
                <w:szCs w:val="20"/>
              </w:rPr>
            </w:pPr>
            <w:r w:rsidRPr="00393CB4">
              <w:rPr>
                <w:rFonts w:asciiTheme="minorHAnsi" w:hAnsiTheme="minorHAnsi" w:cstheme="minorHAnsi"/>
                <w:b/>
                <w:color w:val="000000" w:themeColor="text1"/>
                <w:sz w:val="20"/>
                <w:szCs w:val="20"/>
              </w:rPr>
              <w:t>Strengths</w:t>
            </w:r>
          </w:p>
        </w:tc>
        <w:tc>
          <w:tcPr>
            <w:tcW w:w="4780" w:type="dxa"/>
          </w:tcPr>
          <w:p w14:paraId="68572537"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Preference weather and geographical factors</w:t>
            </w:r>
          </w:p>
        </w:tc>
        <w:tc>
          <w:tcPr>
            <w:tcW w:w="736" w:type="dxa"/>
          </w:tcPr>
          <w:p w14:paraId="723BA0F2"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1007" w:type="dxa"/>
          </w:tcPr>
          <w:p w14:paraId="749A485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0.26</w:t>
            </w:r>
          </w:p>
        </w:tc>
        <w:tc>
          <w:tcPr>
            <w:tcW w:w="922" w:type="dxa"/>
          </w:tcPr>
          <w:p w14:paraId="5DD5348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992" w:type="dxa"/>
          </w:tcPr>
          <w:p w14:paraId="574DD91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0.22</w:t>
            </w:r>
          </w:p>
        </w:tc>
        <w:tc>
          <w:tcPr>
            <w:tcW w:w="992" w:type="dxa"/>
          </w:tcPr>
          <w:p w14:paraId="608D44D4"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0.25</w:t>
            </w:r>
          </w:p>
        </w:tc>
        <w:tc>
          <w:tcPr>
            <w:tcW w:w="709" w:type="dxa"/>
          </w:tcPr>
          <w:p w14:paraId="2696692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0.25</w:t>
            </w:r>
          </w:p>
        </w:tc>
        <w:tc>
          <w:tcPr>
            <w:tcW w:w="850" w:type="dxa"/>
          </w:tcPr>
          <w:p w14:paraId="734E06B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993" w:type="dxa"/>
          </w:tcPr>
          <w:p w14:paraId="13638D3E"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c>
          <w:tcPr>
            <w:tcW w:w="809" w:type="dxa"/>
          </w:tcPr>
          <w:p w14:paraId="6D2E4E6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0.26</w:t>
            </w:r>
          </w:p>
        </w:tc>
      </w:tr>
      <w:tr w:rsidR="00393CB4" w:rsidRPr="00393CB4" w14:paraId="2C06A7D6" w14:textId="77777777" w:rsidTr="007447E4">
        <w:trPr>
          <w:trHeight w:val="305"/>
        </w:trPr>
        <w:tc>
          <w:tcPr>
            <w:tcW w:w="1384" w:type="dxa"/>
            <w:vMerge/>
          </w:tcPr>
          <w:p w14:paraId="1C89C9EA"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p>
        </w:tc>
        <w:tc>
          <w:tcPr>
            <w:tcW w:w="4780" w:type="dxa"/>
          </w:tcPr>
          <w:p w14:paraId="6D13CD9A"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Preference export (of electricity)</w:t>
            </w:r>
          </w:p>
        </w:tc>
        <w:tc>
          <w:tcPr>
            <w:tcW w:w="736" w:type="dxa"/>
          </w:tcPr>
          <w:p w14:paraId="2BC3849B"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1007" w:type="dxa"/>
          </w:tcPr>
          <w:p w14:paraId="06C30B4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922" w:type="dxa"/>
          </w:tcPr>
          <w:p w14:paraId="0395260D"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992" w:type="dxa"/>
          </w:tcPr>
          <w:p w14:paraId="0BE1601F"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0.15</w:t>
            </w:r>
          </w:p>
        </w:tc>
        <w:tc>
          <w:tcPr>
            <w:tcW w:w="992" w:type="dxa"/>
          </w:tcPr>
          <w:p w14:paraId="60313CDB"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0.16</w:t>
            </w:r>
          </w:p>
        </w:tc>
        <w:tc>
          <w:tcPr>
            <w:tcW w:w="709" w:type="dxa"/>
          </w:tcPr>
          <w:p w14:paraId="5BF8953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0.20</w:t>
            </w:r>
          </w:p>
        </w:tc>
        <w:tc>
          <w:tcPr>
            <w:tcW w:w="850" w:type="dxa"/>
          </w:tcPr>
          <w:p w14:paraId="6A81624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0.22</w:t>
            </w:r>
          </w:p>
        </w:tc>
        <w:tc>
          <w:tcPr>
            <w:tcW w:w="993" w:type="dxa"/>
          </w:tcPr>
          <w:p w14:paraId="00A33A7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0.25</w:t>
            </w:r>
          </w:p>
        </w:tc>
        <w:tc>
          <w:tcPr>
            <w:tcW w:w="809" w:type="dxa"/>
          </w:tcPr>
          <w:p w14:paraId="1105F14C"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r>
      <w:tr w:rsidR="00393CB4" w:rsidRPr="00393CB4" w14:paraId="0845D0C7" w14:textId="77777777" w:rsidTr="007447E4">
        <w:trPr>
          <w:trHeight w:val="305"/>
        </w:trPr>
        <w:tc>
          <w:tcPr>
            <w:tcW w:w="1384" w:type="dxa"/>
            <w:vMerge/>
          </w:tcPr>
          <w:p w14:paraId="166176B4"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p>
        </w:tc>
        <w:tc>
          <w:tcPr>
            <w:tcW w:w="4780" w:type="dxa"/>
          </w:tcPr>
          <w:p w14:paraId="34138AD4"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Preference expertise</w:t>
            </w:r>
          </w:p>
        </w:tc>
        <w:tc>
          <w:tcPr>
            <w:tcW w:w="736" w:type="dxa"/>
          </w:tcPr>
          <w:p w14:paraId="6CC1C862"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0.29</w:t>
            </w:r>
          </w:p>
        </w:tc>
        <w:tc>
          <w:tcPr>
            <w:tcW w:w="1007" w:type="dxa"/>
          </w:tcPr>
          <w:p w14:paraId="6131463B"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0.31</w:t>
            </w:r>
          </w:p>
        </w:tc>
        <w:tc>
          <w:tcPr>
            <w:tcW w:w="922" w:type="dxa"/>
          </w:tcPr>
          <w:p w14:paraId="3A6039F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0.29</w:t>
            </w:r>
          </w:p>
        </w:tc>
        <w:tc>
          <w:tcPr>
            <w:tcW w:w="992" w:type="dxa"/>
          </w:tcPr>
          <w:p w14:paraId="189BE41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0.36</w:t>
            </w:r>
          </w:p>
        </w:tc>
        <w:tc>
          <w:tcPr>
            <w:tcW w:w="992" w:type="dxa"/>
          </w:tcPr>
          <w:p w14:paraId="2F8909EA"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0.36</w:t>
            </w:r>
          </w:p>
        </w:tc>
        <w:tc>
          <w:tcPr>
            <w:tcW w:w="709" w:type="dxa"/>
          </w:tcPr>
          <w:p w14:paraId="374E1027"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0.29</w:t>
            </w:r>
          </w:p>
        </w:tc>
        <w:tc>
          <w:tcPr>
            <w:tcW w:w="850" w:type="dxa"/>
          </w:tcPr>
          <w:p w14:paraId="48CE803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993" w:type="dxa"/>
          </w:tcPr>
          <w:p w14:paraId="35195B8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809" w:type="dxa"/>
          </w:tcPr>
          <w:p w14:paraId="28D82D12"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r>
      <w:tr w:rsidR="00393CB4" w:rsidRPr="00393CB4" w14:paraId="71B1DEDE" w14:textId="77777777" w:rsidTr="007447E4">
        <w:trPr>
          <w:trHeight w:val="305"/>
        </w:trPr>
        <w:tc>
          <w:tcPr>
            <w:tcW w:w="1384" w:type="dxa"/>
            <w:vMerge/>
          </w:tcPr>
          <w:p w14:paraId="79670F79"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p>
        </w:tc>
        <w:tc>
          <w:tcPr>
            <w:tcW w:w="4780" w:type="dxa"/>
          </w:tcPr>
          <w:p w14:paraId="01C9831B" w14:textId="77777777" w:rsidR="00A256D1" w:rsidRPr="00393CB4" w:rsidRDefault="00A256D1" w:rsidP="007447E4">
            <w:pPr>
              <w:autoSpaceDE w:val="0"/>
              <w:autoSpaceDN w:val="0"/>
              <w:adjustRightInd w:val="0"/>
              <w:spacing w:after="0" w:line="240" w:lineRule="auto"/>
              <w:ind w:firstLine="0"/>
              <w:rPr>
                <w:rFonts w:asciiTheme="minorHAnsi" w:hAnsiTheme="minorHAnsi" w:cstheme="minorHAnsi"/>
                <w:color w:val="000000" w:themeColor="text1"/>
                <w:sz w:val="20"/>
                <w:szCs w:val="20"/>
              </w:rPr>
            </w:pPr>
            <w:r w:rsidRPr="00393CB4">
              <w:rPr>
                <w:rFonts w:asciiTheme="minorHAnsi" w:hAnsiTheme="minorHAnsi" w:cstheme="minorHAnsi"/>
                <w:color w:val="000000" w:themeColor="text1"/>
                <w:sz w:val="20"/>
                <w:szCs w:val="20"/>
              </w:rPr>
              <w:t>Preference policy (supporting)</w:t>
            </w:r>
          </w:p>
        </w:tc>
        <w:tc>
          <w:tcPr>
            <w:tcW w:w="736" w:type="dxa"/>
          </w:tcPr>
          <w:p w14:paraId="2AB756E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0.17</w:t>
            </w:r>
          </w:p>
        </w:tc>
        <w:tc>
          <w:tcPr>
            <w:tcW w:w="1007" w:type="dxa"/>
          </w:tcPr>
          <w:p w14:paraId="568CFF28"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922" w:type="dxa"/>
          </w:tcPr>
          <w:p w14:paraId="7A25975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992" w:type="dxa"/>
          </w:tcPr>
          <w:p w14:paraId="0F2AECF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992" w:type="dxa"/>
          </w:tcPr>
          <w:p w14:paraId="7CD0D6C1"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0.23</w:t>
            </w:r>
          </w:p>
        </w:tc>
        <w:tc>
          <w:tcPr>
            <w:tcW w:w="709" w:type="dxa"/>
          </w:tcPr>
          <w:p w14:paraId="72CB97F5"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c>
          <w:tcPr>
            <w:tcW w:w="850" w:type="dxa"/>
          </w:tcPr>
          <w:p w14:paraId="079176F0"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0.24</w:t>
            </w:r>
          </w:p>
        </w:tc>
        <w:tc>
          <w:tcPr>
            <w:tcW w:w="993" w:type="dxa"/>
          </w:tcPr>
          <w:p w14:paraId="728C7C13"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0.25</w:t>
            </w:r>
          </w:p>
        </w:tc>
        <w:tc>
          <w:tcPr>
            <w:tcW w:w="809" w:type="dxa"/>
          </w:tcPr>
          <w:p w14:paraId="1280C929" w14:textId="77777777" w:rsidR="00A256D1" w:rsidRPr="00393CB4" w:rsidRDefault="00A256D1" w:rsidP="007447E4">
            <w:pPr>
              <w:autoSpaceDE w:val="0"/>
              <w:autoSpaceDN w:val="0"/>
              <w:adjustRightInd w:val="0"/>
              <w:spacing w:after="0" w:line="240" w:lineRule="auto"/>
              <w:ind w:firstLine="0"/>
              <w:jc w:val="center"/>
              <w:rPr>
                <w:rFonts w:asciiTheme="minorHAnsi" w:hAnsiTheme="minorHAnsi" w:cstheme="minorHAnsi"/>
                <w:b/>
                <w:bCs/>
                <w:color w:val="000000" w:themeColor="text1"/>
                <w:sz w:val="20"/>
                <w:szCs w:val="20"/>
              </w:rPr>
            </w:pPr>
            <w:r w:rsidRPr="00393CB4">
              <w:rPr>
                <w:rFonts w:asciiTheme="minorHAnsi" w:hAnsiTheme="minorHAnsi" w:cstheme="minorHAnsi"/>
                <w:b/>
                <w:bCs/>
                <w:color w:val="000000" w:themeColor="text1"/>
                <w:sz w:val="20"/>
                <w:szCs w:val="20"/>
              </w:rPr>
              <w:t>0.27</w:t>
            </w:r>
          </w:p>
        </w:tc>
      </w:tr>
    </w:tbl>
    <w:p w14:paraId="4FBFD499" w14:textId="77777777" w:rsidR="00A256D1" w:rsidRPr="00393CB4" w:rsidRDefault="00A256D1" w:rsidP="00A256D1">
      <w:pPr>
        <w:jc w:val="center"/>
        <w:rPr>
          <w:rFonts w:ascii="Times New Roman" w:hAnsi="Times New Roman"/>
          <w:i/>
          <w:color w:val="000000" w:themeColor="text1"/>
          <w:lang w:val="en-GB"/>
        </w:rPr>
      </w:pPr>
      <w:r w:rsidRPr="00393CB4">
        <w:rPr>
          <w:rFonts w:ascii="Times New Roman" w:hAnsi="Times New Roman"/>
          <w:i/>
          <w:color w:val="000000" w:themeColor="text1"/>
          <w:lang w:val="en-GB"/>
        </w:rPr>
        <w:t>Table 1. Pilot and Full Survey results (GM= normalised Geometric Mean; 1 = experts; 2= non-experts)</w:t>
      </w:r>
    </w:p>
    <w:p w14:paraId="0D4BC56E" w14:textId="77777777" w:rsidR="00A256D1" w:rsidRPr="00393CB4" w:rsidRDefault="00A256D1" w:rsidP="00A256D1">
      <w:pPr>
        <w:rPr>
          <w:rFonts w:ascii="Times New Roman" w:hAnsi="Times New Roman"/>
          <w:color w:val="000000" w:themeColor="text1"/>
          <w:lang w:val="en-GB"/>
        </w:rPr>
        <w:sectPr w:rsidR="00A256D1" w:rsidRPr="00393CB4" w:rsidSect="00301247">
          <w:pgSz w:w="16838" w:h="11906" w:orient="landscape"/>
          <w:pgMar w:top="1440" w:right="1440" w:bottom="1440" w:left="1440" w:header="709" w:footer="709" w:gutter="0"/>
          <w:cols w:space="708"/>
          <w:docGrid w:linePitch="360"/>
        </w:sectPr>
      </w:pPr>
    </w:p>
    <w:p w14:paraId="067177E1" w14:textId="77777777" w:rsidR="006B536E" w:rsidRPr="00393CB4" w:rsidRDefault="006B536E" w:rsidP="006B536E">
      <w:pPr>
        <w:ind w:firstLine="720"/>
        <w:jc w:val="both"/>
        <w:rPr>
          <w:rFonts w:ascii="Times New Roman" w:hAnsi="Times New Roman"/>
          <w:color w:val="000000" w:themeColor="text1"/>
          <w:lang w:val="en-GB"/>
        </w:rPr>
      </w:pPr>
      <w:r w:rsidRPr="00393CB4">
        <w:rPr>
          <w:rFonts w:ascii="Times New Roman" w:hAnsi="Times New Roman"/>
          <w:color w:val="000000" w:themeColor="text1"/>
          <w:lang w:val="en-GB"/>
        </w:rPr>
        <w:lastRenderedPageBreak/>
        <w:t>The results were surprising as nearly all regions were positioned in the Strength-Opportunity (SO) quadrant of the strategy matrix, where growth strategies would be advocated.  The qualitative evidence collected in the strategic data tables suggested otherwise and the regional teams with regions positioned in the ST quadrant challenged the realism of the ratings of the other regions.  This led to a moderation exercise where all ratings for all regions were reviewed by a moderation team that collected additional data when needed. The moderated strategic map is shown at the bottom of figure 3.</w:t>
      </w:r>
    </w:p>
    <w:p w14:paraId="2B4A885A" w14:textId="4CA9448F" w:rsidR="00A256D1" w:rsidRDefault="00A256D1" w:rsidP="00A256D1">
      <w:pPr>
        <w:jc w:val="both"/>
        <w:rPr>
          <w:rFonts w:ascii="Times New Roman" w:hAnsi="Times New Roman"/>
          <w:color w:val="000000" w:themeColor="text1"/>
          <w:lang w:val="en-GB"/>
        </w:rPr>
      </w:pPr>
      <w:r w:rsidRPr="00393CB4">
        <w:rPr>
          <w:rFonts w:ascii="Times New Roman" w:hAnsi="Times New Roman"/>
          <w:color w:val="000000" w:themeColor="text1"/>
          <w:lang w:val="en-GB"/>
        </w:rPr>
        <w:t>The next step of the project was to ask each region to produce industrial scenarios through which they could encourage their local businesses to participate in the MRE industry.  Giv</w:t>
      </w:r>
      <w:r w:rsidR="00D21C58" w:rsidRPr="00393CB4">
        <w:rPr>
          <w:rFonts w:ascii="Times New Roman" w:hAnsi="Times New Roman"/>
          <w:color w:val="000000" w:themeColor="text1"/>
          <w:lang w:val="en-GB"/>
        </w:rPr>
        <w:t>en the results shown in figure 3</w:t>
      </w:r>
      <w:r w:rsidRPr="00393CB4">
        <w:rPr>
          <w:rFonts w:ascii="Times New Roman" w:hAnsi="Times New Roman"/>
          <w:color w:val="000000" w:themeColor="text1"/>
          <w:lang w:val="en-GB"/>
        </w:rPr>
        <w:t>, where the majority of regions are shown to be belong to the ST quadrant (region with strong competitive position in slow growth markets), one would expect scenarios recommending diversification or joint ventures, consistently with Christensen et al. (1976).  Instead, most of the regions wrote typical growth scenarios (e.g. market development, market penetration) which can only feasibly be applied by regions positioned in the SO quadrant.</w:t>
      </w:r>
    </w:p>
    <w:p w14:paraId="6A4E9E6F" w14:textId="77777777" w:rsidR="006B536E" w:rsidRPr="00393CB4" w:rsidRDefault="006B536E" w:rsidP="006B536E">
      <w:pPr>
        <w:pStyle w:val="Heading2"/>
        <w:rPr>
          <w:rFonts w:ascii="Times New Roman" w:hAnsi="Times New Roman"/>
          <w:color w:val="000000" w:themeColor="text1"/>
          <w:lang w:val="en-GB"/>
        </w:rPr>
      </w:pPr>
      <w:r w:rsidRPr="00393CB4">
        <w:rPr>
          <w:rFonts w:ascii="Times New Roman" w:hAnsi="Times New Roman"/>
          <w:color w:val="000000" w:themeColor="text1"/>
          <w:lang w:val="en-GB"/>
        </w:rPr>
        <w:t>4.2. Case Analysis</w:t>
      </w:r>
    </w:p>
    <w:p w14:paraId="6520FDF6" w14:textId="77777777" w:rsidR="006B536E" w:rsidRPr="00393CB4" w:rsidRDefault="006B536E" w:rsidP="006B536E">
      <w:pPr>
        <w:pStyle w:val="Heading3"/>
        <w:rPr>
          <w:color w:val="000000" w:themeColor="text1"/>
          <w:lang w:val="en-GB"/>
        </w:rPr>
      </w:pPr>
      <w:r w:rsidRPr="00393CB4">
        <w:rPr>
          <w:color w:val="000000" w:themeColor="text1"/>
          <w:lang w:val="en-GB"/>
        </w:rPr>
        <w:t>4.2.1. Evidence of idealisation</w:t>
      </w:r>
    </w:p>
    <w:p w14:paraId="3DBBA6F3" w14:textId="77777777" w:rsidR="006B536E" w:rsidRPr="00393CB4" w:rsidRDefault="006B536E" w:rsidP="006B536E">
      <w:pPr>
        <w:jc w:val="both"/>
        <w:rPr>
          <w:rFonts w:ascii="Times New Roman" w:hAnsi="Times New Roman"/>
          <w:color w:val="000000" w:themeColor="text1"/>
          <w:lang w:val="en-GB"/>
        </w:rPr>
      </w:pPr>
      <w:r w:rsidRPr="00393CB4">
        <w:rPr>
          <w:rFonts w:ascii="Times New Roman" w:hAnsi="Times New Roman"/>
          <w:color w:val="000000" w:themeColor="text1"/>
          <w:lang w:val="en-GB"/>
        </w:rPr>
        <w:t>As mentioned in the introduction, a surprising feature of the Channel MOR case study is to provide evidence of idealisation of MRE opportunities, not once, but consistently throughout the project:</w:t>
      </w:r>
    </w:p>
    <w:p w14:paraId="63009749" w14:textId="77777777" w:rsidR="006B536E" w:rsidRPr="00393CB4" w:rsidRDefault="006B536E" w:rsidP="006B536E">
      <w:pPr>
        <w:pStyle w:val="ListParagraph"/>
        <w:numPr>
          <w:ilvl w:val="0"/>
          <w:numId w:val="13"/>
        </w:numPr>
        <w:jc w:val="both"/>
        <w:rPr>
          <w:rFonts w:ascii="Times New Roman" w:hAnsi="Times New Roman"/>
          <w:color w:val="000000" w:themeColor="text1"/>
          <w:lang w:val="en-GB"/>
        </w:rPr>
      </w:pPr>
      <w:r w:rsidRPr="00393CB4">
        <w:rPr>
          <w:rFonts w:ascii="Times New Roman" w:hAnsi="Times New Roman"/>
          <w:color w:val="000000" w:themeColor="text1"/>
          <w:lang w:val="en-GB"/>
        </w:rPr>
        <w:t>The survey eliminated the extreme views of the respondents with a ‘point to prove’ (figure 2), i.e. respondents who are idealising a specific strategic factor or technology.  This was the first ‘warning’ provided to participants against idealised views.</w:t>
      </w:r>
    </w:p>
    <w:p w14:paraId="28B8B1A6" w14:textId="77777777" w:rsidR="006B536E" w:rsidRPr="00393CB4" w:rsidRDefault="006B536E" w:rsidP="006B536E">
      <w:pPr>
        <w:pStyle w:val="ListParagraph"/>
        <w:numPr>
          <w:ilvl w:val="0"/>
          <w:numId w:val="13"/>
        </w:numPr>
        <w:jc w:val="both"/>
        <w:rPr>
          <w:rFonts w:ascii="Times New Roman" w:hAnsi="Times New Roman"/>
          <w:color w:val="000000" w:themeColor="text1"/>
          <w:lang w:val="en-GB"/>
        </w:rPr>
      </w:pPr>
      <w:r w:rsidRPr="00393CB4">
        <w:rPr>
          <w:rFonts w:ascii="Times New Roman" w:hAnsi="Times New Roman"/>
          <w:color w:val="000000" w:themeColor="text1"/>
          <w:lang w:val="en-GB"/>
        </w:rPr>
        <w:t>During the strategic mapping exercise, only 2 regions out of 10 assessed themselves objectively, without idealisation effects (look in figure 3 for regions with relatively similar positions after moderation).</w:t>
      </w:r>
    </w:p>
    <w:p w14:paraId="14B7F2E0" w14:textId="77777777" w:rsidR="006B536E" w:rsidRPr="00393CB4" w:rsidRDefault="006B536E" w:rsidP="00A256D1">
      <w:pPr>
        <w:jc w:val="both"/>
        <w:rPr>
          <w:rFonts w:ascii="Times New Roman" w:hAnsi="Times New Roman"/>
          <w:color w:val="000000" w:themeColor="text1"/>
          <w:lang w:val="en-GB"/>
        </w:rPr>
      </w:pPr>
    </w:p>
    <w:p w14:paraId="655DAF79" w14:textId="77777777" w:rsidR="00A256D1" w:rsidRPr="00393CB4" w:rsidRDefault="00A256D1" w:rsidP="00A256D1">
      <w:pPr>
        <w:ind w:firstLine="720"/>
        <w:jc w:val="both"/>
        <w:rPr>
          <w:rFonts w:ascii="Times New Roman" w:hAnsi="Times New Roman"/>
          <w:color w:val="000000" w:themeColor="text1"/>
          <w:lang w:val="en-GB"/>
        </w:rPr>
      </w:pPr>
    </w:p>
    <w:p w14:paraId="5621B070" w14:textId="77777777" w:rsidR="00A256D1" w:rsidRPr="00393CB4" w:rsidRDefault="00A256D1" w:rsidP="00A256D1">
      <w:pPr>
        <w:ind w:firstLine="0"/>
        <w:jc w:val="both"/>
        <w:rPr>
          <w:rFonts w:ascii="Times New Roman" w:hAnsi="Times New Roman"/>
          <w:color w:val="000000" w:themeColor="text1"/>
          <w:lang w:val="en-GB"/>
        </w:rPr>
      </w:pPr>
      <w:r w:rsidRPr="00393CB4">
        <w:rPr>
          <w:noProof/>
          <w:color w:val="000000" w:themeColor="text1"/>
          <w:lang w:val="en-GB" w:eastAsia="en-GB"/>
        </w:rPr>
        <w:lastRenderedPageBreak/>
        <w:drawing>
          <wp:inline distT="0" distB="0" distL="0" distR="0" wp14:anchorId="7880BF97" wp14:editId="7E43027B">
            <wp:extent cx="5731510" cy="3790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790950"/>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93CB4" w:rsidRPr="00393CB4" w14:paraId="2C4DFFF4" w14:textId="77777777" w:rsidTr="007447E4">
        <w:tc>
          <w:tcPr>
            <w:tcW w:w="9242" w:type="dxa"/>
          </w:tcPr>
          <w:p w14:paraId="657A9FB6" w14:textId="77777777" w:rsidR="00A256D1" w:rsidRPr="00393CB4" w:rsidRDefault="00A256D1" w:rsidP="007447E4">
            <w:pPr>
              <w:ind w:firstLine="0"/>
              <w:rPr>
                <w:rFonts w:ascii="Times New Roman" w:hAnsi="Times New Roman"/>
                <w:color w:val="000000" w:themeColor="text1"/>
                <w:lang w:val="en-GB"/>
              </w:rPr>
            </w:pPr>
          </w:p>
        </w:tc>
      </w:tr>
      <w:tr w:rsidR="00393CB4" w:rsidRPr="00393CB4" w14:paraId="71C7B3EC" w14:textId="77777777" w:rsidTr="007447E4">
        <w:tc>
          <w:tcPr>
            <w:tcW w:w="9242" w:type="dxa"/>
          </w:tcPr>
          <w:p w14:paraId="476110A0" w14:textId="77777777" w:rsidR="00A256D1" w:rsidRPr="00393CB4" w:rsidRDefault="00A256D1" w:rsidP="007447E4">
            <w:pPr>
              <w:ind w:firstLine="0"/>
              <w:rPr>
                <w:rFonts w:ascii="Times New Roman" w:hAnsi="Times New Roman"/>
                <w:color w:val="000000" w:themeColor="text1"/>
                <w:lang w:val="en-GB"/>
              </w:rPr>
            </w:pPr>
            <w:r w:rsidRPr="00393CB4">
              <w:rPr>
                <w:rFonts w:ascii="Times New Roman" w:hAnsi="Times New Roman"/>
                <w:noProof/>
                <w:color w:val="000000" w:themeColor="text1"/>
                <w:lang w:val="en-GB" w:eastAsia="en-GB"/>
              </w:rPr>
              <w:drawing>
                <wp:inline distT="0" distB="0" distL="0" distR="0" wp14:anchorId="6BC327FC" wp14:editId="38E1DFC4">
                  <wp:extent cx="5892057" cy="32041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76" cy="3239164"/>
                          </a:xfrm>
                          <a:prstGeom prst="rect">
                            <a:avLst/>
                          </a:prstGeom>
                          <a:noFill/>
                        </pic:spPr>
                      </pic:pic>
                    </a:graphicData>
                  </a:graphic>
                </wp:inline>
              </w:drawing>
            </w:r>
          </w:p>
        </w:tc>
      </w:tr>
    </w:tbl>
    <w:p w14:paraId="154E50DC" w14:textId="78F49F47" w:rsidR="00A256D1" w:rsidRPr="00393CB4" w:rsidRDefault="00D21C58" w:rsidP="00A256D1">
      <w:pPr>
        <w:ind w:firstLine="720"/>
        <w:jc w:val="center"/>
        <w:rPr>
          <w:rFonts w:ascii="Times New Roman" w:hAnsi="Times New Roman"/>
          <w:i/>
          <w:color w:val="000000" w:themeColor="text1"/>
          <w:lang w:val="en-GB"/>
        </w:rPr>
      </w:pPr>
      <w:r w:rsidRPr="00393CB4">
        <w:rPr>
          <w:rFonts w:ascii="Times New Roman" w:hAnsi="Times New Roman"/>
          <w:i/>
          <w:color w:val="000000" w:themeColor="text1"/>
          <w:lang w:val="en-GB"/>
        </w:rPr>
        <w:t>Figure 3</w:t>
      </w:r>
      <w:r w:rsidR="00A256D1" w:rsidRPr="00393CB4">
        <w:rPr>
          <w:rFonts w:ascii="Times New Roman" w:hAnsi="Times New Roman"/>
          <w:i/>
          <w:color w:val="000000" w:themeColor="text1"/>
          <w:lang w:val="en-GB"/>
        </w:rPr>
        <w:t>. Strategic Mapping Results (Unmoderated at the top, Moderated at the Bottom)</w:t>
      </w:r>
    </w:p>
    <w:p w14:paraId="645C7F27" w14:textId="77777777" w:rsidR="00A256D1" w:rsidRPr="00393CB4" w:rsidRDefault="00A256D1" w:rsidP="00A256D1">
      <w:pPr>
        <w:rPr>
          <w:color w:val="000000" w:themeColor="text1"/>
          <w:lang w:val="en-GB"/>
        </w:rPr>
      </w:pPr>
    </w:p>
    <w:p w14:paraId="4830ED95" w14:textId="77777777" w:rsidR="006B536E" w:rsidRPr="00393CB4" w:rsidRDefault="006B536E" w:rsidP="006B536E">
      <w:pPr>
        <w:pStyle w:val="ListParagraph"/>
        <w:numPr>
          <w:ilvl w:val="0"/>
          <w:numId w:val="13"/>
        </w:numPr>
        <w:jc w:val="both"/>
        <w:rPr>
          <w:rFonts w:ascii="Times New Roman" w:hAnsi="Times New Roman"/>
          <w:color w:val="000000" w:themeColor="text1"/>
          <w:lang w:val="en-GB"/>
        </w:rPr>
      </w:pPr>
      <w:r w:rsidRPr="00393CB4">
        <w:rPr>
          <w:rFonts w:ascii="Times New Roman" w:hAnsi="Times New Roman"/>
          <w:color w:val="000000" w:themeColor="text1"/>
          <w:lang w:val="en-GB"/>
        </w:rPr>
        <w:lastRenderedPageBreak/>
        <w:t>Despite the moderation exercise which reclassified most of these regions from the SO to the ST quadrant in figure 3, regional stakeholders then devised scenarios based on the original idealised mapping of their region.</w:t>
      </w:r>
    </w:p>
    <w:p w14:paraId="18173F07" w14:textId="77777777" w:rsidR="006B536E" w:rsidRPr="00393CB4" w:rsidRDefault="006B536E" w:rsidP="006B536E">
      <w:pPr>
        <w:pStyle w:val="ListParagraph"/>
        <w:numPr>
          <w:ilvl w:val="0"/>
          <w:numId w:val="13"/>
        </w:numPr>
        <w:jc w:val="both"/>
        <w:rPr>
          <w:rFonts w:ascii="Times New Roman" w:hAnsi="Times New Roman"/>
          <w:color w:val="000000" w:themeColor="text1"/>
          <w:lang w:val="en-GB"/>
        </w:rPr>
      </w:pPr>
      <w:r w:rsidRPr="00393CB4">
        <w:rPr>
          <w:rFonts w:ascii="Times New Roman" w:hAnsi="Times New Roman"/>
          <w:color w:val="000000" w:themeColor="text1"/>
          <w:lang w:val="en-GB"/>
        </w:rPr>
        <w:t>Regions that had little experience of the MRE sector failed to learn lessons from more experienced participating regions that explicitly stated they had failed to achieve the significant growth expected in the SO quadrant.  In other words, even when presented with hard evidence, non-experienced participants preferred to hold onto their idealised views of opportunities.</w:t>
      </w:r>
    </w:p>
    <w:p w14:paraId="129F5DB5" w14:textId="77777777" w:rsidR="00A256D1" w:rsidRPr="00393CB4" w:rsidRDefault="00A256D1" w:rsidP="00A256D1">
      <w:pPr>
        <w:pStyle w:val="ListParagraph"/>
        <w:numPr>
          <w:ilvl w:val="0"/>
          <w:numId w:val="13"/>
        </w:numPr>
        <w:jc w:val="both"/>
        <w:rPr>
          <w:rFonts w:ascii="Times New Roman" w:hAnsi="Times New Roman"/>
          <w:color w:val="000000" w:themeColor="text1"/>
          <w:lang w:val="en-GB"/>
        </w:rPr>
      </w:pPr>
      <w:r w:rsidRPr="00393CB4">
        <w:rPr>
          <w:rFonts w:ascii="Times New Roman" w:hAnsi="Times New Roman"/>
          <w:color w:val="000000" w:themeColor="text1"/>
          <w:lang w:val="en-GB"/>
        </w:rPr>
        <w:t>During various interviews and workshops in the Channel-MOR project, participants acknowledged that their expectations of success in the MRE sector were heightened to unrealistic levels, i.e. a collective psychodynamic similar to the gold rush.</w:t>
      </w:r>
    </w:p>
    <w:p w14:paraId="78B9E83A" w14:textId="102E98B7" w:rsidR="00E116C9" w:rsidRPr="00393CB4" w:rsidRDefault="00D73237" w:rsidP="00A256D1">
      <w:pPr>
        <w:pStyle w:val="Heading3"/>
        <w:rPr>
          <w:color w:val="000000" w:themeColor="text1"/>
        </w:rPr>
      </w:pPr>
      <w:r>
        <w:rPr>
          <w:color w:val="000000" w:themeColor="text1"/>
        </w:rPr>
        <w:t>4</w:t>
      </w:r>
      <w:r w:rsidR="00A256D1" w:rsidRPr="00393CB4">
        <w:rPr>
          <w:color w:val="000000" w:themeColor="text1"/>
        </w:rPr>
        <w:t>.2.2</w:t>
      </w:r>
      <w:r w:rsidR="00E116C9" w:rsidRPr="00393CB4">
        <w:rPr>
          <w:color w:val="000000" w:themeColor="text1"/>
        </w:rPr>
        <w:t>. Decisional Context</w:t>
      </w:r>
    </w:p>
    <w:p w14:paraId="12AEDAE3" w14:textId="659F9A99" w:rsidR="00E37A8C" w:rsidRPr="00393CB4" w:rsidRDefault="00E37A8C" w:rsidP="007916C8">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Figure </w:t>
      </w:r>
      <w:r w:rsidR="00D21C58" w:rsidRPr="00393CB4">
        <w:rPr>
          <w:rFonts w:ascii="Times New Roman" w:hAnsi="Times New Roman"/>
          <w:color w:val="000000" w:themeColor="text1"/>
          <w:lang w:val="en-GB"/>
        </w:rPr>
        <w:t>4</w:t>
      </w:r>
      <w:r w:rsidRPr="00393CB4">
        <w:rPr>
          <w:rFonts w:ascii="Times New Roman" w:hAnsi="Times New Roman"/>
          <w:color w:val="000000" w:themeColor="text1"/>
          <w:lang w:val="en-GB"/>
        </w:rPr>
        <w:t xml:space="preserve"> describes the decisional context faced by regional stakeholders as the intersection of two ambivalent fields of decision making. </w:t>
      </w:r>
    </w:p>
    <w:p w14:paraId="464694B3" w14:textId="1B0975F5" w:rsidR="00E37A8C" w:rsidRPr="00393CB4" w:rsidRDefault="00E37A8C" w:rsidP="007916C8">
      <w:pPr>
        <w:jc w:val="both"/>
        <w:rPr>
          <w:rFonts w:ascii="Times New Roman" w:hAnsi="Times New Roman"/>
          <w:color w:val="000000" w:themeColor="text1"/>
          <w:lang w:val="en-GB"/>
        </w:rPr>
      </w:pPr>
      <w:r w:rsidRPr="00393CB4">
        <w:rPr>
          <w:rFonts w:ascii="Times New Roman" w:hAnsi="Times New Roman"/>
          <w:color w:val="000000" w:themeColor="text1"/>
          <w:lang w:val="en-GB"/>
        </w:rPr>
        <w:t>On one hand, the results of the survey (</w:t>
      </w:r>
      <w:r w:rsidR="007916C8" w:rsidRPr="00393CB4">
        <w:rPr>
          <w:rFonts w:ascii="Times New Roman" w:hAnsi="Times New Roman"/>
          <w:color w:val="000000" w:themeColor="text1"/>
          <w:lang w:val="en-GB"/>
        </w:rPr>
        <w:t>t</w:t>
      </w:r>
      <w:r w:rsidRPr="00393CB4">
        <w:rPr>
          <w:rFonts w:ascii="Times New Roman" w:hAnsi="Times New Roman"/>
          <w:color w:val="000000" w:themeColor="text1"/>
          <w:lang w:val="en-GB"/>
        </w:rPr>
        <w:t>able 1) shows that uncertainty is perceived to be one of the most important threats by the experts who completed the survey.  Yet the strategic mapping exercise shows that opportunities are perceived to be high</w:t>
      </w:r>
      <w:r w:rsidR="002E2597" w:rsidRPr="00393CB4">
        <w:rPr>
          <w:rFonts w:ascii="Times New Roman" w:hAnsi="Times New Roman"/>
          <w:color w:val="000000" w:themeColor="text1"/>
          <w:lang w:val="en-GB"/>
        </w:rPr>
        <w:t xml:space="preserve">.  This high return-high risk decisional context is represented by the horizontal field in figure </w:t>
      </w:r>
      <w:r w:rsidR="00D21C58" w:rsidRPr="00393CB4">
        <w:rPr>
          <w:rFonts w:ascii="Times New Roman" w:hAnsi="Times New Roman"/>
          <w:color w:val="000000" w:themeColor="text1"/>
          <w:lang w:val="en-GB"/>
        </w:rPr>
        <w:t>4</w:t>
      </w:r>
      <w:r w:rsidR="002E2597" w:rsidRPr="00393CB4">
        <w:rPr>
          <w:rFonts w:ascii="Times New Roman" w:hAnsi="Times New Roman"/>
          <w:color w:val="000000" w:themeColor="text1"/>
          <w:lang w:val="en-GB"/>
        </w:rPr>
        <w:t xml:space="preserve">. </w:t>
      </w:r>
    </w:p>
    <w:p w14:paraId="108E892B" w14:textId="513EC914" w:rsidR="00E37A8C" w:rsidRPr="00393CB4" w:rsidRDefault="00E37A8C" w:rsidP="00E37A8C">
      <w:pPr>
        <w:jc w:val="center"/>
        <w:rPr>
          <w:rFonts w:ascii="Times New Roman" w:hAnsi="Times New Roman"/>
          <w:i/>
          <w:color w:val="000000" w:themeColor="text1"/>
          <w:lang w:val="en-GB"/>
        </w:rPr>
      </w:pPr>
      <w:r w:rsidRPr="00393CB4">
        <w:rPr>
          <w:rFonts w:ascii="Times New Roman" w:hAnsi="Times New Roman"/>
          <w:color w:val="000000" w:themeColor="text1"/>
        </w:rPr>
        <w:object w:dxaOrig="8749" w:dyaOrig="6249" w14:anchorId="372CA1C3">
          <v:shape id="_x0000_i1027" type="#_x0000_t75" style="width:437.25pt;height:312.75pt" o:ole="">
            <v:imagedata r:id="rId15" o:title=""/>
          </v:shape>
          <o:OLEObject Type="Embed" ProgID="Visio.Drawing.11" ShapeID="_x0000_i1027" DrawAspect="Content" ObjectID="_1599325616" r:id="rId16"/>
        </w:object>
      </w:r>
      <w:r w:rsidRPr="00393CB4">
        <w:rPr>
          <w:rFonts w:ascii="Times New Roman" w:hAnsi="Times New Roman"/>
          <w:i/>
          <w:color w:val="000000" w:themeColor="text1"/>
          <w:lang w:val="en-GB"/>
        </w:rPr>
        <w:t xml:space="preserve">Figure </w:t>
      </w:r>
      <w:r w:rsidR="00D21C58" w:rsidRPr="00393CB4">
        <w:rPr>
          <w:rFonts w:ascii="Times New Roman" w:hAnsi="Times New Roman"/>
          <w:i/>
          <w:color w:val="000000" w:themeColor="text1"/>
          <w:lang w:val="en-GB"/>
        </w:rPr>
        <w:t>4</w:t>
      </w:r>
      <w:r w:rsidRPr="00393CB4">
        <w:rPr>
          <w:rFonts w:ascii="Times New Roman" w:hAnsi="Times New Roman"/>
          <w:i/>
          <w:color w:val="000000" w:themeColor="text1"/>
          <w:lang w:val="en-GB"/>
        </w:rPr>
        <w:t>. Decision Making Context</w:t>
      </w:r>
    </w:p>
    <w:p w14:paraId="27395BD0" w14:textId="1D7A89AA" w:rsidR="002E2597" w:rsidRPr="00393CB4" w:rsidRDefault="002E2597" w:rsidP="00F870C3">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On the </w:t>
      </w:r>
      <w:r w:rsidR="00155E2D" w:rsidRPr="00393CB4">
        <w:rPr>
          <w:rFonts w:ascii="Times New Roman" w:hAnsi="Times New Roman"/>
          <w:color w:val="000000" w:themeColor="text1"/>
          <w:lang w:val="en-GB"/>
        </w:rPr>
        <w:t>other</w:t>
      </w:r>
      <w:r w:rsidRPr="00393CB4">
        <w:rPr>
          <w:rFonts w:ascii="Times New Roman" w:hAnsi="Times New Roman"/>
          <w:color w:val="000000" w:themeColor="text1"/>
          <w:lang w:val="en-GB"/>
        </w:rPr>
        <w:t xml:space="preserve"> hand, it is important to understand how regional stakeholders approach the decision from a theoretical basis.  Regional stakeholders predominantly pursue strategies that inscribe themselves in the regional specialisation agglomeration economics of Porter’s Diamond Framework (Porter, 2000) and</w:t>
      </w:r>
      <w:r w:rsidR="007916C8" w:rsidRPr="00393CB4">
        <w:rPr>
          <w:rFonts w:ascii="Times New Roman" w:hAnsi="Times New Roman"/>
          <w:color w:val="000000" w:themeColor="text1"/>
          <w:lang w:val="en-GB"/>
        </w:rPr>
        <w:t>/or</w:t>
      </w:r>
      <w:r w:rsidRPr="00393CB4">
        <w:rPr>
          <w:rFonts w:ascii="Times New Roman" w:hAnsi="Times New Roman"/>
          <w:color w:val="000000" w:themeColor="text1"/>
          <w:lang w:val="en-GB"/>
        </w:rPr>
        <w:t xml:space="preserve"> of smart specialisation (Foray, 2014).</w:t>
      </w:r>
    </w:p>
    <w:p w14:paraId="17F40BCE" w14:textId="6CDCAA77" w:rsidR="002E2597" w:rsidRPr="00393CB4" w:rsidRDefault="006E0495" w:rsidP="00F870C3">
      <w:pPr>
        <w:jc w:val="both"/>
        <w:rPr>
          <w:rFonts w:ascii="Times New Roman" w:hAnsi="Times New Roman"/>
          <w:color w:val="000000" w:themeColor="text1"/>
          <w:lang w:val="en-GB"/>
        </w:rPr>
      </w:pPr>
      <w:r w:rsidRPr="00393CB4">
        <w:rPr>
          <w:rFonts w:ascii="Times New Roman" w:hAnsi="Times New Roman"/>
          <w:color w:val="000000" w:themeColor="text1"/>
          <w:lang w:val="en-GB"/>
        </w:rPr>
        <w:t>T</w:t>
      </w:r>
      <w:r w:rsidR="002E2597" w:rsidRPr="00393CB4">
        <w:rPr>
          <w:rFonts w:ascii="Times New Roman" w:hAnsi="Times New Roman"/>
          <w:color w:val="000000" w:themeColor="text1"/>
          <w:lang w:val="en-GB"/>
        </w:rPr>
        <w:t xml:space="preserve">his approach aligns itself with the success stories that can be found in the technological innovation systems (TIS) literature (e.g., </w:t>
      </w:r>
      <w:proofErr w:type="spellStart"/>
      <w:r w:rsidR="002E2597" w:rsidRPr="00393CB4">
        <w:rPr>
          <w:rFonts w:ascii="Times New Roman" w:hAnsi="Times New Roman"/>
          <w:color w:val="000000" w:themeColor="text1"/>
          <w:lang w:val="en-GB"/>
        </w:rPr>
        <w:t>Bergek</w:t>
      </w:r>
      <w:proofErr w:type="spellEnd"/>
      <w:r w:rsidR="002E2597" w:rsidRPr="00393CB4">
        <w:rPr>
          <w:rFonts w:ascii="Times New Roman" w:hAnsi="Times New Roman"/>
          <w:color w:val="000000" w:themeColor="text1"/>
          <w:lang w:val="en-GB"/>
        </w:rPr>
        <w:t xml:space="preserve"> and </w:t>
      </w:r>
      <w:proofErr w:type="spellStart"/>
      <w:r w:rsidR="002E2597" w:rsidRPr="00393CB4">
        <w:rPr>
          <w:rFonts w:ascii="Times New Roman" w:hAnsi="Times New Roman"/>
          <w:color w:val="000000" w:themeColor="text1"/>
          <w:lang w:val="en-GB"/>
        </w:rPr>
        <w:t>Jacobsson</w:t>
      </w:r>
      <w:proofErr w:type="spellEnd"/>
      <w:r w:rsidR="002E2597" w:rsidRPr="00393CB4">
        <w:rPr>
          <w:rFonts w:ascii="Times New Roman" w:hAnsi="Times New Roman"/>
          <w:color w:val="000000" w:themeColor="text1"/>
          <w:lang w:val="en-GB"/>
        </w:rPr>
        <w:t xml:space="preserve">, 2003).  These success stories </w:t>
      </w:r>
      <w:r w:rsidR="007916C8" w:rsidRPr="00393CB4">
        <w:rPr>
          <w:rFonts w:ascii="Times New Roman" w:hAnsi="Times New Roman"/>
          <w:color w:val="000000" w:themeColor="text1"/>
          <w:lang w:val="en-GB"/>
        </w:rPr>
        <w:t>depict</w:t>
      </w:r>
      <w:r w:rsidR="002E2597" w:rsidRPr="00393CB4">
        <w:rPr>
          <w:rFonts w:ascii="Times New Roman" w:hAnsi="Times New Roman"/>
          <w:color w:val="000000" w:themeColor="text1"/>
          <w:lang w:val="en-GB"/>
        </w:rPr>
        <w:t xml:space="preserve"> regional clusters serving (protected) national markets for renewable energy technologies </w:t>
      </w:r>
      <w:r w:rsidR="007916C8" w:rsidRPr="00393CB4">
        <w:rPr>
          <w:rFonts w:ascii="Times New Roman" w:hAnsi="Times New Roman"/>
          <w:color w:val="000000" w:themeColor="text1"/>
          <w:lang w:val="en-GB"/>
        </w:rPr>
        <w:t>that</w:t>
      </w:r>
      <w:r w:rsidR="002E2597" w:rsidRPr="00393CB4">
        <w:rPr>
          <w:rFonts w:ascii="Times New Roman" w:hAnsi="Times New Roman"/>
          <w:color w:val="000000" w:themeColor="text1"/>
          <w:lang w:val="en-GB"/>
        </w:rPr>
        <w:t xml:space="preserve"> relied on local networks of suppliers.  This does not mean however that the ultimate target market scope of these clusters is regional. For example, Vestas, one of the leading offshore wind turbine manufacturer</w:t>
      </w:r>
      <w:r w:rsidR="00155E2D" w:rsidRPr="00393CB4">
        <w:rPr>
          <w:rFonts w:ascii="Times New Roman" w:hAnsi="Times New Roman"/>
          <w:color w:val="000000" w:themeColor="text1"/>
          <w:lang w:val="en-GB"/>
        </w:rPr>
        <w:t>s</w:t>
      </w:r>
      <w:r w:rsidR="002E2597" w:rsidRPr="00393CB4">
        <w:rPr>
          <w:rFonts w:ascii="Times New Roman" w:hAnsi="Times New Roman"/>
          <w:color w:val="000000" w:themeColor="text1"/>
          <w:lang w:val="en-GB"/>
        </w:rPr>
        <w:t xml:space="preserve"> exports </w:t>
      </w:r>
      <w:r w:rsidR="007916C8" w:rsidRPr="00393CB4">
        <w:rPr>
          <w:rFonts w:ascii="Times New Roman" w:hAnsi="Times New Roman"/>
          <w:color w:val="000000" w:themeColor="text1"/>
          <w:lang w:val="en-GB"/>
        </w:rPr>
        <w:t xml:space="preserve">today </w:t>
      </w:r>
      <w:r w:rsidR="002E2597" w:rsidRPr="00393CB4">
        <w:rPr>
          <w:rFonts w:ascii="Times New Roman" w:hAnsi="Times New Roman"/>
          <w:color w:val="000000" w:themeColor="text1"/>
          <w:lang w:val="en-GB"/>
        </w:rPr>
        <w:t xml:space="preserve">99% of its production (Lewis and Wiser, 2007) and is </w:t>
      </w:r>
      <w:r w:rsidR="007916C8" w:rsidRPr="00393CB4">
        <w:rPr>
          <w:rFonts w:ascii="Times New Roman" w:hAnsi="Times New Roman"/>
          <w:color w:val="000000" w:themeColor="text1"/>
          <w:lang w:val="en-GB"/>
        </w:rPr>
        <w:t>increasing</w:t>
      </w:r>
      <w:r w:rsidR="008B6A59" w:rsidRPr="00393CB4">
        <w:rPr>
          <w:rFonts w:ascii="Times New Roman" w:hAnsi="Times New Roman"/>
          <w:color w:val="000000" w:themeColor="text1"/>
          <w:lang w:val="en-GB"/>
        </w:rPr>
        <w:t>ly</w:t>
      </w:r>
      <w:r w:rsidR="007916C8" w:rsidRPr="00393CB4">
        <w:rPr>
          <w:rFonts w:ascii="Times New Roman" w:hAnsi="Times New Roman"/>
          <w:color w:val="000000" w:themeColor="text1"/>
          <w:lang w:val="en-GB"/>
        </w:rPr>
        <w:t xml:space="preserve"> </w:t>
      </w:r>
      <w:r w:rsidR="002E2597" w:rsidRPr="00393CB4">
        <w:rPr>
          <w:rFonts w:ascii="Times New Roman" w:hAnsi="Times New Roman"/>
          <w:color w:val="000000" w:themeColor="text1"/>
          <w:lang w:val="en-GB"/>
        </w:rPr>
        <w:t>developing a global supply chain.  This means that although regional stakeholders are looking for local, regional economic dynamics, the source of the technology, the know-how and eventually the market and operation scope are national</w:t>
      </w:r>
      <w:r w:rsidR="007916C8" w:rsidRPr="00393CB4">
        <w:rPr>
          <w:rFonts w:ascii="Times New Roman" w:hAnsi="Times New Roman"/>
          <w:color w:val="000000" w:themeColor="text1"/>
          <w:lang w:val="en-GB"/>
        </w:rPr>
        <w:t xml:space="preserve"> o</w:t>
      </w:r>
      <w:r w:rsidRPr="00393CB4">
        <w:rPr>
          <w:rFonts w:ascii="Times New Roman" w:hAnsi="Times New Roman"/>
          <w:color w:val="000000" w:themeColor="text1"/>
          <w:lang w:val="en-GB"/>
        </w:rPr>
        <w:t>r</w:t>
      </w:r>
      <w:r w:rsidR="002E2597" w:rsidRPr="00393CB4">
        <w:rPr>
          <w:rFonts w:ascii="Times New Roman" w:hAnsi="Times New Roman"/>
          <w:color w:val="000000" w:themeColor="text1"/>
          <w:lang w:val="en-GB"/>
        </w:rPr>
        <w:t xml:space="preserve"> global concern</w:t>
      </w:r>
      <w:r w:rsidR="007916C8" w:rsidRPr="00393CB4">
        <w:rPr>
          <w:rFonts w:ascii="Times New Roman" w:hAnsi="Times New Roman"/>
          <w:color w:val="000000" w:themeColor="text1"/>
          <w:lang w:val="en-GB"/>
        </w:rPr>
        <w:t>s</w:t>
      </w:r>
      <w:r w:rsidR="002E2597" w:rsidRPr="00393CB4">
        <w:rPr>
          <w:rFonts w:ascii="Times New Roman" w:hAnsi="Times New Roman"/>
          <w:color w:val="000000" w:themeColor="text1"/>
          <w:lang w:val="en-GB"/>
        </w:rPr>
        <w:t xml:space="preserve">.  </w:t>
      </w:r>
    </w:p>
    <w:p w14:paraId="0B185037" w14:textId="1719C5E6" w:rsidR="002E2597" w:rsidRPr="00393CB4" w:rsidRDefault="002E2597" w:rsidP="00F870C3">
      <w:pPr>
        <w:jc w:val="both"/>
        <w:rPr>
          <w:rFonts w:ascii="Times New Roman" w:hAnsi="Times New Roman"/>
          <w:color w:val="000000" w:themeColor="text1"/>
          <w:lang w:val="en-GB"/>
        </w:rPr>
      </w:pPr>
      <w:r w:rsidRPr="00393CB4">
        <w:rPr>
          <w:rFonts w:ascii="Times New Roman" w:hAnsi="Times New Roman"/>
          <w:color w:val="000000" w:themeColor="text1"/>
          <w:lang w:val="en-GB"/>
        </w:rPr>
        <w:lastRenderedPageBreak/>
        <w:t xml:space="preserve">In the Channel-MOR project, nearly all participating regions had mapped local supply chains that could be used by the MRE sector.  </w:t>
      </w:r>
      <w:r w:rsidR="007916C8" w:rsidRPr="00393CB4">
        <w:rPr>
          <w:rFonts w:ascii="Times New Roman" w:hAnsi="Times New Roman"/>
          <w:color w:val="000000" w:themeColor="text1"/>
          <w:lang w:val="en-GB"/>
        </w:rPr>
        <w:t>There</w:t>
      </w:r>
      <w:r w:rsidRPr="00393CB4">
        <w:rPr>
          <w:rFonts w:ascii="Times New Roman" w:hAnsi="Times New Roman"/>
          <w:color w:val="000000" w:themeColor="text1"/>
          <w:lang w:val="en-GB"/>
        </w:rPr>
        <w:t xml:space="preserve"> are many research papers based on supply chain principles (such as supply chain integration and collaboration;</w:t>
      </w:r>
      <w:r w:rsidR="007916C8" w:rsidRPr="00393CB4">
        <w:rPr>
          <w:rFonts w:ascii="Times New Roman" w:hAnsi="Times New Roman"/>
          <w:color w:val="000000" w:themeColor="text1"/>
          <w:lang w:val="en-GB"/>
        </w:rPr>
        <w:t xml:space="preserve"> </w:t>
      </w:r>
      <w:proofErr w:type="spellStart"/>
      <w:r w:rsidR="007916C8" w:rsidRPr="00393CB4">
        <w:rPr>
          <w:rFonts w:ascii="Times New Roman" w:hAnsi="Times New Roman"/>
          <w:color w:val="000000" w:themeColor="text1"/>
          <w:lang w:val="en-GB"/>
        </w:rPr>
        <w:t>Hennely</w:t>
      </w:r>
      <w:proofErr w:type="spellEnd"/>
      <w:r w:rsidR="007916C8" w:rsidRPr="00393CB4">
        <w:rPr>
          <w:rFonts w:ascii="Times New Roman" w:hAnsi="Times New Roman"/>
          <w:color w:val="000000" w:themeColor="text1"/>
          <w:lang w:val="en-GB"/>
        </w:rPr>
        <w:t xml:space="preserve"> and Wong, 2016; Brink, 2017; </w:t>
      </w:r>
      <w:proofErr w:type="spellStart"/>
      <w:r w:rsidR="007916C8" w:rsidRPr="00393CB4">
        <w:rPr>
          <w:rFonts w:ascii="Times New Roman" w:hAnsi="Times New Roman"/>
          <w:color w:val="000000" w:themeColor="text1"/>
          <w:lang w:val="en-GB"/>
        </w:rPr>
        <w:t>Kavin</w:t>
      </w:r>
      <w:proofErr w:type="spellEnd"/>
      <w:r w:rsidR="007916C8" w:rsidRPr="00393CB4">
        <w:rPr>
          <w:rFonts w:ascii="Times New Roman" w:hAnsi="Times New Roman"/>
          <w:color w:val="000000" w:themeColor="text1"/>
          <w:lang w:val="en-GB"/>
        </w:rPr>
        <w:t xml:space="preserve"> and </w:t>
      </w:r>
      <w:proofErr w:type="spellStart"/>
      <w:r w:rsidR="007916C8" w:rsidRPr="00393CB4">
        <w:rPr>
          <w:rFonts w:ascii="Times New Roman" w:hAnsi="Times New Roman"/>
          <w:color w:val="000000" w:themeColor="text1"/>
          <w:lang w:val="en-GB"/>
        </w:rPr>
        <w:t>Stentoft</w:t>
      </w:r>
      <w:proofErr w:type="spellEnd"/>
      <w:r w:rsidR="005674B5" w:rsidRPr="00393CB4">
        <w:rPr>
          <w:rFonts w:ascii="Times New Roman" w:hAnsi="Times New Roman"/>
          <w:color w:val="000000" w:themeColor="text1"/>
          <w:lang w:val="en-GB"/>
        </w:rPr>
        <w:t>, 2017</w:t>
      </w:r>
      <w:r w:rsidR="00DC7D12" w:rsidRPr="00393CB4">
        <w:rPr>
          <w:rFonts w:ascii="Times New Roman" w:hAnsi="Times New Roman"/>
          <w:color w:val="000000" w:themeColor="text1"/>
          <w:lang w:val="en-GB"/>
        </w:rPr>
        <w:t xml:space="preserve">; </w:t>
      </w:r>
      <w:proofErr w:type="spellStart"/>
      <w:r w:rsidR="00DC7D12" w:rsidRPr="00393CB4">
        <w:rPr>
          <w:rFonts w:ascii="Times New Roman" w:hAnsi="Times New Roman"/>
          <w:color w:val="000000" w:themeColor="text1"/>
          <w:lang w:val="en-GB"/>
        </w:rPr>
        <w:t>Neri</w:t>
      </w:r>
      <w:proofErr w:type="spellEnd"/>
      <w:r w:rsidR="00DC7D12" w:rsidRPr="00393CB4">
        <w:rPr>
          <w:rFonts w:ascii="Times New Roman" w:hAnsi="Times New Roman"/>
          <w:color w:val="000000" w:themeColor="text1"/>
          <w:lang w:val="en-GB"/>
        </w:rPr>
        <w:t>, 2016</w:t>
      </w:r>
      <w:r w:rsidRPr="00393CB4">
        <w:rPr>
          <w:rFonts w:ascii="Times New Roman" w:hAnsi="Times New Roman"/>
          <w:color w:val="000000" w:themeColor="text1"/>
          <w:lang w:val="en-GB"/>
        </w:rPr>
        <w:t>) that present supply chains as a pathway for entering and innovating in the MRE sector</w:t>
      </w:r>
      <w:r w:rsidR="00C161FF" w:rsidRPr="00393CB4">
        <w:rPr>
          <w:rFonts w:ascii="Times New Roman" w:hAnsi="Times New Roman"/>
          <w:color w:val="000000" w:themeColor="text1"/>
          <w:lang w:val="en-GB"/>
        </w:rPr>
        <w:t>.  However,</w:t>
      </w:r>
      <w:r w:rsidRPr="00393CB4">
        <w:rPr>
          <w:rFonts w:ascii="Times New Roman" w:hAnsi="Times New Roman"/>
          <w:color w:val="000000" w:themeColor="text1"/>
          <w:lang w:val="en-GB"/>
        </w:rPr>
        <w:t xml:space="preserve"> none of these articles advocate focusing on local supply chains. Instead, their recommendation is for local SMEs to become suppliers within global supply chain</w:t>
      </w:r>
      <w:r w:rsidR="00C161FF" w:rsidRPr="00393CB4">
        <w:rPr>
          <w:rFonts w:ascii="Times New Roman" w:hAnsi="Times New Roman"/>
          <w:color w:val="000000" w:themeColor="text1"/>
          <w:lang w:val="en-GB"/>
        </w:rPr>
        <w:t>s</w:t>
      </w:r>
      <w:r w:rsidRPr="00393CB4">
        <w:rPr>
          <w:rFonts w:ascii="Times New Roman" w:hAnsi="Times New Roman"/>
          <w:color w:val="000000" w:themeColor="text1"/>
          <w:lang w:val="en-GB"/>
        </w:rPr>
        <w:t>.</w:t>
      </w:r>
    </w:p>
    <w:p w14:paraId="3ECA0A26" w14:textId="25EC29BA" w:rsidR="002E2597" w:rsidRPr="00393CB4" w:rsidRDefault="002E2597" w:rsidP="00F870C3">
      <w:pPr>
        <w:jc w:val="both"/>
        <w:rPr>
          <w:rFonts w:ascii="Times New Roman" w:hAnsi="Times New Roman"/>
          <w:color w:val="000000" w:themeColor="text1"/>
          <w:lang w:val="en-GB"/>
        </w:rPr>
      </w:pPr>
      <w:r w:rsidRPr="00393CB4">
        <w:rPr>
          <w:rFonts w:ascii="Times New Roman" w:hAnsi="Times New Roman"/>
          <w:color w:val="000000" w:themeColor="text1"/>
          <w:lang w:val="en-GB"/>
        </w:rPr>
        <w:t>Both Porter’s diamond and the smart specialisation frameworks highlight the importance of rich entrepreneurial knowledge exchanges within a specific geographical area, whereas the literature on National Innovation Systems acknowledge how difficult it is for regions to get involved with the formative stage of new technologies that are taking place at the national level (Wilson, 2012).</w:t>
      </w:r>
      <w:r w:rsidR="00C161FF" w:rsidRPr="00393CB4">
        <w:rPr>
          <w:rFonts w:ascii="Times New Roman" w:hAnsi="Times New Roman"/>
          <w:color w:val="000000" w:themeColor="text1"/>
          <w:lang w:val="en-GB"/>
        </w:rPr>
        <w:t xml:space="preserve"> Bridge et al. (2013) confirm that despite very active national policy regimes, regional authorities often struggle to appreciate the impact that offshore investments will have on their economies and what economic and social transitions, if any, are required.  </w:t>
      </w:r>
      <w:r w:rsidRPr="00393CB4">
        <w:rPr>
          <w:rFonts w:ascii="Times New Roman" w:hAnsi="Times New Roman"/>
          <w:color w:val="000000" w:themeColor="text1"/>
          <w:lang w:val="en-GB"/>
        </w:rPr>
        <w:t xml:space="preserve"> </w:t>
      </w:r>
    </w:p>
    <w:p w14:paraId="0BD72906" w14:textId="367998B1" w:rsidR="002E2597" w:rsidRPr="00393CB4" w:rsidRDefault="002E2597" w:rsidP="00F870C3">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The TIS literature acknowledges that it has been criticised for not translating its implications explicitly enough into practical guidance for policy makers, a criticism that has been addressed by </w:t>
      </w:r>
      <w:proofErr w:type="spellStart"/>
      <w:r w:rsidRPr="00393CB4">
        <w:rPr>
          <w:rFonts w:ascii="Times New Roman" w:hAnsi="Times New Roman"/>
          <w:color w:val="000000" w:themeColor="text1"/>
          <w:lang w:val="en-GB"/>
        </w:rPr>
        <w:t>Bergek</w:t>
      </w:r>
      <w:proofErr w:type="spellEnd"/>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et al</w:t>
      </w:r>
      <w:r w:rsidRPr="00393CB4">
        <w:rPr>
          <w:rFonts w:ascii="Times New Roman" w:hAnsi="Times New Roman"/>
          <w:color w:val="000000" w:themeColor="text1"/>
          <w:lang w:val="en-GB"/>
        </w:rPr>
        <w:t xml:space="preserve">. (2008) functional dynamics scheme of analysis.  The core </w:t>
      </w:r>
      <w:r w:rsidR="00C161FF" w:rsidRPr="00393CB4">
        <w:rPr>
          <w:rFonts w:ascii="Times New Roman" w:hAnsi="Times New Roman"/>
          <w:color w:val="000000" w:themeColor="text1"/>
          <w:lang w:val="en-GB"/>
        </w:rPr>
        <w:t>principle</w:t>
      </w:r>
      <w:r w:rsidRPr="00393CB4">
        <w:rPr>
          <w:rFonts w:ascii="Times New Roman" w:hAnsi="Times New Roman"/>
          <w:color w:val="000000" w:themeColor="text1"/>
          <w:lang w:val="en-GB"/>
        </w:rPr>
        <w:t xml:space="preserve"> of this scheme is to understand the functional patterns achieved by a TIS though the combination of the different functions that it serves: knowledge development, resources</w:t>
      </w:r>
      <w:r w:rsidR="00C161FF" w:rsidRPr="00393CB4">
        <w:rPr>
          <w:rFonts w:ascii="Times New Roman" w:hAnsi="Times New Roman"/>
          <w:color w:val="000000" w:themeColor="text1"/>
          <w:lang w:val="en-GB"/>
        </w:rPr>
        <w:t xml:space="preserve"> mobilisation</w:t>
      </w:r>
      <w:r w:rsidRPr="00393CB4">
        <w:rPr>
          <w:rFonts w:ascii="Times New Roman" w:hAnsi="Times New Roman"/>
          <w:color w:val="000000" w:themeColor="text1"/>
          <w:lang w:val="en-GB"/>
        </w:rPr>
        <w:t>, market formation, influencing the direction of search, legitimising the TIS, encouraging entrepreneurial experimentation, and stimulating the development of positive externalities (</w:t>
      </w:r>
      <w:proofErr w:type="spellStart"/>
      <w:r w:rsidRPr="00393CB4">
        <w:rPr>
          <w:rFonts w:ascii="Times New Roman" w:hAnsi="Times New Roman"/>
          <w:color w:val="000000" w:themeColor="text1"/>
          <w:lang w:val="en-GB"/>
        </w:rPr>
        <w:t>Bergek</w:t>
      </w:r>
      <w:proofErr w:type="spellEnd"/>
      <w:r w:rsidRPr="00393CB4">
        <w:rPr>
          <w:rFonts w:ascii="Times New Roman" w:hAnsi="Times New Roman"/>
          <w:color w:val="000000" w:themeColor="text1"/>
          <w:lang w:val="en-GB"/>
        </w:rPr>
        <w:t xml:space="preserve"> et al.</w:t>
      </w:r>
      <w:r w:rsidR="006E0495" w:rsidRPr="00393CB4">
        <w:rPr>
          <w:rFonts w:ascii="Times New Roman" w:hAnsi="Times New Roman"/>
          <w:color w:val="000000" w:themeColor="text1"/>
          <w:lang w:val="en-GB"/>
        </w:rPr>
        <w:t>,</w:t>
      </w:r>
      <w:r w:rsidRPr="00393CB4">
        <w:rPr>
          <w:rFonts w:ascii="Times New Roman" w:hAnsi="Times New Roman"/>
          <w:color w:val="000000" w:themeColor="text1"/>
          <w:lang w:val="en-GB"/>
        </w:rPr>
        <w:t xml:space="preserve"> 2008). This scheme, however, has only been applied at a national rather than a regional level of analysis (Bento and Fontes, 2015; </w:t>
      </w:r>
      <w:proofErr w:type="spellStart"/>
      <w:r w:rsidRPr="00393CB4">
        <w:rPr>
          <w:rFonts w:ascii="Times New Roman" w:hAnsi="Times New Roman"/>
          <w:color w:val="000000" w:themeColor="text1"/>
          <w:lang w:val="en-GB"/>
        </w:rPr>
        <w:t>Wieczorek</w:t>
      </w:r>
      <w:proofErr w:type="spellEnd"/>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et al</w:t>
      </w:r>
      <w:r w:rsidRPr="00393CB4">
        <w:rPr>
          <w:rFonts w:ascii="Times New Roman" w:hAnsi="Times New Roman"/>
          <w:color w:val="000000" w:themeColor="text1"/>
          <w:lang w:val="en-GB"/>
        </w:rPr>
        <w:t>., 2015), and thus, it does not address the strategic ambiguity faced by regional stakeholders.</w:t>
      </w:r>
    </w:p>
    <w:p w14:paraId="4C5B18A2" w14:textId="2F6E59EB" w:rsidR="006E0495" w:rsidRPr="00393CB4" w:rsidRDefault="00F870C3" w:rsidP="006E0495">
      <w:pPr>
        <w:jc w:val="both"/>
        <w:rPr>
          <w:rFonts w:ascii="Times New Roman" w:hAnsi="Times New Roman"/>
          <w:color w:val="000000" w:themeColor="text1"/>
          <w:lang w:val="en-GB"/>
        </w:rPr>
      </w:pPr>
      <w:r w:rsidRPr="00393CB4">
        <w:rPr>
          <w:rFonts w:ascii="Times New Roman" w:hAnsi="Times New Roman"/>
          <w:color w:val="000000" w:themeColor="text1"/>
          <w:lang w:val="en-GB"/>
        </w:rPr>
        <w:t>Finally, it is important to add that in the strategic mapping exercise, many respondents indicated that they felt unable to deal with strategic threats of a global nature.  In many of the EFAS forms, many respondents added as comments to a threat: “National-level issue that we cannot address at a regional level’.</w:t>
      </w:r>
      <w:r w:rsidR="006E0495" w:rsidRPr="00393CB4">
        <w:rPr>
          <w:rFonts w:ascii="Times New Roman" w:hAnsi="Times New Roman"/>
          <w:color w:val="000000" w:themeColor="text1"/>
          <w:lang w:val="en-GB"/>
        </w:rPr>
        <w:t xml:space="preserve">  This local-global decision ambiguity is represented by the ver</w:t>
      </w:r>
      <w:r w:rsidR="00D21C58" w:rsidRPr="00393CB4">
        <w:rPr>
          <w:rFonts w:ascii="Times New Roman" w:hAnsi="Times New Roman"/>
          <w:color w:val="000000" w:themeColor="text1"/>
          <w:lang w:val="en-GB"/>
        </w:rPr>
        <w:t>tical decision field in figure 4</w:t>
      </w:r>
      <w:r w:rsidR="006E0495" w:rsidRPr="00393CB4">
        <w:rPr>
          <w:rFonts w:ascii="Times New Roman" w:hAnsi="Times New Roman"/>
          <w:color w:val="000000" w:themeColor="text1"/>
          <w:lang w:val="en-GB"/>
        </w:rPr>
        <w:t>.</w:t>
      </w:r>
    </w:p>
    <w:p w14:paraId="46B3392D" w14:textId="00B8453B" w:rsidR="00E37A8C" w:rsidRPr="00393CB4" w:rsidRDefault="00D21C58" w:rsidP="00E37A8C">
      <w:pPr>
        <w:pStyle w:val="Heading2"/>
        <w:rPr>
          <w:rFonts w:ascii="Times New Roman" w:hAnsi="Times New Roman"/>
          <w:color w:val="000000" w:themeColor="text1"/>
          <w:lang w:val="en-GB"/>
        </w:rPr>
      </w:pPr>
      <w:r w:rsidRPr="00393CB4">
        <w:rPr>
          <w:rFonts w:ascii="Times New Roman" w:hAnsi="Times New Roman"/>
          <w:color w:val="000000" w:themeColor="text1"/>
          <w:lang w:val="en-GB"/>
        </w:rPr>
        <w:lastRenderedPageBreak/>
        <w:t>4</w:t>
      </w:r>
      <w:r w:rsidR="00E37A8C" w:rsidRPr="00393CB4">
        <w:rPr>
          <w:rFonts w:ascii="Times New Roman" w:hAnsi="Times New Roman"/>
          <w:color w:val="000000" w:themeColor="text1"/>
          <w:lang w:val="en-GB"/>
        </w:rPr>
        <w:t>.2.</w:t>
      </w:r>
      <w:r w:rsidR="00A256D1" w:rsidRPr="00393CB4">
        <w:rPr>
          <w:rFonts w:ascii="Times New Roman" w:hAnsi="Times New Roman"/>
          <w:color w:val="000000" w:themeColor="text1"/>
          <w:lang w:val="en-GB"/>
        </w:rPr>
        <w:t>3.</w:t>
      </w:r>
      <w:r w:rsidR="00E37A8C" w:rsidRPr="00393CB4">
        <w:rPr>
          <w:rFonts w:ascii="Times New Roman" w:hAnsi="Times New Roman"/>
          <w:color w:val="000000" w:themeColor="text1"/>
          <w:lang w:val="en-GB"/>
        </w:rPr>
        <w:t xml:space="preserve"> Coalitions</w:t>
      </w:r>
    </w:p>
    <w:p w14:paraId="297B1F2C" w14:textId="16B29DEB" w:rsidR="00F870C3" w:rsidRPr="00393CB4" w:rsidRDefault="00F870C3" w:rsidP="00C161FF">
      <w:pPr>
        <w:jc w:val="both"/>
        <w:rPr>
          <w:rFonts w:ascii="Times New Roman" w:hAnsi="Times New Roman"/>
          <w:color w:val="000000" w:themeColor="text1"/>
          <w:lang w:val="en-GB"/>
        </w:rPr>
      </w:pPr>
      <w:r w:rsidRPr="00393CB4">
        <w:rPr>
          <w:rFonts w:ascii="Times New Roman" w:hAnsi="Times New Roman"/>
          <w:color w:val="000000" w:themeColor="text1"/>
          <w:lang w:val="en-GB"/>
        </w:rPr>
        <w:t>Regional stakeholders must work with the following coalitions:</w:t>
      </w:r>
    </w:p>
    <w:p w14:paraId="61C639B6" w14:textId="252F2518" w:rsidR="00F870C3" w:rsidRPr="00393CB4" w:rsidRDefault="00F870C3" w:rsidP="00C161FF">
      <w:pPr>
        <w:pStyle w:val="ListParagraph"/>
        <w:numPr>
          <w:ilvl w:val="0"/>
          <w:numId w:val="15"/>
        </w:numPr>
        <w:jc w:val="both"/>
        <w:rPr>
          <w:rFonts w:ascii="Times New Roman" w:hAnsi="Times New Roman"/>
          <w:color w:val="000000" w:themeColor="text1"/>
          <w:lang w:val="en-GB"/>
        </w:rPr>
      </w:pPr>
      <w:r w:rsidRPr="00393CB4">
        <w:rPr>
          <w:rFonts w:ascii="Times New Roman" w:hAnsi="Times New Roman"/>
          <w:color w:val="000000" w:themeColor="text1"/>
          <w:lang w:val="en-GB"/>
        </w:rPr>
        <w:t>Local opposition coalition</w:t>
      </w:r>
      <w:r w:rsidR="00DB71C5" w:rsidRPr="00393CB4">
        <w:rPr>
          <w:rFonts w:ascii="Times New Roman" w:hAnsi="Times New Roman"/>
          <w:color w:val="000000" w:themeColor="text1"/>
          <w:lang w:val="en-GB"/>
        </w:rPr>
        <w:t>s</w:t>
      </w:r>
      <w:r w:rsidRPr="00393CB4">
        <w:rPr>
          <w:rFonts w:ascii="Times New Roman" w:hAnsi="Times New Roman"/>
          <w:color w:val="000000" w:themeColor="text1"/>
          <w:lang w:val="en-GB"/>
        </w:rPr>
        <w:t xml:space="preserve">:  </w:t>
      </w:r>
      <w:r w:rsidR="00C161FF" w:rsidRPr="00393CB4">
        <w:rPr>
          <w:rFonts w:ascii="Times New Roman" w:hAnsi="Times New Roman"/>
          <w:color w:val="000000" w:themeColor="text1"/>
          <w:lang w:val="en-GB"/>
        </w:rPr>
        <w:t>R</w:t>
      </w:r>
      <w:r w:rsidRPr="00393CB4">
        <w:rPr>
          <w:rFonts w:ascii="Times New Roman" w:hAnsi="Times New Roman"/>
          <w:color w:val="000000" w:themeColor="text1"/>
          <w:lang w:val="en-GB"/>
        </w:rPr>
        <w:t>egional coalitions that are typical</w:t>
      </w:r>
      <w:r w:rsidR="00155E2D" w:rsidRPr="00393CB4">
        <w:rPr>
          <w:rFonts w:ascii="Times New Roman" w:hAnsi="Times New Roman"/>
          <w:color w:val="000000" w:themeColor="text1"/>
          <w:lang w:val="en-GB"/>
        </w:rPr>
        <w:t>ly</w:t>
      </w:r>
      <w:r w:rsidRPr="00393CB4">
        <w:rPr>
          <w:rFonts w:ascii="Times New Roman" w:hAnsi="Times New Roman"/>
          <w:color w:val="000000" w:themeColor="text1"/>
          <w:lang w:val="en-GB"/>
        </w:rPr>
        <w:t xml:space="preserve"> concerned with the visual impact and the environmental impact of wind farms.  Public opposition is one of the weakest threats according to the survey (cf. Table 1), and a low-impact threat in the strategic mapping exercise.  As a result, the Channel-MOR report (2014) did not discuss social acceptance of technology at length</w:t>
      </w:r>
      <w:r w:rsidR="00DB71C5" w:rsidRPr="00393CB4">
        <w:rPr>
          <w:rFonts w:ascii="Times New Roman" w:hAnsi="Times New Roman"/>
          <w:color w:val="000000" w:themeColor="text1"/>
          <w:lang w:val="en-GB"/>
        </w:rPr>
        <w:t xml:space="preserve"> and never predicted the fact that the </w:t>
      </w:r>
      <w:proofErr w:type="spellStart"/>
      <w:r w:rsidR="00DB71C5" w:rsidRPr="00393CB4">
        <w:rPr>
          <w:rFonts w:ascii="Times New Roman" w:hAnsi="Times New Roman"/>
          <w:color w:val="000000" w:themeColor="text1"/>
          <w:lang w:val="en-GB"/>
        </w:rPr>
        <w:t>Navitus</w:t>
      </w:r>
      <w:proofErr w:type="spellEnd"/>
      <w:r w:rsidR="00DB71C5" w:rsidRPr="00393CB4">
        <w:rPr>
          <w:rFonts w:ascii="Times New Roman" w:hAnsi="Times New Roman"/>
          <w:color w:val="000000" w:themeColor="text1"/>
          <w:lang w:val="en-GB"/>
        </w:rPr>
        <w:t xml:space="preserve"> Bay wind farm project in </w:t>
      </w:r>
      <w:r w:rsidR="00155E2D" w:rsidRPr="00393CB4">
        <w:rPr>
          <w:rFonts w:ascii="Times New Roman" w:hAnsi="Times New Roman"/>
          <w:color w:val="000000" w:themeColor="text1"/>
          <w:lang w:val="en-GB"/>
        </w:rPr>
        <w:t xml:space="preserve">the British county of </w:t>
      </w:r>
      <w:r w:rsidR="00DB71C5" w:rsidRPr="00393CB4">
        <w:rPr>
          <w:rFonts w:ascii="Times New Roman" w:hAnsi="Times New Roman"/>
          <w:color w:val="000000" w:themeColor="text1"/>
          <w:lang w:val="en-GB"/>
        </w:rPr>
        <w:t>Dorset would be rejected.</w:t>
      </w:r>
      <w:r w:rsidR="00C161FF" w:rsidRPr="00393CB4">
        <w:rPr>
          <w:rFonts w:ascii="Times New Roman" w:hAnsi="Times New Roman"/>
          <w:color w:val="000000" w:themeColor="text1"/>
          <w:lang w:val="en-GB"/>
        </w:rPr>
        <w:t xml:space="preserve">  Such a prediction may be have been possible to make through a less idealised view of windfarms.</w:t>
      </w:r>
    </w:p>
    <w:p w14:paraId="484B64D9" w14:textId="1CAEC54A" w:rsidR="00DB71C5" w:rsidRPr="00393CB4" w:rsidRDefault="00DB71C5" w:rsidP="00C161FF">
      <w:pPr>
        <w:pStyle w:val="ListParagraph"/>
        <w:numPr>
          <w:ilvl w:val="0"/>
          <w:numId w:val="15"/>
        </w:num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Clustering coalitions:  These are composed mostly of regional officers who see renewable energy as </w:t>
      </w:r>
      <w:r w:rsidR="00B82DD6" w:rsidRPr="00393CB4">
        <w:rPr>
          <w:rFonts w:ascii="Times New Roman" w:hAnsi="Times New Roman"/>
          <w:color w:val="000000" w:themeColor="text1"/>
          <w:lang w:val="en-GB"/>
        </w:rPr>
        <w:t xml:space="preserve">a </w:t>
      </w:r>
      <w:r w:rsidRPr="00393CB4">
        <w:rPr>
          <w:rFonts w:ascii="Times New Roman" w:hAnsi="Times New Roman"/>
          <w:color w:val="000000" w:themeColor="text1"/>
          <w:lang w:val="en-GB"/>
        </w:rPr>
        <w:t xml:space="preserve">means to create a new smart sector on their shore.  </w:t>
      </w:r>
    </w:p>
    <w:p w14:paraId="53B59577" w14:textId="54EF5098" w:rsidR="00DB71C5" w:rsidRPr="00393CB4" w:rsidRDefault="00DB71C5" w:rsidP="00C161FF">
      <w:pPr>
        <w:pStyle w:val="ListParagraph"/>
        <w:numPr>
          <w:ilvl w:val="0"/>
          <w:numId w:val="15"/>
        </w:numPr>
        <w:jc w:val="both"/>
        <w:rPr>
          <w:rFonts w:ascii="Times New Roman" w:hAnsi="Times New Roman"/>
          <w:color w:val="000000" w:themeColor="text1"/>
          <w:lang w:val="en-GB"/>
        </w:rPr>
      </w:pPr>
      <w:proofErr w:type="spellStart"/>
      <w:r w:rsidRPr="00393CB4">
        <w:rPr>
          <w:rFonts w:ascii="Times New Roman" w:hAnsi="Times New Roman"/>
          <w:color w:val="000000" w:themeColor="text1"/>
          <w:lang w:val="en-GB"/>
        </w:rPr>
        <w:t>Technoentrepreneur</w:t>
      </w:r>
      <w:proofErr w:type="spellEnd"/>
      <w:r w:rsidRPr="00393CB4">
        <w:rPr>
          <w:rFonts w:ascii="Times New Roman" w:hAnsi="Times New Roman"/>
          <w:color w:val="000000" w:themeColor="text1"/>
          <w:lang w:val="en-GB"/>
        </w:rPr>
        <w:t xml:space="preserve"> coalitions:  These are composed of small start-up firms developing new but unproven technologies.  Although they are acknowledged regionally, the level of funding required and the intrinsic technology risk are such that these coalitions are ‘born-global’ start-ups that seek funds and customers at both a national and global level.</w:t>
      </w:r>
    </w:p>
    <w:p w14:paraId="7BF3CD74" w14:textId="5EFDEB49" w:rsidR="00DB71C5" w:rsidRPr="00393CB4" w:rsidRDefault="00DB71C5" w:rsidP="00C161FF">
      <w:pPr>
        <w:pStyle w:val="ListParagraph"/>
        <w:numPr>
          <w:ilvl w:val="0"/>
          <w:numId w:val="15"/>
        </w:numPr>
        <w:jc w:val="both"/>
        <w:rPr>
          <w:rFonts w:ascii="Times New Roman" w:hAnsi="Times New Roman"/>
          <w:color w:val="000000" w:themeColor="text1"/>
          <w:lang w:val="en-GB"/>
        </w:rPr>
      </w:pPr>
      <w:proofErr w:type="spellStart"/>
      <w:r w:rsidRPr="00393CB4">
        <w:rPr>
          <w:rFonts w:ascii="Times New Roman" w:hAnsi="Times New Roman"/>
          <w:color w:val="000000" w:themeColor="text1"/>
          <w:lang w:val="en-GB"/>
        </w:rPr>
        <w:t>Techonology</w:t>
      </w:r>
      <w:proofErr w:type="spellEnd"/>
      <w:r w:rsidRPr="00393CB4">
        <w:rPr>
          <w:rFonts w:ascii="Times New Roman" w:hAnsi="Times New Roman"/>
          <w:color w:val="000000" w:themeColor="text1"/>
          <w:lang w:val="en-GB"/>
        </w:rPr>
        <w:t xml:space="preserve">-specific coalitions: These are </w:t>
      </w:r>
      <w:r w:rsidR="00EC2C7D" w:rsidRPr="00393CB4">
        <w:rPr>
          <w:rFonts w:ascii="Times New Roman" w:hAnsi="Times New Roman"/>
          <w:color w:val="000000" w:themeColor="text1"/>
          <w:lang w:val="en-GB"/>
        </w:rPr>
        <w:t xml:space="preserve">either national of </w:t>
      </w:r>
      <w:r w:rsidRPr="00393CB4">
        <w:rPr>
          <w:rFonts w:ascii="Times New Roman" w:hAnsi="Times New Roman"/>
          <w:color w:val="000000" w:themeColor="text1"/>
          <w:lang w:val="en-GB"/>
        </w:rPr>
        <w:t>regional scale interest groups create</w:t>
      </w:r>
      <w:r w:rsidR="00EC2C7D" w:rsidRPr="00393CB4">
        <w:rPr>
          <w:rFonts w:ascii="Times New Roman" w:hAnsi="Times New Roman"/>
          <w:color w:val="000000" w:themeColor="text1"/>
          <w:lang w:val="en-GB"/>
        </w:rPr>
        <w:t>d</w:t>
      </w:r>
      <w:r w:rsidRPr="00393CB4">
        <w:rPr>
          <w:rFonts w:ascii="Times New Roman" w:hAnsi="Times New Roman"/>
          <w:color w:val="000000" w:themeColor="text1"/>
          <w:lang w:val="en-GB"/>
        </w:rPr>
        <w:t xml:space="preserve"> to create awareness and promote the adoption of a specific technology.  For example, wind energy networks have been created </w:t>
      </w:r>
      <w:r w:rsidR="00F87D13" w:rsidRPr="00393CB4">
        <w:rPr>
          <w:rFonts w:ascii="Times New Roman" w:hAnsi="Times New Roman"/>
          <w:color w:val="000000" w:themeColor="text1"/>
          <w:lang w:val="en-GB"/>
        </w:rPr>
        <w:t>by almost all regions in the Channel area. They are many divisions between these coalitions, e.g. those interested in traditional offshore wind versus floating offshore wind.</w:t>
      </w:r>
    </w:p>
    <w:p w14:paraId="121CEF53" w14:textId="2DFCFADD" w:rsidR="00DB71C5" w:rsidRPr="006B536E" w:rsidRDefault="00DB71C5" w:rsidP="006B536E">
      <w:pPr>
        <w:pStyle w:val="ListParagraph"/>
        <w:numPr>
          <w:ilvl w:val="0"/>
          <w:numId w:val="15"/>
        </w:numPr>
        <w:jc w:val="both"/>
        <w:rPr>
          <w:rFonts w:ascii="Times New Roman" w:hAnsi="Times New Roman"/>
          <w:color w:val="000000" w:themeColor="text1"/>
          <w:lang w:val="en-GB"/>
        </w:rPr>
      </w:pPr>
      <w:r w:rsidRPr="00393CB4">
        <w:rPr>
          <w:rFonts w:ascii="Times New Roman" w:hAnsi="Times New Roman"/>
          <w:color w:val="000000" w:themeColor="text1"/>
          <w:lang w:val="en-GB"/>
        </w:rPr>
        <w:t>All energy coalitions: These are interest groups formed of a multitude of actors that attempt to address energy issues at a regional level.  They are a breeding ground for ideas and projects as they often combine actors from multiple sectors (electricity, oil and gas, ports, etc.)</w:t>
      </w:r>
      <w:r w:rsidRPr="006B536E">
        <w:rPr>
          <w:rFonts w:ascii="Times New Roman" w:hAnsi="Times New Roman"/>
          <w:color w:val="000000" w:themeColor="text1"/>
          <w:lang w:val="en-GB"/>
        </w:rPr>
        <w:t>.</w:t>
      </w:r>
    </w:p>
    <w:p w14:paraId="273F7585" w14:textId="77777777" w:rsidR="006B536E" w:rsidRDefault="006B536E" w:rsidP="00E37A8C">
      <w:pPr>
        <w:pStyle w:val="Heading2"/>
        <w:rPr>
          <w:rFonts w:ascii="Times New Roman" w:hAnsi="Times New Roman"/>
          <w:color w:val="000000" w:themeColor="text1"/>
          <w:lang w:val="en-GB"/>
        </w:rPr>
      </w:pPr>
    </w:p>
    <w:p w14:paraId="6A4AEEEA" w14:textId="77777777" w:rsidR="006B536E" w:rsidRDefault="006B536E" w:rsidP="00E37A8C">
      <w:pPr>
        <w:pStyle w:val="Heading2"/>
        <w:rPr>
          <w:rFonts w:ascii="Times New Roman" w:hAnsi="Times New Roman"/>
          <w:color w:val="000000" w:themeColor="text1"/>
          <w:lang w:val="en-GB"/>
        </w:rPr>
      </w:pPr>
    </w:p>
    <w:p w14:paraId="27EB545B" w14:textId="23CF7F14" w:rsidR="00E37A8C" w:rsidRPr="00393CB4" w:rsidRDefault="00D21C58" w:rsidP="00E37A8C">
      <w:pPr>
        <w:pStyle w:val="Heading2"/>
        <w:rPr>
          <w:rFonts w:ascii="Times New Roman" w:hAnsi="Times New Roman"/>
          <w:color w:val="000000" w:themeColor="text1"/>
          <w:lang w:val="en-GB"/>
        </w:rPr>
      </w:pPr>
      <w:r w:rsidRPr="00393CB4">
        <w:rPr>
          <w:rFonts w:ascii="Times New Roman" w:hAnsi="Times New Roman"/>
          <w:color w:val="000000" w:themeColor="text1"/>
          <w:lang w:val="en-GB"/>
        </w:rPr>
        <w:lastRenderedPageBreak/>
        <w:t>4</w:t>
      </w:r>
      <w:r w:rsidR="00A256D1" w:rsidRPr="00393CB4">
        <w:rPr>
          <w:rFonts w:ascii="Times New Roman" w:hAnsi="Times New Roman"/>
          <w:color w:val="000000" w:themeColor="text1"/>
          <w:lang w:val="en-GB"/>
        </w:rPr>
        <w:t>.2</w:t>
      </w:r>
      <w:r w:rsidR="00E37A8C" w:rsidRPr="00393CB4">
        <w:rPr>
          <w:rFonts w:ascii="Times New Roman" w:hAnsi="Times New Roman"/>
          <w:color w:val="000000" w:themeColor="text1"/>
          <w:lang w:val="en-GB"/>
        </w:rPr>
        <w:t>.</w:t>
      </w:r>
      <w:r w:rsidR="00A256D1" w:rsidRPr="00393CB4">
        <w:rPr>
          <w:rFonts w:ascii="Times New Roman" w:hAnsi="Times New Roman"/>
          <w:color w:val="000000" w:themeColor="text1"/>
          <w:lang w:val="en-GB"/>
        </w:rPr>
        <w:t>4.</w:t>
      </w:r>
      <w:r w:rsidR="00E37A8C" w:rsidRPr="00393CB4">
        <w:rPr>
          <w:rFonts w:ascii="Times New Roman" w:hAnsi="Times New Roman"/>
          <w:color w:val="000000" w:themeColor="text1"/>
          <w:lang w:val="en-GB"/>
        </w:rPr>
        <w:t xml:space="preserve"> Causal Explanation of Idealisation</w:t>
      </w:r>
    </w:p>
    <w:p w14:paraId="5256E511" w14:textId="48AB7949" w:rsidR="00EC2C7D" w:rsidRPr="00393CB4" w:rsidRDefault="00EC2C7D" w:rsidP="00C161FF">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The TIS literature stresses the importance of the formative cycle of technology development and concludes that it is only through an understanding of this cycle that </w:t>
      </w:r>
      <w:r w:rsidRPr="00393CB4">
        <w:rPr>
          <w:rFonts w:ascii="Times New Roman" w:hAnsi="Times New Roman"/>
          <w:i/>
          <w:color w:val="000000" w:themeColor="text1"/>
          <w:lang w:val="en-GB"/>
        </w:rPr>
        <w:t>ex post</w:t>
      </w:r>
      <w:r w:rsidRPr="00393CB4">
        <w:rPr>
          <w:rFonts w:ascii="Times New Roman" w:hAnsi="Times New Roman"/>
          <w:color w:val="000000" w:themeColor="text1"/>
          <w:lang w:val="en-GB"/>
        </w:rPr>
        <w:t xml:space="preserve"> TIS dynamics can be understood (</w:t>
      </w:r>
      <w:proofErr w:type="spellStart"/>
      <w:r w:rsidRPr="00393CB4">
        <w:rPr>
          <w:rFonts w:ascii="Times New Roman" w:hAnsi="Times New Roman"/>
          <w:color w:val="000000" w:themeColor="text1"/>
          <w:lang w:val="en-GB"/>
        </w:rPr>
        <w:t>Bergek</w:t>
      </w:r>
      <w:proofErr w:type="spellEnd"/>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et al</w:t>
      </w:r>
      <w:r w:rsidRPr="00393CB4">
        <w:rPr>
          <w:rFonts w:ascii="Times New Roman" w:hAnsi="Times New Roman"/>
          <w:color w:val="000000" w:themeColor="text1"/>
          <w:lang w:val="en-GB"/>
        </w:rPr>
        <w:t xml:space="preserve">., 2008).  According to </w:t>
      </w:r>
      <w:proofErr w:type="spellStart"/>
      <w:r w:rsidRPr="00393CB4">
        <w:rPr>
          <w:rFonts w:ascii="Times New Roman" w:hAnsi="Times New Roman"/>
          <w:color w:val="000000" w:themeColor="text1"/>
          <w:lang w:val="en-GB"/>
        </w:rPr>
        <w:t>Bergek</w:t>
      </w:r>
      <w:proofErr w:type="spellEnd"/>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et al</w:t>
      </w:r>
      <w:r w:rsidRPr="00393CB4">
        <w:rPr>
          <w:rFonts w:ascii="Times New Roman" w:hAnsi="Times New Roman"/>
          <w:color w:val="000000" w:themeColor="text1"/>
          <w:lang w:val="en-GB"/>
        </w:rPr>
        <w:t>. (2008) two important phases of the formative cycle are legitimisation and the emergence of positive externalities</w:t>
      </w:r>
      <w:r w:rsidR="00764387" w:rsidRPr="00393CB4">
        <w:rPr>
          <w:rFonts w:ascii="Times New Roman" w:hAnsi="Times New Roman"/>
          <w:color w:val="000000" w:themeColor="text1"/>
          <w:lang w:val="en-GB"/>
        </w:rPr>
        <w:t>.  They</w:t>
      </w:r>
      <w:r w:rsidRPr="00393CB4">
        <w:rPr>
          <w:rFonts w:ascii="Times New Roman" w:hAnsi="Times New Roman"/>
          <w:color w:val="000000" w:themeColor="text1"/>
          <w:lang w:val="en-GB"/>
        </w:rPr>
        <w:t xml:space="preserve"> result in </w:t>
      </w:r>
      <w:r w:rsidRPr="00393CB4">
        <w:rPr>
          <w:rFonts w:ascii="Times New Roman" w:hAnsi="Times New Roman"/>
          <w:i/>
          <w:color w:val="000000" w:themeColor="text1"/>
          <w:lang w:val="en-GB"/>
        </w:rPr>
        <w:t>'powerful "bottom up" process of system growth'</w:t>
      </w:r>
      <w:r w:rsidRPr="00393CB4">
        <w:rPr>
          <w:rFonts w:ascii="Times New Roman" w:hAnsi="Times New Roman"/>
          <w:color w:val="000000" w:themeColor="text1"/>
          <w:lang w:val="en-GB"/>
        </w:rPr>
        <w:t xml:space="preserve">.  </w:t>
      </w:r>
      <w:proofErr w:type="spellStart"/>
      <w:r w:rsidRPr="00393CB4">
        <w:rPr>
          <w:rFonts w:ascii="Times New Roman" w:hAnsi="Times New Roman"/>
          <w:color w:val="000000" w:themeColor="text1"/>
          <w:lang w:val="en-GB"/>
        </w:rPr>
        <w:t>Jacobsson</w:t>
      </w:r>
      <w:proofErr w:type="spellEnd"/>
      <w:r w:rsidRPr="00393CB4">
        <w:rPr>
          <w:rFonts w:ascii="Times New Roman" w:hAnsi="Times New Roman"/>
          <w:color w:val="000000" w:themeColor="text1"/>
          <w:lang w:val="en-GB"/>
        </w:rPr>
        <w:t xml:space="preserve"> and Lauber (2006) insist on the potential length of the formative cycle, which can span several decades and can go through a series of growths and declines as institutional support changes.  In the case of the development of offshore wind in the Channel area, the TIS literature would suggest that an offshore wind TIS can only emerge on the back of a robust and sustained formative cycle taking place in ideally both sides of the Channel.</w:t>
      </w:r>
    </w:p>
    <w:p w14:paraId="6A9E8F72" w14:textId="35F477C5" w:rsidR="00EC2C7D" w:rsidRPr="00393CB4" w:rsidRDefault="00EC2C7D" w:rsidP="00C161FF">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A formative cycle started in the 1970s/1980s when offshore wind (and more generally wind power) did not achieve any form of legitimisation in either country.  At a time when </w:t>
      </w:r>
      <w:smartTag w:uri="urn:schemas-microsoft-com:office:smarttags" w:element="country-region">
        <w:smartTag w:uri="urn:schemas-microsoft-com:office:smarttags" w:element="place">
          <w:r w:rsidRPr="00393CB4">
            <w:rPr>
              <w:rFonts w:ascii="Times New Roman" w:hAnsi="Times New Roman"/>
              <w:color w:val="000000" w:themeColor="text1"/>
              <w:lang w:val="en-GB"/>
            </w:rPr>
            <w:t>Germany</w:t>
          </w:r>
        </w:smartTag>
      </w:smartTag>
      <w:r w:rsidRPr="00393CB4">
        <w:rPr>
          <w:rFonts w:ascii="Times New Roman" w:hAnsi="Times New Roman"/>
          <w:color w:val="000000" w:themeColor="text1"/>
          <w:lang w:val="en-GB"/>
        </w:rPr>
        <w:t xml:space="preserve"> was going through a 'battle over institutions' (</w:t>
      </w:r>
      <w:proofErr w:type="spellStart"/>
      <w:r w:rsidRPr="00393CB4">
        <w:rPr>
          <w:rFonts w:ascii="Times New Roman" w:hAnsi="Times New Roman"/>
          <w:color w:val="000000" w:themeColor="text1"/>
          <w:lang w:val="en-GB"/>
        </w:rPr>
        <w:t>Jacobsson</w:t>
      </w:r>
      <w:proofErr w:type="spellEnd"/>
      <w:r w:rsidRPr="00393CB4">
        <w:rPr>
          <w:rFonts w:ascii="Times New Roman" w:hAnsi="Times New Roman"/>
          <w:color w:val="000000" w:themeColor="text1"/>
          <w:lang w:val="en-GB"/>
        </w:rPr>
        <w:t xml:space="preserve"> and Lauber, 2006) and when Scandinavian countries invested heavily in technology development, wind power was disregarded as a minor technology search field in </w:t>
      </w:r>
      <w:smartTag w:uri="urn:schemas-microsoft-com:office:smarttags" w:element="country-region">
        <w:smartTag w:uri="urn:schemas-microsoft-com:office:smarttags" w:element="place">
          <w:r w:rsidRPr="00393CB4">
            <w:rPr>
              <w:rFonts w:ascii="Times New Roman" w:hAnsi="Times New Roman"/>
              <w:color w:val="000000" w:themeColor="text1"/>
              <w:lang w:val="en-GB"/>
            </w:rPr>
            <w:t>France</w:t>
          </w:r>
        </w:smartTag>
      </w:smartTag>
      <w:r w:rsidRPr="00393CB4">
        <w:rPr>
          <w:rFonts w:ascii="Times New Roman" w:hAnsi="Times New Roman"/>
          <w:color w:val="000000" w:themeColor="text1"/>
          <w:lang w:val="en-GB"/>
        </w:rPr>
        <w:t xml:space="preserve"> and the </w:t>
      </w:r>
      <w:smartTag w:uri="urn:schemas-microsoft-com:office:smarttags" w:element="country-region">
        <w:smartTag w:uri="urn:schemas-microsoft-com:office:smarttags" w:element="place">
          <w:r w:rsidRPr="00393CB4">
            <w:rPr>
              <w:rFonts w:ascii="Times New Roman" w:hAnsi="Times New Roman"/>
              <w:color w:val="000000" w:themeColor="text1"/>
              <w:lang w:val="en-GB"/>
            </w:rPr>
            <w:t>UK</w:t>
          </w:r>
        </w:smartTag>
      </w:smartTag>
      <w:r w:rsidRPr="00393CB4">
        <w:rPr>
          <w:rFonts w:ascii="Times New Roman" w:hAnsi="Times New Roman"/>
          <w:color w:val="000000" w:themeColor="text1"/>
          <w:lang w:val="en-GB"/>
        </w:rPr>
        <w:t xml:space="preserve">.  In the </w:t>
      </w:r>
      <w:smartTag w:uri="urn:schemas-microsoft-com:office:smarttags" w:element="country-region">
        <w:smartTag w:uri="urn:schemas-microsoft-com:office:smarttags" w:element="place">
          <w:r w:rsidRPr="00393CB4">
            <w:rPr>
              <w:rFonts w:ascii="Times New Roman" w:hAnsi="Times New Roman"/>
              <w:color w:val="000000" w:themeColor="text1"/>
              <w:lang w:val="en-GB"/>
            </w:rPr>
            <w:t>UK</w:t>
          </w:r>
        </w:smartTag>
      </w:smartTag>
      <w:r w:rsidRPr="00393CB4">
        <w:rPr>
          <w:rFonts w:ascii="Times New Roman" w:hAnsi="Times New Roman"/>
          <w:color w:val="000000" w:themeColor="text1"/>
          <w:lang w:val="en-GB"/>
        </w:rPr>
        <w:t xml:space="preserve">, the few indigenous turbine manufacturers were acquired by Scandinavian firms or went bankrupt.  In </w:t>
      </w:r>
      <w:smartTag w:uri="urn:schemas-microsoft-com:office:smarttags" w:element="country-region">
        <w:smartTag w:uri="urn:schemas-microsoft-com:office:smarttags" w:element="place">
          <w:r w:rsidRPr="00393CB4">
            <w:rPr>
              <w:rFonts w:ascii="Times New Roman" w:hAnsi="Times New Roman"/>
              <w:color w:val="000000" w:themeColor="text1"/>
              <w:lang w:val="en-GB"/>
            </w:rPr>
            <w:t>France</w:t>
          </w:r>
        </w:smartTag>
      </w:smartTag>
      <w:r w:rsidRPr="00393CB4">
        <w:rPr>
          <w:rFonts w:ascii="Times New Roman" w:hAnsi="Times New Roman"/>
          <w:color w:val="000000" w:themeColor="text1"/>
          <w:lang w:val="en-GB"/>
        </w:rPr>
        <w:t>, the priority was given to the development of nuclear energy.  This meant that search efforts were not deployed in either countr</w:t>
      </w:r>
      <w:r w:rsidR="00155E2D" w:rsidRPr="00393CB4">
        <w:rPr>
          <w:rFonts w:ascii="Times New Roman" w:hAnsi="Times New Roman"/>
          <w:color w:val="000000" w:themeColor="text1"/>
          <w:lang w:val="en-GB"/>
        </w:rPr>
        <w:t>y</w:t>
      </w:r>
      <w:r w:rsidRPr="00393CB4">
        <w:rPr>
          <w:rFonts w:ascii="Times New Roman" w:hAnsi="Times New Roman"/>
          <w:color w:val="000000" w:themeColor="text1"/>
          <w:lang w:val="en-GB"/>
        </w:rPr>
        <w:t xml:space="preserve"> and that resource mobilisation was very low. This is not to say that there was no interest in wind power</w:t>
      </w:r>
      <w:r w:rsidR="008B6A59" w:rsidRPr="00393CB4">
        <w:rPr>
          <w:rFonts w:ascii="Times New Roman" w:hAnsi="Times New Roman"/>
          <w:color w:val="000000" w:themeColor="text1"/>
          <w:lang w:val="en-GB"/>
        </w:rPr>
        <w:t>, as both regions</w:t>
      </w:r>
      <w:r w:rsidRPr="00393CB4">
        <w:rPr>
          <w:rFonts w:ascii="Times New Roman" w:hAnsi="Times New Roman"/>
          <w:color w:val="000000" w:themeColor="text1"/>
          <w:lang w:val="en-GB"/>
        </w:rPr>
        <w:t xml:space="preserve"> experimented with onshore wind power but at a small scale when compared to </w:t>
      </w:r>
      <w:r w:rsidR="00155E2D" w:rsidRPr="00393CB4">
        <w:rPr>
          <w:rFonts w:ascii="Times New Roman" w:hAnsi="Times New Roman"/>
          <w:color w:val="000000" w:themeColor="text1"/>
          <w:lang w:val="en-GB"/>
        </w:rPr>
        <w:t xml:space="preserve">some </w:t>
      </w:r>
      <w:r w:rsidRPr="00393CB4">
        <w:rPr>
          <w:rFonts w:ascii="Times New Roman" w:hAnsi="Times New Roman"/>
          <w:color w:val="000000" w:themeColor="text1"/>
          <w:lang w:val="en-GB"/>
        </w:rPr>
        <w:t>other European countries.  Some French firms invested in offshore wind and successfully gained marke</w:t>
      </w:r>
      <w:r w:rsidR="00764387" w:rsidRPr="00393CB4">
        <w:rPr>
          <w:rFonts w:ascii="Times New Roman" w:hAnsi="Times New Roman"/>
          <w:color w:val="000000" w:themeColor="text1"/>
          <w:lang w:val="en-GB"/>
        </w:rPr>
        <w:t>t</w:t>
      </w:r>
      <w:r w:rsidRPr="00393CB4">
        <w:rPr>
          <w:rFonts w:ascii="Times New Roman" w:hAnsi="Times New Roman"/>
          <w:color w:val="000000" w:themeColor="text1"/>
          <w:lang w:val="en-GB"/>
        </w:rPr>
        <w:t xml:space="preserve"> positions but usually through global rather than home market opportunities.  Overall, these stifled formative cycles resulted in very low positive externalities.  </w:t>
      </w:r>
    </w:p>
    <w:p w14:paraId="2C71AA33" w14:textId="77777777" w:rsidR="00EC2C7D" w:rsidRPr="00393CB4" w:rsidRDefault="00EC2C7D" w:rsidP="00C161FF">
      <w:pPr>
        <w:jc w:val="both"/>
        <w:rPr>
          <w:rFonts w:ascii="Times New Roman" w:hAnsi="Times New Roman"/>
          <w:color w:val="000000" w:themeColor="text1"/>
          <w:lang w:val="en-GB"/>
        </w:rPr>
      </w:pPr>
      <w:r w:rsidRPr="00393CB4">
        <w:rPr>
          <w:rFonts w:ascii="Times New Roman" w:hAnsi="Times New Roman"/>
          <w:color w:val="000000" w:themeColor="text1"/>
          <w:lang w:val="en-GB"/>
        </w:rPr>
        <w:t>This means that when other European countries were going through complex and sometimes controversial formative cycles, the regions surrounding the Channel either dismissed the possibility of offshore wind power (the UK) or adopted a careful 'wait and see' approach (France), constraining these regions to being followers or laggards in the future, should the technology take off.</w:t>
      </w:r>
    </w:p>
    <w:p w14:paraId="1F9B3CB2" w14:textId="429B8ACA" w:rsidR="00EC2C7D" w:rsidRPr="00393CB4" w:rsidRDefault="00EC2C7D" w:rsidP="00C161FF">
      <w:pPr>
        <w:jc w:val="both"/>
        <w:rPr>
          <w:rFonts w:ascii="Times New Roman" w:hAnsi="Times New Roman"/>
          <w:color w:val="000000" w:themeColor="text1"/>
          <w:lang w:val="en-GB"/>
        </w:rPr>
      </w:pPr>
      <w:r w:rsidRPr="00393CB4">
        <w:rPr>
          <w:rFonts w:ascii="Times New Roman" w:hAnsi="Times New Roman"/>
          <w:color w:val="000000" w:themeColor="text1"/>
          <w:lang w:val="en-GB"/>
        </w:rPr>
        <w:lastRenderedPageBreak/>
        <w:t>T</w:t>
      </w:r>
      <w:r w:rsidR="00764387" w:rsidRPr="00393CB4">
        <w:rPr>
          <w:rFonts w:ascii="Times New Roman" w:hAnsi="Times New Roman"/>
          <w:color w:val="000000" w:themeColor="text1"/>
          <w:lang w:val="en-GB"/>
        </w:rPr>
        <w:t>he</w:t>
      </w:r>
      <w:r w:rsidRPr="00393CB4">
        <w:rPr>
          <w:rFonts w:ascii="Times New Roman" w:hAnsi="Times New Roman"/>
          <w:color w:val="000000" w:themeColor="text1"/>
          <w:lang w:val="en-GB"/>
        </w:rPr>
        <w:t xml:space="preserve"> </w:t>
      </w:r>
      <w:r w:rsidR="00764387" w:rsidRPr="00393CB4">
        <w:rPr>
          <w:rFonts w:ascii="Times New Roman" w:hAnsi="Times New Roman"/>
          <w:color w:val="000000" w:themeColor="text1"/>
          <w:lang w:val="en-GB"/>
        </w:rPr>
        <w:t xml:space="preserve">interest in MRE technologies changed </w:t>
      </w:r>
      <w:r w:rsidRPr="00393CB4">
        <w:rPr>
          <w:rFonts w:ascii="Times New Roman" w:hAnsi="Times New Roman"/>
          <w:color w:val="000000" w:themeColor="text1"/>
          <w:lang w:val="en-GB"/>
        </w:rPr>
        <w:t xml:space="preserve">recently when official government positions became shaped by Europe's commitment to carbon reduction.  When faced with carbon reduction targets, France and the UK are in very different positions.  The UK faces a genuine physical challenge due to its traditional portfolio of energy sources.  As </w:t>
      </w:r>
      <w:smartTag w:uri="urn:schemas-microsoft-com:office:smarttags" w:element="country-region">
        <w:smartTag w:uri="urn:schemas-microsoft-com:office:smarttags" w:element="place">
          <w:r w:rsidRPr="00393CB4">
            <w:rPr>
              <w:rFonts w:ascii="Times New Roman" w:hAnsi="Times New Roman"/>
              <w:color w:val="000000" w:themeColor="text1"/>
              <w:lang w:val="en-GB"/>
            </w:rPr>
            <w:t>France</w:t>
          </w:r>
        </w:smartTag>
      </w:smartTag>
      <w:r w:rsidRPr="00393CB4">
        <w:rPr>
          <w:rFonts w:ascii="Times New Roman" w:hAnsi="Times New Roman"/>
          <w:color w:val="000000" w:themeColor="text1"/>
          <w:lang w:val="en-GB"/>
        </w:rPr>
        <w:t xml:space="preserve"> relies heavily on nuclear power for its energy, carbon emissions are not as critical a problem.  Nevertheless, both show today a strong political will to invest in offshore wind.  The consequence of this sudden change of hearts </w:t>
      </w:r>
      <w:r w:rsidRPr="00393CB4">
        <w:rPr>
          <w:rFonts w:ascii="Times New Roman" w:hAnsi="Times New Roman"/>
          <w:i/>
          <w:color w:val="000000" w:themeColor="text1"/>
          <w:lang w:val="en-GB"/>
        </w:rPr>
        <w:t>vis à vis</w:t>
      </w:r>
      <w:r w:rsidRPr="00393CB4">
        <w:rPr>
          <w:rFonts w:ascii="Times New Roman" w:hAnsi="Times New Roman"/>
          <w:color w:val="000000" w:themeColor="text1"/>
          <w:lang w:val="en-GB"/>
        </w:rPr>
        <w:t xml:space="preserve"> offshore wind </w:t>
      </w:r>
      <w:r w:rsidR="00D73237">
        <w:rPr>
          <w:rFonts w:ascii="Times New Roman" w:hAnsi="Times New Roman"/>
          <w:color w:val="000000" w:themeColor="text1"/>
          <w:lang w:val="en-GB"/>
        </w:rPr>
        <w:t>is</w:t>
      </w:r>
      <w:r w:rsidRPr="00393CB4">
        <w:rPr>
          <w:rFonts w:ascii="Times New Roman" w:hAnsi="Times New Roman"/>
          <w:color w:val="000000" w:themeColor="text1"/>
          <w:lang w:val="en-GB"/>
        </w:rPr>
        <w:t xml:space="preserve"> national policies of idealisation.  In other words, regional decision makers that had learned to dismiss offshore wind as a source of energy for the future are suddenly told that they should demonstrate their engagement and commitment to offshore wind as one of the key technologies through which key national and supra-national targets will be attained.  This turnaround </w:t>
      </w:r>
      <w:r w:rsidR="00950D75" w:rsidRPr="00393CB4">
        <w:rPr>
          <w:rFonts w:ascii="Times New Roman" w:hAnsi="Times New Roman"/>
          <w:color w:val="000000" w:themeColor="text1"/>
          <w:lang w:val="en-GB"/>
        </w:rPr>
        <w:t>is not</w:t>
      </w:r>
      <w:r w:rsidRPr="00393CB4">
        <w:rPr>
          <w:rFonts w:ascii="Times New Roman" w:hAnsi="Times New Roman"/>
          <w:color w:val="000000" w:themeColor="text1"/>
          <w:lang w:val="en-GB"/>
        </w:rPr>
        <w:t xml:space="preserve"> possible without a strong marketing campaign</w:t>
      </w:r>
      <w:r w:rsidR="00764387" w:rsidRPr="00393CB4">
        <w:rPr>
          <w:rFonts w:ascii="Times New Roman" w:hAnsi="Times New Roman"/>
          <w:color w:val="000000" w:themeColor="text1"/>
          <w:lang w:val="en-GB"/>
        </w:rPr>
        <w:t xml:space="preserve"> and issuing directives</w:t>
      </w:r>
      <w:r w:rsidR="00A45044" w:rsidRPr="00393CB4">
        <w:rPr>
          <w:rFonts w:ascii="Times New Roman" w:hAnsi="Times New Roman"/>
          <w:color w:val="000000" w:themeColor="text1"/>
          <w:lang w:val="en-GB"/>
        </w:rPr>
        <w:t>, typically at central government level</w:t>
      </w:r>
      <w:r w:rsidRPr="00393CB4">
        <w:rPr>
          <w:rFonts w:ascii="Times New Roman" w:hAnsi="Times New Roman"/>
          <w:color w:val="000000" w:themeColor="text1"/>
          <w:lang w:val="en-GB"/>
        </w:rPr>
        <w:t xml:space="preserve">.  </w:t>
      </w:r>
      <w:r w:rsidR="00764387" w:rsidRPr="00393CB4">
        <w:rPr>
          <w:rFonts w:ascii="Times New Roman" w:hAnsi="Times New Roman"/>
          <w:color w:val="000000" w:themeColor="text1"/>
          <w:lang w:val="en-GB"/>
        </w:rPr>
        <w:t>The sometimes coercive nature of this ‘institutional push’ were observed i</w:t>
      </w:r>
      <w:r w:rsidRPr="00393CB4">
        <w:rPr>
          <w:rFonts w:ascii="Times New Roman" w:hAnsi="Times New Roman"/>
          <w:color w:val="000000" w:themeColor="text1"/>
          <w:lang w:val="en-GB"/>
        </w:rPr>
        <w:t>n the Channel-MOR project</w:t>
      </w:r>
      <w:r w:rsidR="00764387" w:rsidRPr="00393CB4">
        <w:rPr>
          <w:rFonts w:ascii="Times New Roman" w:hAnsi="Times New Roman"/>
          <w:color w:val="000000" w:themeColor="text1"/>
          <w:lang w:val="en-GB"/>
        </w:rPr>
        <w:t>, as for example when</w:t>
      </w:r>
      <w:r w:rsidRPr="00393CB4">
        <w:rPr>
          <w:rFonts w:ascii="Times New Roman" w:hAnsi="Times New Roman"/>
          <w:color w:val="000000" w:themeColor="text1"/>
          <w:lang w:val="en-GB"/>
        </w:rPr>
        <w:t xml:space="preserve"> one region refused to produce a scenario analysis on the grounds that it could not as a regional entity produce a view point which would </w:t>
      </w:r>
      <w:r w:rsidR="00950D75" w:rsidRPr="00393CB4">
        <w:rPr>
          <w:rFonts w:ascii="Times New Roman" w:hAnsi="Times New Roman"/>
          <w:color w:val="000000" w:themeColor="text1"/>
          <w:lang w:val="en-GB"/>
        </w:rPr>
        <w:t>differ from</w:t>
      </w:r>
      <w:r w:rsidRPr="00393CB4">
        <w:rPr>
          <w:rFonts w:ascii="Times New Roman" w:hAnsi="Times New Roman"/>
          <w:color w:val="000000" w:themeColor="text1"/>
          <w:lang w:val="en-GB"/>
        </w:rPr>
        <w:t xml:space="preserve"> national </w:t>
      </w:r>
      <w:r w:rsidR="00764387" w:rsidRPr="00393CB4">
        <w:rPr>
          <w:rFonts w:ascii="Times New Roman" w:hAnsi="Times New Roman"/>
          <w:color w:val="000000" w:themeColor="text1"/>
          <w:lang w:val="en-GB"/>
        </w:rPr>
        <w:t>directives</w:t>
      </w:r>
      <w:r w:rsidRPr="00393CB4">
        <w:rPr>
          <w:rFonts w:ascii="Times New Roman" w:hAnsi="Times New Roman"/>
          <w:color w:val="000000" w:themeColor="text1"/>
          <w:lang w:val="en-GB"/>
        </w:rPr>
        <w:t>.</w:t>
      </w:r>
    </w:p>
    <w:p w14:paraId="0FB376B5" w14:textId="75A60D09" w:rsidR="00EC2C7D" w:rsidRDefault="00A45044" w:rsidP="00C161FF">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The Channel-MOR project was composed of regions that had substantial experience with the MRE sector </w:t>
      </w:r>
      <w:r w:rsidR="00764387" w:rsidRPr="00393CB4">
        <w:rPr>
          <w:rFonts w:ascii="Times New Roman" w:hAnsi="Times New Roman"/>
          <w:color w:val="000000" w:themeColor="text1"/>
          <w:lang w:val="en-GB"/>
        </w:rPr>
        <w:t>and</w:t>
      </w:r>
      <w:r w:rsidRPr="00393CB4">
        <w:rPr>
          <w:rFonts w:ascii="Times New Roman" w:hAnsi="Times New Roman"/>
          <w:color w:val="000000" w:themeColor="text1"/>
          <w:lang w:val="en-GB"/>
        </w:rPr>
        <w:t xml:space="preserve"> regions that were new to the sector.  Experience was either practical (i.e. having operated wind farms for a few years or engaged with the sector) or prospective (i.e. through extensive strategic analysis prior to the Channel-MOR project). The extent of idealisation of a region (as measured by the differences </w:t>
      </w:r>
      <w:r w:rsidR="001E6A24" w:rsidRPr="00393CB4">
        <w:rPr>
          <w:rFonts w:ascii="Times New Roman" w:hAnsi="Times New Roman"/>
          <w:color w:val="000000" w:themeColor="text1"/>
          <w:lang w:val="en-GB"/>
        </w:rPr>
        <w:t xml:space="preserve">between the original and moderated </w:t>
      </w:r>
      <w:r w:rsidRPr="00393CB4">
        <w:rPr>
          <w:rFonts w:ascii="Times New Roman" w:hAnsi="Times New Roman"/>
          <w:color w:val="000000" w:themeColor="text1"/>
          <w:lang w:val="en-GB"/>
        </w:rPr>
        <w:t>position</w:t>
      </w:r>
      <w:r w:rsidR="001E6A24" w:rsidRPr="00393CB4">
        <w:rPr>
          <w:rFonts w:ascii="Times New Roman" w:hAnsi="Times New Roman"/>
          <w:color w:val="000000" w:themeColor="text1"/>
          <w:lang w:val="en-GB"/>
        </w:rPr>
        <w:t>s</w:t>
      </w:r>
      <w:r w:rsidRPr="00393CB4">
        <w:rPr>
          <w:rFonts w:ascii="Times New Roman" w:hAnsi="Times New Roman"/>
          <w:color w:val="000000" w:themeColor="text1"/>
          <w:lang w:val="en-GB"/>
        </w:rPr>
        <w:t xml:space="preserve"> in figure </w:t>
      </w:r>
      <w:r w:rsidR="00D73237">
        <w:rPr>
          <w:rFonts w:ascii="Times New Roman" w:hAnsi="Times New Roman"/>
          <w:color w:val="000000" w:themeColor="text1"/>
          <w:lang w:val="en-GB"/>
        </w:rPr>
        <w:t>3</w:t>
      </w:r>
      <w:r w:rsidRPr="00393CB4">
        <w:rPr>
          <w:rFonts w:ascii="Times New Roman" w:hAnsi="Times New Roman"/>
          <w:color w:val="000000" w:themeColor="text1"/>
          <w:lang w:val="en-GB"/>
        </w:rPr>
        <w:t xml:space="preserve">) and the realism of the scenario analysis were directly correlated to this level of previous experience.  Therefore, observations from the Channel-MOR project suggest that idealisation of MRE opportunities are created by the joint </w:t>
      </w:r>
      <w:r w:rsidR="001E6A24" w:rsidRPr="00393CB4">
        <w:rPr>
          <w:rFonts w:ascii="Times New Roman" w:hAnsi="Times New Roman"/>
          <w:color w:val="000000" w:themeColor="text1"/>
          <w:lang w:val="en-GB"/>
        </w:rPr>
        <w:t>effect of</w:t>
      </w:r>
      <w:r w:rsidRPr="00393CB4">
        <w:rPr>
          <w:rFonts w:ascii="Times New Roman" w:hAnsi="Times New Roman"/>
          <w:color w:val="000000" w:themeColor="text1"/>
          <w:lang w:val="en-GB"/>
        </w:rPr>
        <w:t xml:space="preserve"> very strong global/national marketing legitimisation campaigns and lack of experience.  In the terminology of the behavioural theory of the firm, many of the participating regions could not perform a backward looking experiential search (</w:t>
      </w:r>
      <w:proofErr w:type="spellStart"/>
      <w:r w:rsidRPr="00393CB4">
        <w:rPr>
          <w:rFonts w:ascii="Times New Roman" w:hAnsi="Times New Roman"/>
          <w:color w:val="000000" w:themeColor="text1"/>
          <w:lang w:val="en-GB"/>
        </w:rPr>
        <w:t>Gavetti</w:t>
      </w:r>
      <w:proofErr w:type="spellEnd"/>
      <w:r w:rsidRPr="00393CB4">
        <w:rPr>
          <w:rFonts w:ascii="Times New Roman" w:hAnsi="Times New Roman"/>
          <w:color w:val="000000" w:themeColor="text1"/>
          <w:lang w:val="en-GB"/>
        </w:rPr>
        <w:t xml:space="preserve"> and Levinthal, 2000) and instead contributed to the Channel-MOR project through cognitive searches solely informed by national policy directiv</w:t>
      </w:r>
      <w:r w:rsidR="00764387" w:rsidRPr="00393CB4">
        <w:rPr>
          <w:rFonts w:ascii="Times New Roman" w:hAnsi="Times New Roman"/>
          <w:color w:val="000000" w:themeColor="text1"/>
          <w:lang w:val="en-GB"/>
        </w:rPr>
        <w:t>es</w:t>
      </w:r>
      <w:r w:rsidRPr="00393CB4">
        <w:rPr>
          <w:rFonts w:ascii="Times New Roman" w:hAnsi="Times New Roman"/>
          <w:color w:val="000000" w:themeColor="text1"/>
          <w:lang w:val="en-GB"/>
        </w:rPr>
        <w:t>.</w:t>
      </w:r>
    </w:p>
    <w:p w14:paraId="3C511B65" w14:textId="77777777" w:rsidR="006B536E" w:rsidRPr="00393CB4" w:rsidRDefault="006B536E" w:rsidP="00C161FF">
      <w:pPr>
        <w:jc w:val="both"/>
        <w:rPr>
          <w:rFonts w:ascii="Times New Roman" w:hAnsi="Times New Roman"/>
          <w:color w:val="000000" w:themeColor="text1"/>
          <w:lang w:val="en-GB"/>
        </w:rPr>
      </w:pPr>
    </w:p>
    <w:p w14:paraId="76620E4D" w14:textId="3B807106" w:rsidR="00E37A8C" w:rsidRPr="00393CB4" w:rsidRDefault="00D21C58" w:rsidP="00E37A8C">
      <w:pPr>
        <w:pStyle w:val="Heading2"/>
        <w:rPr>
          <w:rFonts w:ascii="Times New Roman" w:hAnsi="Times New Roman"/>
          <w:color w:val="000000" w:themeColor="text1"/>
          <w:lang w:val="en-GB"/>
        </w:rPr>
      </w:pPr>
      <w:r w:rsidRPr="00393CB4">
        <w:rPr>
          <w:rFonts w:ascii="Times New Roman" w:hAnsi="Times New Roman"/>
          <w:color w:val="000000" w:themeColor="text1"/>
          <w:lang w:val="en-GB"/>
        </w:rPr>
        <w:lastRenderedPageBreak/>
        <w:t>4</w:t>
      </w:r>
      <w:r w:rsidR="00A256D1" w:rsidRPr="00393CB4">
        <w:rPr>
          <w:rFonts w:ascii="Times New Roman" w:hAnsi="Times New Roman"/>
          <w:color w:val="000000" w:themeColor="text1"/>
          <w:lang w:val="en-GB"/>
        </w:rPr>
        <w:t>.2.5</w:t>
      </w:r>
      <w:r w:rsidR="00E37A8C" w:rsidRPr="00393CB4">
        <w:rPr>
          <w:rFonts w:ascii="Times New Roman" w:hAnsi="Times New Roman"/>
          <w:color w:val="000000" w:themeColor="text1"/>
          <w:lang w:val="en-GB"/>
        </w:rPr>
        <w:t>. I</w:t>
      </w:r>
      <w:r w:rsidRPr="00393CB4">
        <w:rPr>
          <w:rFonts w:ascii="Times New Roman" w:hAnsi="Times New Roman"/>
          <w:color w:val="000000" w:themeColor="text1"/>
          <w:lang w:val="en-GB"/>
        </w:rPr>
        <w:t>mpact of I</w:t>
      </w:r>
      <w:r w:rsidR="00E37A8C" w:rsidRPr="00393CB4">
        <w:rPr>
          <w:rFonts w:ascii="Times New Roman" w:hAnsi="Times New Roman"/>
          <w:color w:val="000000" w:themeColor="text1"/>
          <w:lang w:val="en-GB"/>
        </w:rPr>
        <w:t>dealisation</w:t>
      </w:r>
      <w:r w:rsidRPr="00393CB4">
        <w:rPr>
          <w:rFonts w:ascii="Times New Roman" w:hAnsi="Times New Roman"/>
          <w:color w:val="000000" w:themeColor="text1"/>
          <w:lang w:val="en-GB"/>
        </w:rPr>
        <w:t xml:space="preserve">: </w:t>
      </w:r>
      <w:r w:rsidR="00E37A8C" w:rsidRPr="00393CB4">
        <w:rPr>
          <w:rFonts w:ascii="Times New Roman" w:hAnsi="Times New Roman"/>
          <w:color w:val="000000" w:themeColor="text1"/>
          <w:lang w:val="en-GB"/>
        </w:rPr>
        <w:t>Search Vulnerability</w:t>
      </w:r>
    </w:p>
    <w:p w14:paraId="0FEED281" w14:textId="6FB3DCD2" w:rsidR="00F364DA" w:rsidRPr="00393CB4" w:rsidRDefault="00F364DA" w:rsidP="00764387">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As previously mentioned, the direction of search </w:t>
      </w:r>
      <w:r w:rsidR="00764387" w:rsidRPr="00393CB4">
        <w:rPr>
          <w:rFonts w:ascii="Times New Roman" w:hAnsi="Times New Roman"/>
          <w:color w:val="000000" w:themeColor="text1"/>
          <w:lang w:val="en-GB"/>
        </w:rPr>
        <w:t xml:space="preserve">selected </w:t>
      </w:r>
      <w:r w:rsidRPr="00393CB4">
        <w:rPr>
          <w:rFonts w:ascii="Times New Roman" w:hAnsi="Times New Roman"/>
          <w:color w:val="000000" w:themeColor="text1"/>
          <w:lang w:val="en-GB"/>
        </w:rPr>
        <w:t xml:space="preserve">by a region is </w:t>
      </w:r>
      <w:r w:rsidR="00764387" w:rsidRPr="00393CB4">
        <w:rPr>
          <w:rFonts w:ascii="Times New Roman" w:hAnsi="Times New Roman"/>
          <w:color w:val="000000" w:themeColor="text1"/>
          <w:lang w:val="en-GB"/>
        </w:rPr>
        <w:t xml:space="preserve">often </w:t>
      </w:r>
      <w:r w:rsidRPr="00393CB4">
        <w:rPr>
          <w:rFonts w:ascii="Times New Roman" w:hAnsi="Times New Roman"/>
          <w:color w:val="000000" w:themeColor="text1"/>
          <w:lang w:val="en-GB"/>
        </w:rPr>
        <w:t xml:space="preserve">strongly influenced by clustering and technology specific coalitions resulting in a gold rush mentality.  This is fuelled by the classic success stories of German and Scandinavian regions that has followed this exact pattern and are </w:t>
      </w:r>
      <w:r w:rsidR="00764387" w:rsidRPr="00393CB4">
        <w:rPr>
          <w:rFonts w:ascii="Times New Roman" w:hAnsi="Times New Roman"/>
          <w:color w:val="000000" w:themeColor="text1"/>
          <w:lang w:val="en-GB"/>
        </w:rPr>
        <w:t>now</w:t>
      </w:r>
      <w:r w:rsidRPr="00393CB4">
        <w:rPr>
          <w:rFonts w:ascii="Times New Roman" w:hAnsi="Times New Roman"/>
          <w:color w:val="000000" w:themeColor="text1"/>
          <w:lang w:val="en-GB"/>
        </w:rPr>
        <w:t xml:space="preserve"> at a stage of their business models where they </w:t>
      </w:r>
      <w:r w:rsidR="00764387" w:rsidRPr="00393CB4">
        <w:rPr>
          <w:rFonts w:ascii="Times New Roman" w:hAnsi="Times New Roman"/>
          <w:color w:val="000000" w:themeColor="text1"/>
          <w:lang w:val="en-GB"/>
        </w:rPr>
        <w:t xml:space="preserve">can achieve an optimal trade-off between </w:t>
      </w:r>
      <w:r w:rsidRPr="00393CB4">
        <w:rPr>
          <w:rFonts w:ascii="Times New Roman" w:hAnsi="Times New Roman"/>
          <w:color w:val="000000" w:themeColor="text1"/>
          <w:lang w:val="en-GB"/>
        </w:rPr>
        <w:t xml:space="preserve">exploitation with </w:t>
      </w:r>
      <w:r w:rsidR="003A6BB0" w:rsidRPr="00393CB4">
        <w:rPr>
          <w:rFonts w:ascii="Times New Roman" w:hAnsi="Times New Roman"/>
          <w:color w:val="000000" w:themeColor="text1"/>
          <w:lang w:val="en-GB"/>
        </w:rPr>
        <w:t>exploration</w:t>
      </w:r>
      <w:r w:rsidR="00764387" w:rsidRPr="00393CB4">
        <w:rPr>
          <w:rFonts w:ascii="Times New Roman" w:hAnsi="Times New Roman"/>
          <w:color w:val="000000" w:themeColor="text1"/>
          <w:lang w:val="en-GB"/>
        </w:rPr>
        <w:t xml:space="preserve"> (March, 1991)</w:t>
      </w:r>
      <w:r w:rsidR="003A6BB0" w:rsidRPr="00393CB4">
        <w:rPr>
          <w:rFonts w:ascii="Times New Roman" w:hAnsi="Times New Roman"/>
          <w:color w:val="000000" w:themeColor="text1"/>
          <w:lang w:val="en-GB"/>
        </w:rPr>
        <w:t xml:space="preserve">.  In the face of uncertainty, one would expect decision makers to select a direction of search </w:t>
      </w:r>
      <w:r w:rsidR="00137FC0" w:rsidRPr="00393CB4">
        <w:rPr>
          <w:rFonts w:ascii="Times New Roman" w:hAnsi="Times New Roman"/>
          <w:color w:val="000000" w:themeColor="text1"/>
          <w:lang w:val="en-GB"/>
        </w:rPr>
        <w:t xml:space="preserve">very </w:t>
      </w:r>
      <w:r w:rsidR="003A6BB0" w:rsidRPr="00393CB4">
        <w:rPr>
          <w:rFonts w:ascii="Times New Roman" w:hAnsi="Times New Roman"/>
          <w:color w:val="000000" w:themeColor="text1"/>
          <w:lang w:val="en-GB"/>
        </w:rPr>
        <w:t xml:space="preserve">carefully.  Figure </w:t>
      </w:r>
      <w:r w:rsidR="00F437C4" w:rsidRPr="00393CB4">
        <w:rPr>
          <w:rFonts w:ascii="Times New Roman" w:hAnsi="Times New Roman"/>
          <w:color w:val="000000" w:themeColor="text1"/>
          <w:lang w:val="en-GB"/>
        </w:rPr>
        <w:t>5</w:t>
      </w:r>
      <w:r w:rsidR="003A6BB0" w:rsidRPr="00393CB4">
        <w:rPr>
          <w:rFonts w:ascii="Times New Roman" w:hAnsi="Times New Roman"/>
          <w:color w:val="000000" w:themeColor="text1"/>
          <w:lang w:val="en-GB"/>
        </w:rPr>
        <w:t xml:space="preserve"> illustrates the three feasible directions of searches that a </w:t>
      </w:r>
      <w:r w:rsidR="00764387" w:rsidRPr="00393CB4">
        <w:rPr>
          <w:rFonts w:ascii="Times New Roman" w:hAnsi="Times New Roman"/>
          <w:color w:val="000000" w:themeColor="text1"/>
          <w:lang w:val="en-GB"/>
        </w:rPr>
        <w:t>rational actor</w:t>
      </w:r>
      <w:r w:rsidR="003A6BB0" w:rsidRPr="00393CB4">
        <w:rPr>
          <w:rFonts w:ascii="Times New Roman" w:hAnsi="Times New Roman"/>
          <w:color w:val="000000" w:themeColor="text1"/>
          <w:lang w:val="en-GB"/>
        </w:rPr>
        <w:t xml:space="preserve"> </w:t>
      </w:r>
      <w:r w:rsidR="00764387" w:rsidRPr="00393CB4">
        <w:rPr>
          <w:rFonts w:ascii="Times New Roman" w:hAnsi="Times New Roman"/>
          <w:color w:val="000000" w:themeColor="text1"/>
          <w:lang w:val="en-GB"/>
        </w:rPr>
        <w:t>c</w:t>
      </w:r>
      <w:r w:rsidR="003A6BB0" w:rsidRPr="00393CB4">
        <w:rPr>
          <w:rFonts w:ascii="Times New Roman" w:hAnsi="Times New Roman"/>
          <w:color w:val="000000" w:themeColor="text1"/>
          <w:lang w:val="en-GB"/>
        </w:rPr>
        <w:t>ould possibly consider.</w:t>
      </w:r>
    </w:p>
    <w:p w14:paraId="513E18C8" w14:textId="0DF5E9EB" w:rsidR="003A6BB0" w:rsidRPr="00393CB4" w:rsidRDefault="003E1CA5" w:rsidP="00764387">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The first direction of search to escape the ST quadrant is to seek a joint venture to diversify into a line of product or service which will later offer opportunities for substantial growth.  This first direction of search is based on the direct application of strategic management and Christensen’s </w:t>
      </w:r>
      <w:r w:rsidR="00DE333A" w:rsidRPr="00393CB4">
        <w:rPr>
          <w:rFonts w:ascii="Times New Roman" w:hAnsi="Times New Roman"/>
          <w:color w:val="000000" w:themeColor="text1"/>
          <w:lang w:val="en-GB"/>
        </w:rPr>
        <w:t>et al.</w:t>
      </w:r>
      <w:r w:rsidR="00AD4F5D" w:rsidRPr="00393CB4">
        <w:rPr>
          <w:rFonts w:ascii="Times New Roman" w:hAnsi="Times New Roman"/>
          <w:color w:val="000000" w:themeColor="text1"/>
          <w:lang w:val="en-GB"/>
        </w:rPr>
        <w:t xml:space="preserve"> </w:t>
      </w:r>
      <w:r w:rsidRPr="00393CB4">
        <w:rPr>
          <w:rFonts w:ascii="Times New Roman" w:hAnsi="Times New Roman"/>
          <w:color w:val="000000" w:themeColor="text1"/>
          <w:lang w:val="en-GB"/>
        </w:rPr>
        <w:t xml:space="preserve">(1976) grand strategy matrix framework. An example of this strategy is the </w:t>
      </w:r>
      <w:r w:rsidR="00764387" w:rsidRPr="00393CB4">
        <w:rPr>
          <w:rFonts w:ascii="Times New Roman" w:hAnsi="Times New Roman"/>
          <w:color w:val="000000" w:themeColor="text1"/>
          <w:lang w:val="en-GB"/>
        </w:rPr>
        <w:t xml:space="preserve">(now implemented) </w:t>
      </w:r>
      <w:r w:rsidRPr="00393CB4">
        <w:rPr>
          <w:rFonts w:ascii="Times New Roman" w:hAnsi="Times New Roman"/>
          <w:color w:val="000000" w:themeColor="text1"/>
          <w:lang w:val="en-GB"/>
        </w:rPr>
        <w:t>decision to merge the Kent and East of England Centre</w:t>
      </w:r>
      <w:r w:rsidR="00A876F5" w:rsidRPr="00393CB4">
        <w:rPr>
          <w:rFonts w:ascii="Times New Roman" w:hAnsi="Times New Roman"/>
          <w:color w:val="000000" w:themeColor="text1"/>
          <w:lang w:val="en-GB"/>
        </w:rPr>
        <w:t>s</w:t>
      </w:r>
      <w:r w:rsidRPr="00393CB4">
        <w:rPr>
          <w:rFonts w:ascii="Times New Roman" w:hAnsi="Times New Roman"/>
          <w:color w:val="000000" w:themeColor="text1"/>
          <w:lang w:val="en-GB"/>
        </w:rPr>
        <w:t xml:space="preserve"> </w:t>
      </w:r>
      <w:r w:rsidR="00A876F5" w:rsidRPr="00393CB4">
        <w:rPr>
          <w:rFonts w:ascii="Times New Roman" w:hAnsi="Times New Roman"/>
          <w:color w:val="000000" w:themeColor="text1"/>
          <w:lang w:val="en-GB"/>
        </w:rPr>
        <w:t>for R</w:t>
      </w:r>
      <w:r w:rsidRPr="00393CB4">
        <w:rPr>
          <w:rFonts w:ascii="Times New Roman" w:hAnsi="Times New Roman"/>
          <w:color w:val="000000" w:themeColor="text1"/>
          <w:lang w:val="en-GB"/>
        </w:rPr>
        <w:t xml:space="preserve">enewable </w:t>
      </w:r>
      <w:r w:rsidR="00A876F5" w:rsidRPr="00393CB4">
        <w:rPr>
          <w:rFonts w:ascii="Times New Roman" w:hAnsi="Times New Roman"/>
          <w:color w:val="000000" w:themeColor="text1"/>
          <w:lang w:val="en-GB"/>
        </w:rPr>
        <w:t>E</w:t>
      </w:r>
      <w:r w:rsidRPr="00393CB4">
        <w:rPr>
          <w:rFonts w:ascii="Times New Roman" w:hAnsi="Times New Roman"/>
          <w:color w:val="000000" w:themeColor="text1"/>
          <w:lang w:val="en-GB"/>
        </w:rPr>
        <w:t xml:space="preserve">nergy in order to provide a pathway out of the ST quadrant for </w:t>
      </w:r>
      <w:r w:rsidR="00764387" w:rsidRPr="00393CB4">
        <w:rPr>
          <w:rFonts w:ascii="Times New Roman" w:hAnsi="Times New Roman"/>
          <w:color w:val="000000" w:themeColor="text1"/>
          <w:lang w:val="en-GB"/>
        </w:rPr>
        <w:t xml:space="preserve">the </w:t>
      </w:r>
      <w:r w:rsidRPr="00393CB4">
        <w:rPr>
          <w:rFonts w:ascii="Times New Roman" w:hAnsi="Times New Roman"/>
          <w:color w:val="000000" w:themeColor="text1"/>
          <w:lang w:val="en-GB"/>
        </w:rPr>
        <w:t>Kent region.</w:t>
      </w:r>
    </w:p>
    <w:p w14:paraId="1667FA3D" w14:textId="1A24B03E" w:rsidR="00F364DA" w:rsidRPr="00393CB4" w:rsidRDefault="00F364DA" w:rsidP="00F364DA">
      <w:pPr>
        <w:jc w:val="center"/>
        <w:rPr>
          <w:rFonts w:ascii="Times New Roman" w:hAnsi="Times New Roman"/>
          <w:color w:val="000000" w:themeColor="text1"/>
          <w:u w:val="single"/>
        </w:rPr>
      </w:pPr>
      <w:r w:rsidRPr="00393CB4">
        <w:rPr>
          <w:rFonts w:ascii="Times New Roman" w:hAnsi="Times New Roman"/>
          <w:color w:val="000000" w:themeColor="text1"/>
        </w:rPr>
        <w:object w:dxaOrig="11880" w:dyaOrig="7208" w14:anchorId="644A6DED">
          <v:shape id="_x0000_i1028" type="#_x0000_t75" style="width:450.75pt;height:273.75pt" o:ole="">
            <v:imagedata r:id="rId17" o:title=""/>
          </v:shape>
          <o:OLEObject Type="Embed" ProgID="Visio.Drawing.11" ShapeID="_x0000_i1028" DrawAspect="Content" ObjectID="_1599325617" r:id="rId18"/>
        </w:object>
      </w:r>
      <w:r w:rsidRPr="00393CB4">
        <w:rPr>
          <w:rFonts w:ascii="Times New Roman" w:hAnsi="Times New Roman"/>
          <w:color w:val="000000" w:themeColor="text1"/>
          <w:u w:val="single"/>
        </w:rPr>
        <w:t xml:space="preserve">Figure </w:t>
      </w:r>
      <w:r w:rsidR="00F437C4" w:rsidRPr="00393CB4">
        <w:rPr>
          <w:rFonts w:ascii="Times New Roman" w:hAnsi="Times New Roman"/>
          <w:color w:val="000000" w:themeColor="text1"/>
          <w:u w:val="single"/>
        </w:rPr>
        <w:t>5</w:t>
      </w:r>
      <w:r w:rsidRPr="00393CB4">
        <w:rPr>
          <w:rFonts w:ascii="Times New Roman" w:hAnsi="Times New Roman"/>
          <w:color w:val="000000" w:themeColor="text1"/>
          <w:u w:val="single"/>
        </w:rPr>
        <w:t xml:space="preserve">. </w:t>
      </w:r>
      <w:r w:rsidR="0054674C" w:rsidRPr="00393CB4">
        <w:rPr>
          <w:rFonts w:ascii="Times New Roman" w:hAnsi="Times New Roman"/>
          <w:color w:val="000000" w:themeColor="text1"/>
          <w:u w:val="single"/>
        </w:rPr>
        <w:t>Available Directions of Search</w:t>
      </w:r>
    </w:p>
    <w:p w14:paraId="11E99EC5" w14:textId="53765323" w:rsidR="00A45044" w:rsidRPr="00393CB4" w:rsidRDefault="00204BCF" w:rsidP="0054674C">
      <w:pPr>
        <w:jc w:val="both"/>
        <w:rPr>
          <w:rFonts w:ascii="Times New Roman" w:hAnsi="Times New Roman"/>
          <w:color w:val="000000" w:themeColor="text1"/>
          <w:lang w:val="en-GB"/>
        </w:rPr>
      </w:pPr>
      <w:r w:rsidRPr="00393CB4">
        <w:rPr>
          <w:rFonts w:ascii="Times New Roman" w:hAnsi="Times New Roman"/>
          <w:color w:val="000000" w:themeColor="text1"/>
          <w:lang w:val="en-GB"/>
        </w:rPr>
        <w:lastRenderedPageBreak/>
        <w:t>The second direction of search i</w:t>
      </w:r>
      <w:r w:rsidR="008B6A59" w:rsidRPr="00393CB4">
        <w:rPr>
          <w:rFonts w:ascii="Times New Roman" w:hAnsi="Times New Roman"/>
          <w:color w:val="000000" w:themeColor="text1"/>
          <w:lang w:val="en-GB"/>
        </w:rPr>
        <w:t>n</w:t>
      </w:r>
      <w:r w:rsidRPr="00393CB4">
        <w:rPr>
          <w:rFonts w:ascii="Times New Roman" w:hAnsi="Times New Roman"/>
          <w:color w:val="000000" w:themeColor="text1"/>
          <w:lang w:val="en-GB"/>
        </w:rPr>
        <w:t xml:space="preserve"> figure </w:t>
      </w:r>
      <w:r w:rsidR="00F437C4" w:rsidRPr="00393CB4">
        <w:rPr>
          <w:rFonts w:ascii="Times New Roman" w:hAnsi="Times New Roman"/>
          <w:color w:val="000000" w:themeColor="text1"/>
          <w:lang w:val="en-GB"/>
        </w:rPr>
        <w:t>5</w:t>
      </w:r>
      <w:r w:rsidRPr="00393CB4">
        <w:rPr>
          <w:rFonts w:ascii="Times New Roman" w:hAnsi="Times New Roman"/>
          <w:color w:val="000000" w:themeColor="text1"/>
          <w:lang w:val="en-GB"/>
        </w:rPr>
        <w:t xml:space="preserve"> is based on the idea that it is possible to create a new industry sector by importing technologies through local content requirements (as for example through the Supply Chain Plan; DECC, 2014).  As the effectiveness of local content requirements is increasingly questioned by international economists (</w:t>
      </w:r>
      <w:proofErr w:type="spellStart"/>
      <w:r w:rsidRPr="00393CB4">
        <w:rPr>
          <w:rFonts w:ascii="Times New Roman" w:hAnsi="Times New Roman"/>
          <w:color w:val="000000" w:themeColor="text1"/>
          <w:lang w:val="en-GB"/>
        </w:rPr>
        <w:t>Hufbauer</w:t>
      </w:r>
      <w:proofErr w:type="spellEnd"/>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et al</w:t>
      </w:r>
      <w:r w:rsidRPr="00393CB4">
        <w:rPr>
          <w:rFonts w:ascii="Times New Roman" w:hAnsi="Times New Roman"/>
          <w:color w:val="000000" w:themeColor="text1"/>
          <w:lang w:val="en-GB"/>
        </w:rPr>
        <w:t>., 2013), and especially in the context of renewable energy markets (</w:t>
      </w:r>
      <w:proofErr w:type="spellStart"/>
      <w:r w:rsidRPr="00393CB4">
        <w:rPr>
          <w:rFonts w:ascii="Times New Roman" w:hAnsi="Times New Roman"/>
          <w:color w:val="000000" w:themeColor="text1"/>
          <w:lang w:val="en-GB"/>
        </w:rPr>
        <w:t>Kuntze</w:t>
      </w:r>
      <w:proofErr w:type="spellEnd"/>
      <w:r w:rsidRPr="00393CB4">
        <w:rPr>
          <w:rFonts w:ascii="Times New Roman" w:hAnsi="Times New Roman"/>
          <w:color w:val="000000" w:themeColor="text1"/>
          <w:lang w:val="en-GB"/>
        </w:rPr>
        <w:t xml:space="preserve"> and </w:t>
      </w:r>
      <w:proofErr w:type="spellStart"/>
      <w:r w:rsidRPr="00393CB4">
        <w:rPr>
          <w:rFonts w:ascii="Times New Roman" w:hAnsi="Times New Roman"/>
          <w:color w:val="000000" w:themeColor="text1"/>
          <w:lang w:val="en-GB"/>
        </w:rPr>
        <w:t>Moerenhout</w:t>
      </w:r>
      <w:proofErr w:type="spellEnd"/>
      <w:r w:rsidRPr="00393CB4">
        <w:rPr>
          <w:rFonts w:ascii="Times New Roman" w:hAnsi="Times New Roman"/>
          <w:color w:val="000000" w:themeColor="text1"/>
          <w:lang w:val="en-GB"/>
        </w:rPr>
        <w:t>, 2013), the feasibility of this approach is a contentious point.</w:t>
      </w:r>
    </w:p>
    <w:p w14:paraId="2CE61994" w14:textId="0B22239B" w:rsidR="00204BCF" w:rsidRPr="00393CB4" w:rsidRDefault="00204BCF" w:rsidP="0054674C">
      <w:pPr>
        <w:jc w:val="both"/>
        <w:rPr>
          <w:rFonts w:ascii="Times New Roman" w:hAnsi="Times New Roman"/>
          <w:color w:val="000000" w:themeColor="text1"/>
        </w:rPr>
      </w:pPr>
      <w:r w:rsidRPr="00393CB4">
        <w:rPr>
          <w:rFonts w:ascii="Times New Roman" w:hAnsi="Times New Roman"/>
          <w:color w:val="000000" w:themeColor="text1"/>
        </w:rPr>
        <w:t xml:space="preserve">The third direction of search is to more actively support TIS which are still in the formative stage (like tidal, wave, and floating wind energy) whilst the technologies and market are still not mature enough to provide sizable opportunities. In other words, this strategy is about investing in the development of a strength which will be used to </w:t>
      </w:r>
      <w:r w:rsidR="0054674C" w:rsidRPr="00393CB4">
        <w:rPr>
          <w:rFonts w:ascii="Times New Roman" w:hAnsi="Times New Roman"/>
          <w:color w:val="000000" w:themeColor="text1"/>
        </w:rPr>
        <w:t>seek growth</w:t>
      </w:r>
      <w:r w:rsidRPr="00393CB4">
        <w:rPr>
          <w:rFonts w:ascii="Times New Roman" w:hAnsi="Times New Roman"/>
          <w:color w:val="000000" w:themeColor="text1"/>
        </w:rPr>
        <w:t xml:space="preserve"> in a future market.</w:t>
      </w:r>
    </w:p>
    <w:p w14:paraId="61AFAD07" w14:textId="192C01FA" w:rsidR="00204BCF" w:rsidRPr="00393CB4" w:rsidRDefault="00204BCF" w:rsidP="0054674C">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Although some regions in the Channel-MOR project identified scenarios compatible with these directions of search, the majority of regions in the ST quadrant did not attempt to provide such narratives of transitioning from one quadrant to the other.  Instead they simply adopted the exploitative search narrative of existing first-mover regions, without acknowledging the risks and feasibility issues </w:t>
      </w:r>
      <w:r w:rsidR="00AD4F5D" w:rsidRPr="00393CB4">
        <w:rPr>
          <w:rFonts w:ascii="Times New Roman" w:hAnsi="Times New Roman"/>
          <w:color w:val="000000" w:themeColor="text1"/>
          <w:lang w:val="en-GB"/>
        </w:rPr>
        <w:t>arising from</w:t>
      </w:r>
      <w:r w:rsidRPr="00393CB4">
        <w:rPr>
          <w:rFonts w:ascii="Times New Roman" w:hAnsi="Times New Roman"/>
          <w:color w:val="000000" w:themeColor="text1"/>
          <w:lang w:val="en-GB"/>
        </w:rPr>
        <w:t xml:space="preserve"> </w:t>
      </w:r>
      <w:r w:rsidR="0054674C" w:rsidRPr="00393CB4">
        <w:rPr>
          <w:rFonts w:ascii="Times New Roman" w:hAnsi="Times New Roman"/>
          <w:color w:val="000000" w:themeColor="text1"/>
          <w:lang w:val="en-GB"/>
        </w:rPr>
        <w:t xml:space="preserve">attempting to </w:t>
      </w:r>
      <w:r w:rsidRPr="00393CB4">
        <w:rPr>
          <w:rFonts w:ascii="Times New Roman" w:hAnsi="Times New Roman"/>
          <w:color w:val="000000" w:themeColor="text1"/>
          <w:lang w:val="en-GB"/>
        </w:rPr>
        <w:t>compet</w:t>
      </w:r>
      <w:r w:rsidR="0054674C" w:rsidRPr="00393CB4">
        <w:rPr>
          <w:rFonts w:ascii="Times New Roman" w:hAnsi="Times New Roman"/>
          <w:color w:val="000000" w:themeColor="text1"/>
          <w:lang w:val="en-GB"/>
        </w:rPr>
        <w:t>e</w:t>
      </w:r>
      <w:r w:rsidRPr="00393CB4">
        <w:rPr>
          <w:rFonts w:ascii="Times New Roman" w:hAnsi="Times New Roman"/>
          <w:color w:val="000000" w:themeColor="text1"/>
          <w:lang w:val="en-GB"/>
        </w:rPr>
        <w:t xml:space="preserve"> head-on with established players</w:t>
      </w:r>
      <w:r w:rsidR="0054674C" w:rsidRPr="00393CB4">
        <w:rPr>
          <w:rFonts w:ascii="Times New Roman" w:hAnsi="Times New Roman"/>
          <w:color w:val="000000" w:themeColor="text1"/>
          <w:lang w:val="en-GB"/>
        </w:rPr>
        <w:t>, and this in the absence of technology know-how!</w:t>
      </w:r>
      <w:r w:rsidRPr="00393CB4">
        <w:rPr>
          <w:rFonts w:ascii="Times New Roman" w:hAnsi="Times New Roman"/>
          <w:color w:val="000000" w:themeColor="text1"/>
          <w:lang w:val="en-GB"/>
        </w:rPr>
        <w:t xml:space="preserve">  This is somewhat irrational and can only be explained by the proposition the idealisation </w:t>
      </w:r>
      <w:r w:rsidR="0054674C" w:rsidRPr="00393CB4">
        <w:rPr>
          <w:rFonts w:ascii="Times New Roman" w:hAnsi="Times New Roman"/>
          <w:color w:val="000000" w:themeColor="text1"/>
          <w:lang w:val="en-GB"/>
        </w:rPr>
        <w:t xml:space="preserve">negatively </w:t>
      </w:r>
      <w:r w:rsidRPr="00393CB4">
        <w:rPr>
          <w:rFonts w:ascii="Times New Roman" w:hAnsi="Times New Roman"/>
          <w:color w:val="000000" w:themeColor="text1"/>
          <w:lang w:val="en-GB"/>
        </w:rPr>
        <w:t>mediates the relationship between uncertainty and direction of search, and as such, represents a vulnerability in the ability of decision makers to identify a feasible direction of search.</w:t>
      </w:r>
    </w:p>
    <w:p w14:paraId="3678E8FD" w14:textId="634DD4D9" w:rsidR="00E37A8C" w:rsidRPr="00393CB4" w:rsidRDefault="00F437C4" w:rsidP="00E37A8C">
      <w:pPr>
        <w:pStyle w:val="Heading2"/>
        <w:rPr>
          <w:rFonts w:ascii="Times New Roman" w:hAnsi="Times New Roman"/>
          <w:color w:val="000000" w:themeColor="text1"/>
          <w:lang w:val="en-GB"/>
        </w:rPr>
      </w:pPr>
      <w:r w:rsidRPr="00393CB4">
        <w:rPr>
          <w:rFonts w:ascii="Times New Roman" w:hAnsi="Times New Roman"/>
          <w:color w:val="000000" w:themeColor="text1"/>
          <w:lang w:val="en-GB"/>
        </w:rPr>
        <w:t>4</w:t>
      </w:r>
      <w:r w:rsidR="00A256D1" w:rsidRPr="00393CB4">
        <w:rPr>
          <w:rFonts w:ascii="Times New Roman" w:hAnsi="Times New Roman"/>
          <w:color w:val="000000" w:themeColor="text1"/>
          <w:lang w:val="en-GB"/>
        </w:rPr>
        <w:t>.2.6</w:t>
      </w:r>
      <w:r w:rsidR="00E37A8C" w:rsidRPr="00393CB4">
        <w:rPr>
          <w:rFonts w:ascii="Times New Roman" w:hAnsi="Times New Roman"/>
          <w:color w:val="000000" w:themeColor="text1"/>
          <w:lang w:val="en-GB"/>
        </w:rPr>
        <w:t>. Regions immune to idealisation</w:t>
      </w:r>
    </w:p>
    <w:p w14:paraId="23EC996C" w14:textId="36966AF8" w:rsidR="00B27A09" w:rsidRPr="00393CB4" w:rsidRDefault="00B27A09" w:rsidP="0054674C">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The East of England has, like other UK regions considered in this paper, not benefited from a long formative cycle and </w:t>
      </w:r>
      <w:r w:rsidR="0054674C" w:rsidRPr="00393CB4">
        <w:rPr>
          <w:rFonts w:ascii="Times New Roman" w:hAnsi="Times New Roman"/>
          <w:color w:val="000000" w:themeColor="text1"/>
          <w:lang w:val="en-GB"/>
        </w:rPr>
        <w:t xml:space="preserve">could be argued to be more exposed to competition as it </w:t>
      </w:r>
      <w:r w:rsidRPr="00393CB4">
        <w:rPr>
          <w:rFonts w:ascii="Times New Roman" w:hAnsi="Times New Roman"/>
          <w:color w:val="000000" w:themeColor="text1"/>
          <w:lang w:val="en-GB"/>
        </w:rPr>
        <w:t xml:space="preserve">is in close proximity to North Sea-based clusters of equipment providers.  Applying the reasoning from the previous sections would lead to the conclusion that this region should end up in the ST quadrant of the grand strategy matrix in figure </w:t>
      </w:r>
      <w:r w:rsidR="00D73237">
        <w:rPr>
          <w:rFonts w:ascii="Times New Roman" w:hAnsi="Times New Roman"/>
          <w:color w:val="000000" w:themeColor="text1"/>
          <w:lang w:val="en-GB"/>
        </w:rPr>
        <w:t>3</w:t>
      </w:r>
      <w:r w:rsidRPr="00393CB4">
        <w:rPr>
          <w:rFonts w:ascii="Times New Roman" w:hAnsi="Times New Roman"/>
          <w:color w:val="000000" w:themeColor="text1"/>
          <w:lang w:val="en-GB"/>
        </w:rPr>
        <w:t xml:space="preserve">. This is not the case as it sits in the SO quadrant and is one of the </w:t>
      </w:r>
      <w:r w:rsidR="0054674C" w:rsidRPr="00393CB4">
        <w:rPr>
          <w:rFonts w:ascii="Times New Roman" w:hAnsi="Times New Roman"/>
          <w:color w:val="000000" w:themeColor="text1"/>
          <w:lang w:val="en-GB"/>
        </w:rPr>
        <w:t xml:space="preserve">only </w:t>
      </w:r>
      <w:r w:rsidRPr="00393CB4">
        <w:rPr>
          <w:rFonts w:ascii="Times New Roman" w:hAnsi="Times New Roman"/>
          <w:color w:val="000000" w:themeColor="text1"/>
          <w:lang w:val="en-GB"/>
        </w:rPr>
        <w:t>two regions that provided an accurate assessment of their strategic position</w:t>
      </w:r>
      <w:r w:rsidR="00AD4F5D" w:rsidRPr="00393CB4">
        <w:rPr>
          <w:rFonts w:ascii="Times New Roman" w:hAnsi="Times New Roman"/>
          <w:color w:val="000000" w:themeColor="text1"/>
          <w:lang w:val="en-GB"/>
        </w:rPr>
        <w:t xml:space="preserve"> from the outset</w:t>
      </w:r>
      <w:r w:rsidRPr="00393CB4">
        <w:rPr>
          <w:rFonts w:ascii="Times New Roman" w:hAnsi="Times New Roman"/>
          <w:color w:val="000000" w:themeColor="text1"/>
          <w:lang w:val="en-GB"/>
        </w:rPr>
        <w:t>.  There are three reasons explaining this ‘immunity to idealisation’:</w:t>
      </w:r>
    </w:p>
    <w:p w14:paraId="46C6947C" w14:textId="4A7B184A" w:rsidR="00B27A09" w:rsidRPr="00393CB4" w:rsidRDefault="00B27A09" w:rsidP="0054674C">
      <w:pPr>
        <w:pStyle w:val="ListParagraph"/>
        <w:numPr>
          <w:ilvl w:val="0"/>
          <w:numId w:val="11"/>
        </w:numPr>
        <w:jc w:val="both"/>
        <w:rPr>
          <w:rFonts w:ascii="Times New Roman" w:hAnsi="Times New Roman"/>
          <w:color w:val="000000" w:themeColor="text1"/>
          <w:lang w:val="en-GB"/>
        </w:rPr>
      </w:pPr>
      <w:r w:rsidRPr="00393CB4">
        <w:rPr>
          <w:rFonts w:ascii="Times New Roman" w:hAnsi="Times New Roman"/>
          <w:color w:val="000000" w:themeColor="text1"/>
          <w:u w:val="single"/>
          <w:lang w:val="en-GB"/>
        </w:rPr>
        <w:lastRenderedPageBreak/>
        <w:t>Absorptive capacity</w:t>
      </w:r>
      <w:r w:rsidRPr="00393CB4">
        <w:rPr>
          <w:rFonts w:ascii="Times New Roman" w:hAnsi="Times New Roman"/>
          <w:color w:val="000000" w:themeColor="text1"/>
          <w:lang w:val="en-GB"/>
        </w:rPr>
        <w:t xml:space="preserve">: The East of England region has a long-standing experience in offshore work with the oil and gas sector.  This provides the region with the absorptive capacity (Cohen and Levinthal, 1990) which is needed to support knowledge development in the formative stage of a TIS (Bento and Fontes, 2015).  </w:t>
      </w:r>
    </w:p>
    <w:p w14:paraId="4B3B2121" w14:textId="2C48C982" w:rsidR="00B27A09" w:rsidRPr="00393CB4" w:rsidRDefault="00B27A09" w:rsidP="0054674C">
      <w:pPr>
        <w:pStyle w:val="ListParagraph"/>
        <w:numPr>
          <w:ilvl w:val="0"/>
          <w:numId w:val="11"/>
        </w:numPr>
        <w:jc w:val="both"/>
        <w:rPr>
          <w:rFonts w:ascii="Times New Roman" w:hAnsi="Times New Roman"/>
          <w:color w:val="000000" w:themeColor="text1"/>
          <w:lang w:val="en-GB"/>
        </w:rPr>
      </w:pPr>
      <w:r w:rsidRPr="00393CB4">
        <w:rPr>
          <w:rFonts w:ascii="Times New Roman" w:hAnsi="Times New Roman"/>
          <w:color w:val="000000" w:themeColor="text1"/>
          <w:u w:val="single"/>
          <w:lang w:val="en-GB"/>
        </w:rPr>
        <w:t>A service focus</w:t>
      </w:r>
      <w:r w:rsidRPr="00393CB4">
        <w:rPr>
          <w:rFonts w:ascii="Times New Roman" w:hAnsi="Times New Roman"/>
          <w:color w:val="000000" w:themeColor="text1"/>
          <w:lang w:val="en-GB"/>
        </w:rPr>
        <w:t xml:space="preserve">:   Experience in the oil and gas sector does not allow the region to compete with turbine or cable manufacturers.  Instead, the region has developed its capability to provide services to the renewable energy sector, when these services intersect with their knowledge base.  This has been the case of many </w:t>
      </w:r>
      <w:r w:rsidR="0054674C" w:rsidRPr="00393CB4">
        <w:rPr>
          <w:rFonts w:ascii="Times New Roman" w:hAnsi="Times New Roman"/>
          <w:color w:val="000000" w:themeColor="text1"/>
          <w:lang w:val="en-GB"/>
        </w:rPr>
        <w:t>SMEs</w:t>
      </w:r>
      <w:r w:rsidRPr="00393CB4">
        <w:rPr>
          <w:rFonts w:ascii="Times New Roman" w:hAnsi="Times New Roman"/>
          <w:color w:val="000000" w:themeColor="text1"/>
          <w:lang w:val="en-GB"/>
        </w:rPr>
        <w:t xml:space="preserve"> </w:t>
      </w:r>
      <w:r w:rsidR="0054674C" w:rsidRPr="00393CB4">
        <w:rPr>
          <w:rFonts w:ascii="Times New Roman" w:hAnsi="Times New Roman"/>
          <w:color w:val="000000" w:themeColor="text1"/>
          <w:lang w:val="en-GB"/>
        </w:rPr>
        <w:t xml:space="preserve">originally </w:t>
      </w:r>
      <w:r w:rsidRPr="00393CB4">
        <w:rPr>
          <w:rFonts w:ascii="Times New Roman" w:hAnsi="Times New Roman"/>
          <w:color w:val="000000" w:themeColor="text1"/>
          <w:lang w:val="en-GB"/>
        </w:rPr>
        <w:t xml:space="preserve">operating in the oil and gas sector that have managed to rapidly become global players in the MRE sector.    </w:t>
      </w:r>
    </w:p>
    <w:p w14:paraId="3672BECA" w14:textId="0BDC026A" w:rsidR="00B27A09" w:rsidRPr="00393CB4" w:rsidRDefault="00B27A09" w:rsidP="0054674C">
      <w:pPr>
        <w:pStyle w:val="ListParagraph"/>
        <w:numPr>
          <w:ilvl w:val="0"/>
          <w:numId w:val="11"/>
        </w:numPr>
        <w:jc w:val="both"/>
        <w:rPr>
          <w:rFonts w:ascii="Times New Roman" w:hAnsi="Times New Roman"/>
          <w:color w:val="000000" w:themeColor="text1"/>
          <w:lang w:val="en-GB"/>
        </w:rPr>
      </w:pPr>
      <w:r w:rsidRPr="00393CB4">
        <w:rPr>
          <w:rFonts w:ascii="Times New Roman" w:hAnsi="Times New Roman"/>
          <w:color w:val="000000" w:themeColor="text1"/>
          <w:u w:val="single"/>
          <w:lang w:val="en-GB"/>
        </w:rPr>
        <w:t>An All Energy vision</w:t>
      </w:r>
      <w:r w:rsidRPr="00393CB4">
        <w:rPr>
          <w:rFonts w:ascii="Times New Roman" w:hAnsi="Times New Roman"/>
          <w:color w:val="000000" w:themeColor="text1"/>
          <w:lang w:val="en-GB"/>
        </w:rPr>
        <w:t xml:space="preserve">:  A striking feature of the East of England region is its level of engagement with the national energy sector.  The East of England has always been a key region in the electricity generation landscape </w:t>
      </w:r>
      <w:r w:rsidR="0054674C" w:rsidRPr="00393CB4">
        <w:rPr>
          <w:rFonts w:ascii="Times New Roman" w:hAnsi="Times New Roman"/>
          <w:color w:val="000000" w:themeColor="text1"/>
          <w:lang w:val="en-GB"/>
        </w:rPr>
        <w:t>of</w:t>
      </w:r>
      <w:r w:rsidRPr="00393CB4">
        <w:rPr>
          <w:rFonts w:ascii="Times New Roman" w:hAnsi="Times New Roman"/>
          <w:color w:val="000000" w:themeColor="text1"/>
          <w:lang w:val="en-GB"/>
        </w:rPr>
        <w:t xml:space="preserve"> the UK.  The region's involvement with the energy sector is also catalysed through the very active East of England Energy Group (EEEGR).  This interest group organises information and discussion events on a regular basis and has been a shaping force of knowledge development in the formative stages of a differentiated TIS.  For example, the region is currently gaining experience in the decommissioning of oil and gas platforms and is fully aware that this experience will allow them to compete in the decommissioning of wind farms when the time comes.   The direction of search of EEEGR also includes the future role of storage, carbon capture, but also the future of traditional sources including nuclear energy.  This 'all energy' vision contrasts with that of other regions in our sample, where the planning focus remain</w:t>
      </w:r>
      <w:r w:rsidR="00AD4F5D" w:rsidRPr="00393CB4">
        <w:rPr>
          <w:rFonts w:ascii="Times New Roman" w:hAnsi="Times New Roman"/>
          <w:color w:val="000000" w:themeColor="text1"/>
          <w:lang w:val="en-GB"/>
        </w:rPr>
        <w:t>ed</w:t>
      </w:r>
      <w:r w:rsidRPr="00393CB4">
        <w:rPr>
          <w:rFonts w:ascii="Times New Roman" w:hAnsi="Times New Roman"/>
          <w:color w:val="000000" w:themeColor="text1"/>
          <w:lang w:val="en-GB"/>
        </w:rPr>
        <w:t xml:space="preserve"> on renewable energy only.</w:t>
      </w:r>
    </w:p>
    <w:p w14:paraId="4BA388B6" w14:textId="0B7A7CA7" w:rsidR="00E37A8C" w:rsidRPr="00393CB4" w:rsidRDefault="00F437C4" w:rsidP="00E37A8C">
      <w:pPr>
        <w:pStyle w:val="Heading2"/>
        <w:rPr>
          <w:rFonts w:ascii="Times New Roman" w:hAnsi="Times New Roman"/>
          <w:color w:val="000000" w:themeColor="text1"/>
          <w:lang w:val="en-GB"/>
        </w:rPr>
      </w:pPr>
      <w:r w:rsidRPr="00393CB4">
        <w:rPr>
          <w:rFonts w:ascii="Times New Roman" w:hAnsi="Times New Roman"/>
          <w:color w:val="000000" w:themeColor="text1"/>
          <w:lang w:val="en-GB"/>
        </w:rPr>
        <w:t>4</w:t>
      </w:r>
      <w:r w:rsidR="00A256D1" w:rsidRPr="00393CB4">
        <w:rPr>
          <w:rFonts w:ascii="Times New Roman" w:hAnsi="Times New Roman"/>
          <w:color w:val="000000" w:themeColor="text1"/>
          <w:lang w:val="en-GB"/>
        </w:rPr>
        <w:t>.3</w:t>
      </w:r>
      <w:r w:rsidR="00E37A8C" w:rsidRPr="00393CB4">
        <w:rPr>
          <w:rFonts w:ascii="Times New Roman" w:hAnsi="Times New Roman"/>
          <w:color w:val="000000" w:themeColor="text1"/>
          <w:lang w:val="en-GB"/>
        </w:rPr>
        <w:t>. Propositions</w:t>
      </w:r>
    </w:p>
    <w:p w14:paraId="231BB86D" w14:textId="23CFC314" w:rsidR="00A2654F" w:rsidRPr="00393CB4" w:rsidRDefault="00A2654F" w:rsidP="0054674C">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Figure </w:t>
      </w:r>
      <w:r w:rsidR="00F437C4" w:rsidRPr="00393CB4">
        <w:rPr>
          <w:rFonts w:ascii="Times New Roman" w:hAnsi="Times New Roman"/>
          <w:color w:val="000000" w:themeColor="text1"/>
          <w:lang w:val="en-GB"/>
        </w:rPr>
        <w:t>6</w:t>
      </w:r>
      <w:r w:rsidRPr="00393CB4">
        <w:rPr>
          <w:rFonts w:ascii="Times New Roman" w:hAnsi="Times New Roman"/>
          <w:color w:val="000000" w:themeColor="text1"/>
          <w:lang w:val="en-GB"/>
        </w:rPr>
        <w:t xml:space="preserve"> summarises the contextual explanations developed in this paper.  It shows that in the renewable energy sector, a number of factors (regional mandate, national policy directives) and coalitions make regional planning decisions pertaining to renewable energy particularly complex and subject to uncertainty.  Uncertainty is not only </w:t>
      </w:r>
      <w:r w:rsidR="00EA7175" w:rsidRPr="00393CB4">
        <w:rPr>
          <w:rFonts w:ascii="Times New Roman" w:hAnsi="Times New Roman"/>
          <w:color w:val="000000" w:themeColor="text1"/>
          <w:lang w:val="en-GB"/>
        </w:rPr>
        <w:t xml:space="preserve">an issue </w:t>
      </w:r>
      <w:r w:rsidRPr="00393CB4">
        <w:rPr>
          <w:rFonts w:ascii="Times New Roman" w:hAnsi="Times New Roman"/>
          <w:color w:val="000000" w:themeColor="text1"/>
          <w:lang w:val="en-GB"/>
        </w:rPr>
        <w:t xml:space="preserve">in terms of the type of technology and projects </w:t>
      </w:r>
      <w:r w:rsidRPr="00393CB4">
        <w:rPr>
          <w:rFonts w:ascii="Times New Roman" w:hAnsi="Times New Roman"/>
          <w:color w:val="000000" w:themeColor="text1"/>
          <w:lang w:val="en-GB"/>
        </w:rPr>
        <w:lastRenderedPageBreak/>
        <w:t xml:space="preserve">to support but also in terms of local/global </w:t>
      </w:r>
      <w:r w:rsidR="00A44C41" w:rsidRPr="00393CB4">
        <w:rPr>
          <w:rFonts w:ascii="Times New Roman" w:hAnsi="Times New Roman"/>
          <w:color w:val="000000" w:themeColor="text1"/>
          <w:lang w:val="en-GB"/>
        </w:rPr>
        <w:t>scoping</w:t>
      </w:r>
      <w:r w:rsidRPr="00393CB4">
        <w:rPr>
          <w:rFonts w:ascii="Times New Roman" w:hAnsi="Times New Roman"/>
          <w:color w:val="000000" w:themeColor="text1"/>
          <w:lang w:val="en-GB"/>
        </w:rPr>
        <w:t xml:space="preserve"> of economic efforts.  This double uncertainty affects the identification of suitable search directions through which regions can make the most out of renewable energy opportunities and participate in energy transition</w:t>
      </w:r>
      <w:r w:rsidR="0054674C" w:rsidRPr="00393CB4">
        <w:rPr>
          <w:rFonts w:ascii="Times New Roman" w:hAnsi="Times New Roman"/>
          <w:color w:val="000000" w:themeColor="text1"/>
          <w:lang w:val="en-GB"/>
        </w:rPr>
        <w:t>s</w:t>
      </w:r>
      <w:r w:rsidRPr="00393CB4">
        <w:rPr>
          <w:rFonts w:ascii="Times New Roman" w:hAnsi="Times New Roman"/>
          <w:color w:val="000000" w:themeColor="text1"/>
          <w:lang w:val="en-GB"/>
        </w:rPr>
        <w:t xml:space="preserve">.  </w:t>
      </w:r>
    </w:p>
    <w:p w14:paraId="5ECB27AD" w14:textId="6AF7C001" w:rsidR="00A2654F" w:rsidRPr="00393CB4" w:rsidRDefault="00A2654F" w:rsidP="0054674C">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Very strong national and international programmes that legitimise technology directions through strong marketing and policy-based institutional push create, when combined with a lack of an experiential basis, a vulnerability that mediates negatively the ability to overcome uncertainty and identify a suitable and robust direction of search.  This blocks the identification of explorative regional directions of search that </w:t>
      </w:r>
      <w:r w:rsidR="0054674C" w:rsidRPr="00393CB4">
        <w:rPr>
          <w:rFonts w:ascii="Times New Roman" w:hAnsi="Times New Roman"/>
          <w:color w:val="000000" w:themeColor="text1"/>
          <w:lang w:val="en-GB"/>
        </w:rPr>
        <w:t>c</w:t>
      </w:r>
      <w:r w:rsidRPr="00393CB4">
        <w:rPr>
          <w:rFonts w:ascii="Times New Roman" w:hAnsi="Times New Roman"/>
          <w:color w:val="000000" w:themeColor="text1"/>
          <w:lang w:val="en-GB"/>
        </w:rPr>
        <w:t xml:space="preserve">ould position regions </w:t>
      </w:r>
      <w:r w:rsidR="0054674C" w:rsidRPr="00393CB4">
        <w:rPr>
          <w:rFonts w:ascii="Times New Roman" w:hAnsi="Times New Roman"/>
          <w:color w:val="000000" w:themeColor="text1"/>
          <w:lang w:val="en-GB"/>
        </w:rPr>
        <w:t xml:space="preserve">as new contenders </w:t>
      </w:r>
      <w:r w:rsidRPr="00393CB4">
        <w:rPr>
          <w:rFonts w:ascii="Times New Roman" w:hAnsi="Times New Roman"/>
          <w:color w:val="000000" w:themeColor="text1"/>
          <w:lang w:val="en-GB"/>
        </w:rPr>
        <w:t xml:space="preserve">in </w:t>
      </w:r>
      <w:r w:rsidR="0054674C" w:rsidRPr="00393CB4">
        <w:rPr>
          <w:rFonts w:ascii="Times New Roman" w:hAnsi="Times New Roman"/>
          <w:color w:val="000000" w:themeColor="text1"/>
          <w:lang w:val="en-GB"/>
        </w:rPr>
        <w:t xml:space="preserve">future </w:t>
      </w:r>
      <w:r w:rsidRPr="00393CB4">
        <w:rPr>
          <w:rFonts w:ascii="Times New Roman" w:hAnsi="Times New Roman"/>
          <w:color w:val="000000" w:themeColor="text1"/>
          <w:lang w:val="en-GB"/>
        </w:rPr>
        <w:t>global markets.  All energy interest groups and coalitions are an antidote to this vulnerability as they bring the knowledge and networking opportunities to reduce uncertainty, address the negative effects of search vulnerability, and</w:t>
      </w:r>
      <w:r w:rsidR="0023119D" w:rsidRPr="00393CB4">
        <w:rPr>
          <w:rFonts w:ascii="Times New Roman" w:hAnsi="Times New Roman"/>
          <w:color w:val="000000" w:themeColor="text1"/>
          <w:lang w:val="en-GB"/>
        </w:rPr>
        <w:t xml:space="preserve"> help define growth strategies deploying local capabilities in global markets.</w:t>
      </w:r>
    </w:p>
    <w:p w14:paraId="13B5238A" w14:textId="4F366BB4" w:rsidR="0023119D" w:rsidRPr="00393CB4" w:rsidRDefault="0023119D" w:rsidP="0023119D">
      <w:pPr>
        <w:jc w:val="center"/>
        <w:rPr>
          <w:rFonts w:ascii="Times New Roman" w:hAnsi="Times New Roman"/>
          <w:color w:val="000000" w:themeColor="text1"/>
        </w:rPr>
      </w:pPr>
      <w:r w:rsidRPr="00393CB4">
        <w:rPr>
          <w:rFonts w:ascii="Times New Roman" w:hAnsi="Times New Roman"/>
          <w:color w:val="000000" w:themeColor="text1"/>
        </w:rPr>
        <w:object w:dxaOrig="11606" w:dyaOrig="9126" w14:anchorId="07ACB38D">
          <v:shape id="_x0000_i1029" type="#_x0000_t75" style="width:393.75pt;height:309.75pt" o:ole="">
            <v:imagedata r:id="rId19" o:title=""/>
          </v:shape>
          <o:OLEObject Type="Embed" ProgID="Visio.Drawing.11" ShapeID="_x0000_i1029" DrawAspect="Content" ObjectID="_1599325618" r:id="rId20"/>
        </w:object>
      </w:r>
    </w:p>
    <w:p w14:paraId="538E8379" w14:textId="6399A3CA" w:rsidR="0023119D" w:rsidRPr="00393CB4" w:rsidRDefault="0023119D" w:rsidP="0023119D">
      <w:pPr>
        <w:jc w:val="center"/>
        <w:rPr>
          <w:rFonts w:ascii="Times New Roman" w:hAnsi="Times New Roman"/>
          <w:i/>
          <w:color w:val="000000" w:themeColor="text1"/>
          <w:lang w:val="en-GB"/>
        </w:rPr>
      </w:pPr>
      <w:r w:rsidRPr="00393CB4">
        <w:rPr>
          <w:rFonts w:ascii="Times New Roman" w:hAnsi="Times New Roman"/>
          <w:i/>
          <w:color w:val="000000" w:themeColor="text1"/>
          <w:lang w:val="en-GB"/>
        </w:rPr>
        <w:t xml:space="preserve">Figure </w:t>
      </w:r>
      <w:r w:rsidR="00F437C4" w:rsidRPr="00393CB4">
        <w:rPr>
          <w:rFonts w:ascii="Times New Roman" w:hAnsi="Times New Roman"/>
          <w:i/>
          <w:color w:val="000000" w:themeColor="text1"/>
          <w:lang w:val="en-GB"/>
        </w:rPr>
        <w:t>6</w:t>
      </w:r>
      <w:r w:rsidRPr="00393CB4">
        <w:rPr>
          <w:rFonts w:ascii="Times New Roman" w:hAnsi="Times New Roman"/>
          <w:i/>
          <w:color w:val="000000" w:themeColor="text1"/>
          <w:lang w:val="en-GB"/>
        </w:rPr>
        <w:t>. Graphical Summary of Contextualised Explanation</w:t>
      </w:r>
      <w:r w:rsidR="0054674C" w:rsidRPr="00393CB4">
        <w:rPr>
          <w:rFonts w:ascii="Times New Roman" w:hAnsi="Times New Roman"/>
          <w:i/>
          <w:color w:val="000000" w:themeColor="text1"/>
          <w:lang w:val="en-GB"/>
        </w:rPr>
        <w:t>s</w:t>
      </w:r>
    </w:p>
    <w:p w14:paraId="33713466" w14:textId="2477DB3B" w:rsidR="00E37A8C" w:rsidRPr="00393CB4" w:rsidRDefault="001C16BF" w:rsidP="00E37A8C">
      <w:pPr>
        <w:pStyle w:val="Heading1"/>
        <w:rPr>
          <w:rFonts w:ascii="Times New Roman" w:hAnsi="Times New Roman"/>
          <w:color w:val="000000" w:themeColor="text1"/>
          <w:lang w:val="en-GB"/>
        </w:rPr>
      </w:pPr>
      <w:r w:rsidRPr="00393CB4">
        <w:rPr>
          <w:rFonts w:ascii="Times New Roman" w:hAnsi="Times New Roman"/>
          <w:color w:val="000000" w:themeColor="text1"/>
          <w:lang w:val="en-GB"/>
        </w:rPr>
        <w:lastRenderedPageBreak/>
        <w:t>5</w:t>
      </w:r>
      <w:r w:rsidR="00E37A8C" w:rsidRPr="00393CB4">
        <w:rPr>
          <w:rFonts w:ascii="Times New Roman" w:hAnsi="Times New Roman"/>
          <w:color w:val="000000" w:themeColor="text1"/>
          <w:lang w:val="en-GB"/>
        </w:rPr>
        <w:t>. Conclusion</w:t>
      </w:r>
    </w:p>
    <w:p w14:paraId="0FC059DF" w14:textId="76A59E0A" w:rsidR="00F437C4" w:rsidRPr="00393CB4" w:rsidRDefault="0023119D" w:rsidP="0054674C">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As with any case study research based on a contextualised explanation methodology, the propositions made in this paper </w:t>
      </w:r>
      <w:r w:rsidR="00155E2D" w:rsidRPr="00393CB4">
        <w:rPr>
          <w:rFonts w:ascii="Times New Roman" w:hAnsi="Times New Roman"/>
          <w:color w:val="000000" w:themeColor="text1"/>
          <w:lang w:val="en-GB"/>
        </w:rPr>
        <w:t>cannot be generalised</w:t>
      </w:r>
      <w:r w:rsidRPr="00393CB4">
        <w:rPr>
          <w:rFonts w:ascii="Times New Roman" w:hAnsi="Times New Roman"/>
          <w:color w:val="000000" w:themeColor="text1"/>
          <w:lang w:val="en-GB"/>
        </w:rPr>
        <w:t>.  Regional strategic planning of investing in the energy sector var</w:t>
      </w:r>
      <w:r w:rsidR="0054674C" w:rsidRPr="00393CB4">
        <w:rPr>
          <w:rFonts w:ascii="Times New Roman" w:hAnsi="Times New Roman"/>
          <w:color w:val="000000" w:themeColor="text1"/>
          <w:lang w:val="en-GB"/>
        </w:rPr>
        <w:t>ied</w:t>
      </w:r>
      <w:r w:rsidRPr="00393CB4">
        <w:rPr>
          <w:rFonts w:ascii="Times New Roman" w:hAnsi="Times New Roman"/>
          <w:color w:val="000000" w:themeColor="text1"/>
          <w:lang w:val="en-GB"/>
        </w:rPr>
        <w:t xml:space="preserve"> considerably in the different regions and would vary further in a different context than </w:t>
      </w:r>
      <w:r w:rsidR="00C24790" w:rsidRPr="00393CB4">
        <w:rPr>
          <w:rFonts w:ascii="Times New Roman" w:hAnsi="Times New Roman"/>
          <w:color w:val="000000" w:themeColor="text1"/>
          <w:lang w:val="en-GB"/>
        </w:rPr>
        <w:t xml:space="preserve">the </w:t>
      </w:r>
      <w:r w:rsidRPr="00393CB4">
        <w:rPr>
          <w:rFonts w:ascii="Times New Roman" w:hAnsi="Times New Roman"/>
          <w:color w:val="000000" w:themeColor="text1"/>
          <w:lang w:val="en-GB"/>
        </w:rPr>
        <w:t>Channel-MOR</w:t>
      </w:r>
      <w:r w:rsidR="00C24790" w:rsidRPr="00393CB4">
        <w:rPr>
          <w:rFonts w:ascii="Times New Roman" w:hAnsi="Times New Roman"/>
          <w:color w:val="000000" w:themeColor="text1"/>
          <w:lang w:val="en-GB"/>
        </w:rPr>
        <w:t xml:space="preserve"> project</w:t>
      </w:r>
      <w:r w:rsidRPr="00393CB4">
        <w:rPr>
          <w:rFonts w:ascii="Times New Roman" w:hAnsi="Times New Roman"/>
          <w:color w:val="000000" w:themeColor="text1"/>
          <w:lang w:val="en-GB"/>
        </w:rPr>
        <w:t xml:space="preserve">.  </w:t>
      </w:r>
      <w:r w:rsidR="00F437C4" w:rsidRPr="00393CB4">
        <w:rPr>
          <w:rFonts w:ascii="Times New Roman" w:hAnsi="Times New Roman"/>
          <w:color w:val="000000" w:themeColor="text1"/>
          <w:lang w:val="en-GB"/>
        </w:rPr>
        <w:t xml:space="preserve">In the specific context of the Channel area, idealisation was an issue that created a search vulnerability in most regions.  This paper has shown that this vulnerability is the result of trying to engage with the energy sector from an overly narrow perspective in terms of knowledge (lack of absorptive capacity), </w:t>
      </w:r>
      <w:r w:rsidR="00A66E17" w:rsidRPr="00393CB4">
        <w:rPr>
          <w:rFonts w:ascii="Times New Roman" w:hAnsi="Times New Roman"/>
          <w:color w:val="000000" w:themeColor="text1"/>
          <w:lang w:val="en-GB"/>
        </w:rPr>
        <w:t xml:space="preserve">technology (focusing only on MRE projects), and regional strategy </w:t>
      </w:r>
      <w:r w:rsidR="006F69A9" w:rsidRPr="00393CB4">
        <w:rPr>
          <w:rFonts w:ascii="Times New Roman" w:hAnsi="Times New Roman"/>
          <w:color w:val="000000" w:themeColor="text1"/>
          <w:lang w:val="en-GB"/>
        </w:rPr>
        <w:t xml:space="preserve">scope </w:t>
      </w:r>
      <w:r w:rsidR="00A66E17" w:rsidRPr="00393CB4">
        <w:rPr>
          <w:rFonts w:ascii="Times New Roman" w:hAnsi="Times New Roman"/>
          <w:color w:val="000000" w:themeColor="text1"/>
          <w:lang w:val="en-GB"/>
        </w:rPr>
        <w:t>(not being able to reconcile local versus global issues).  This paper has also shown that idealisation can be avoided by spending more time learning about the sector and interacting with it more directly.  Universities have a role to play in helping regional stakeholders to better understand the sector, its challenges, and prospects through problem structuring rather than problem solving workshops.</w:t>
      </w:r>
    </w:p>
    <w:p w14:paraId="6A2AC423" w14:textId="4610DB78" w:rsidR="00E37A8C" w:rsidRPr="00393CB4" w:rsidRDefault="0023119D" w:rsidP="0054674C">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However, the propositions made in this paper, if generalisable, </w:t>
      </w:r>
      <w:r w:rsidR="00C24790" w:rsidRPr="00393CB4">
        <w:rPr>
          <w:rFonts w:ascii="Times New Roman" w:hAnsi="Times New Roman"/>
          <w:color w:val="000000" w:themeColor="text1"/>
          <w:lang w:val="en-GB"/>
        </w:rPr>
        <w:t xml:space="preserve">could </w:t>
      </w:r>
      <w:r w:rsidRPr="00393CB4">
        <w:rPr>
          <w:rFonts w:ascii="Times New Roman" w:hAnsi="Times New Roman"/>
          <w:color w:val="000000" w:themeColor="text1"/>
          <w:lang w:val="en-GB"/>
        </w:rPr>
        <w:t xml:space="preserve">have </w:t>
      </w:r>
      <w:r w:rsidR="00C24790" w:rsidRPr="00393CB4">
        <w:rPr>
          <w:rFonts w:ascii="Times New Roman" w:hAnsi="Times New Roman"/>
          <w:color w:val="000000" w:themeColor="text1"/>
          <w:lang w:val="en-GB"/>
        </w:rPr>
        <w:t xml:space="preserve">a </w:t>
      </w:r>
      <w:r w:rsidRPr="00393CB4">
        <w:rPr>
          <w:rFonts w:ascii="Times New Roman" w:hAnsi="Times New Roman"/>
          <w:color w:val="000000" w:themeColor="text1"/>
          <w:lang w:val="en-GB"/>
        </w:rPr>
        <w:t xml:space="preserve">profound impact on the management of the energy sector.  The paper documents the cause, existence, and impact of idealisation </w:t>
      </w:r>
      <w:r w:rsidR="00C24790" w:rsidRPr="00393CB4">
        <w:rPr>
          <w:rFonts w:ascii="Times New Roman" w:hAnsi="Times New Roman"/>
          <w:color w:val="000000" w:themeColor="text1"/>
          <w:lang w:val="en-GB"/>
        </w:rPr>
        <w:t xml:space="preserve">in regional strategic planning about renewable energy.  There is a need for more research to assess to what extent idealisation of renewable energy technologies is a constraining issue across the energy sector.  If it were the case, it would result in clashing coalitions (respectively for and against renewable energy) and in increasing strategic uncertainty and ambiguity.  This in turn would make strategic decisions more vulnerable to impractical directions of search. </w:t>
      </w:r>
      <w:r w:rsidRPr="00393CB4">
        <w:rPr>
          <w:rFonts w:ascii="Times New Roman" w:hAnsi="Times New Roman"/>
          <w:color w:val="000000" w:themeColor="text1"/>
          <w:lang w:val="en-GB"/>
        </w:rPr>
        <w:t xml:space="preserve">  </w:t>
      </w:r>
      <w:r w:rsidR="00E37A8C" w:rsidRPr="00393CB4">
        <w:rPr>
          <w:rFonts w:ascii="Times New Roman" w:hAnsi="Times New Roman"/>
          <w:color w:val="000000" w:themeColor="text1"/>
          <w:lang w:val="en-GB"/>
        </w:rPr>
        <w:t xml:space="preserve"> </w:t>
      </w:r>
    </w:p>
    <w:p w14:paraId="1C7F5C62" w14:textId="61AD51EA" w:rsidR="00E37A8C" w:rsidRPr="00393CB4" w:rsidRDefault="00C24790" w:rsidP="0054674C">
      <w:pPr>
        <w:jc w:val="both"/>
        <w:rPr>
          <w:rFonts w:ascii="Times New Roman" w:hAnsi="Times New Roman"/>
          <w:color w:val="000000" w:themeColor="text1"/>
          <w:lang w:val="en-GB"/>
        </w:rPr>
      </w:pPr>
      <w:r w:rsidRPr="00393CB4">
        <w:rPr>
          <w:rFonts w:ascii="Times New Roman" w:hAnsi="Times New Roman"/>
          <w:color w:val="000000" w:themeColor="text1"/>
          <w:lang w:val="en-GB"/>
        </w:rPr>
        <w:t xml:space="preserve">The paper also questions the controversial role of technology-specific coalitions and their impact of the legitimisation process that create decision making vulnerability.  “All energy” regional interest groups are shown to be much more productive coalitions that reduce decision making vulnerability.  This </w:t>
      </w:r>
      <w:r w:rsidR="00FD1046" w:rsidRPr="00393CB4">
        <w:rPr>
          <w:rFonts w:ascii="Times New Roman" w:hAnsi="Times New Roman"/>
          <w:color w:val="000000" w:themeColor="text1"/>
          <w:lang w:val="en-GB"/>
        </w:rPr>
        <w:t xml:space="preserve">also </w:t>
      </w:r>
      <w:r w:rsidRPr="00393CB4">
        <w:rPr>
          <w:rFonts w:ascii="Times New Roman" w:hAnsi="Times New Roman"/>
          <w:color w:val="000000" w:themeColor="text1"/>
          <w:lang w:val="en-GB"/>
        </w:rPr>
        <w:t xml:space="preserve">raises the question, in the context of renewable energy, of </w:t>
      </w:r>
      <w:r w:rsidR="00406E81" w:rsidRPr="00393CB4">
        <w:rPr>
          <w:rFonts w:ascii="Times New Roman" w:hAnsi="Times New Roman"/>
          <w:color w:val="000000" w:themeColor="text1"/>
          <w:lang w:val="en-GB"/>
        </w:rPr>
        <w:t xml:space="preserve">what is </w:t>
      </w:r>
      <w:r w:rsidRPr="00393CB4">
        <w:rPr>
          <w:rFonts w:ascii="Times New Roman" w:hAnsi="Times New Roman"/>
          <w:color w:val="000000" w:themeColor="text1"/>
          <w:lang w:val="en-GB"/>
        </w:rPr>
        <w:t>the optimal balance between national and regional decision making.</w:t>
      </w:r>
      <w:r w:rsidR="00406E81" w:rsidRPr="00393CB4">
        <w:rPr>
          <w:rFonts w:ascii="Times New Roman" w:hAnsi="Times New Roman"/>
          <w:color w:val="000000" w:themeColor="text1"/>
          <w:lang w:val="en-GB"/>
        </w:rPr>
        <w:t xml:space="preserve">  Currently, regions that have historically been involved in the energy sector are making the most of renewable energy opportunities.  As renewable energies typically require more geographically diverse sites with different weather conditions, a design where energy production remains concentrated in existing energy producing regions may not be sustainable.</w:t>
      </w:r>
    </w:p>
    <w:p w14:paraId="011D711C" w14:textId="27FCB075" w:rsidR="00A42E55" w:rsidRPr="00393CB4" w:rsidRDefault="001C16BF" w:rsidP="00133C46">
      <w:pPr>
        <w:pStyle w:val="Heading2"/>
        <w:rPr>
          <w:rFonts w:ascii="Times New Roman" w:hAnsi="Times New Roman"/>
          <w:color w:val="000000" w:themeColor="text1"/>
          <w:lang w:val="en-GB"/>
        </w:rPr>
      </w:pPr>
      <w:r w:rsidRPr="00393CB4">
        <w:rPr>
          <w:rFonts w:ascii="Times New Roman" w:hAnsi="Times New Roman"/>
          <w:color w:val="000000" w:themeColor="text1"/>
          <w:lang w:val="en-GB"/>
        </w:rPr>
        <w:lastRenderedPageBreak/>
        <w:t>7</w:t>
      </w:r>
      <w:r w:rsidR="00A42E55" w:rsidRPr="00393CB4">
        <w:rPr>
          <w:rFonts w:ascii="Times New Roman" w:hAnsi="Times New Roman"/>
          <w:color w:val="000000" w:themeColor="text1"/>
          <w:lang w:val="en-GB"/>
        </w:rPr>
        <w:t>. References</w:t>
      </w:r>
    </w:p>
    <w:p w14:paraId="5C2F283B" w14:textId="5651FBC0" w:rsidR="00BD06E5" w:rsidRPr="00393CB4" w:rsidRDefault="00BD06E5" w:rsidP="00BD06E5">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Bhaskar, R. 1998. </w:t>
      </w:r>
      <w:r w:rsidRPr="00393CB4">
        <w:rPr>
          <w:rFonts w:ascii="Times New Roman" w:hAnsi="Times New Roman"/>
          <w:i/>
          <w:color w:val="000000" w:themeColor="text1"/>
          <w:lang w:val="en-GB"/>
        </w:rPr>
        <w:t>The possibility of naturalism: A philosophical critique of the contemporary human sciences</w:t>
      </w:r>
      <w:r w:rsidRPr="00393CB4">
        <w:rPr>
          <w:rFonts w:ascii="Times New Roman" w:hAnsi="Times New Roman"/>
          <w:color w:val="000000" w:themeColor="text1"/>
          <w:lang w:val="en-GB"/>
        </w:rPr>
        <w:t xml:space="preserve">, (3rd ed.) </w:t>
      </w:r>
      <w:proofErr w:type="spellStart"/>
      <w:r w:rsidRPr="00393CB4">
        <w:rPr>
          <w:rFonts w:ascii="Times New Roman" w:hAnsi="Times New Roman"/>
          <w:color w:val="000000" w:themeColor="text1"/>
          <w:lang w:val="en-GB"/>
        </w:rPr>
        <w:t>London:Routledge</w:t>
      </w:r>
      <w:proofErr w:type="spellEnd"/>
      <w:r w:rsidRPr="00393CB4">
        <w:rPr>
          <w:rFonts w:ascii="Times New Roman" w:hAnsi="Times New Roman"/>
          <w:color w:val="000000" w:themeColor="text1"/>
          <w:lang w:val="en-GB"/>
        </w:rPr>
        <w:t>.</w:t>
      </w:r>
    </w:p>
    <w:p w14:paraId="745C64CE" w14:textId="2D70D1D8" w:rsidR="00FB5AD8" w:rsidRPr="00393CB4" w:rsidRDefault="00FB5AD8"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Bell, D., </w:t>
      </w:r>
      <w:proofErr w:type="spellStart"/>
      <w:r w:rsidRPr="00393CB4">
        <w:rPr>
          <w:rFonts w:ascii="Times New Roman" w:hAnsi="Times New Roman"/>
          <w:color w:val="000000" w:themeColor="text1"/>
          <w:lang w:val="en-GB"/>
        </w:rPr>
        <w:t>Gray</w:t>
      </w:r>
      <w:proofErr w:type="spellEnd"/>
      <w:r w:rsidRPr="00393CB4">
        <w:rPr>
          <w:rFonts w:ascii="Times New Roman" w:hAnsi="Times New Roman"/>
          <w:color w:val="000000" w:themeColor="text1"/>
          <w:lang w:val="en-GB"/>
        </w:rPr>
        <w:t xml:space="preserve">, T., and </w:t>
      </w:r>
      <w:proofErr w:type="spellStart"/>
      <w:r w:rsidRPr="00393CB4">
        <w:rPr>
          <w:rFonts w:ascii="Times New Roman" w:hAnsi="Times New Roman"/>
          <w:color w:val="000000" w:themeColor="text1"/>
          <w:lang w:val="en-GB"/>
        </w:rPr>
        <w:t>Hagget</w:t>
      </w:r>
      <w:proofErr w:type="spellEnd"/>
      <w:r w:rsidRPr="00393CB4">
        <w:rPr>
          <w:rFonts w:ascii="Times New Roman" w:hAnsi="Times New Roman"/>
          <w:color w:val="000000" w:themeColor="text1"/>
          <w:lang w:val="en-GB"/>
        </w:rPr>
        <w:t xml:space="preserve">, C. 2005. The 'social gap' in wind farm siting decisions: explanations and policy responses, </w:t>
      </w:r>
      <w:r w:rsidRPr="00393CB4">
        <w:rPr>
          <w:rFonts w:ascii="Times New Roman" w:hAnsi="Times New Roman"/>
          <w:i/>
          <w:color w:val="000000" w:themeColor="text1"/>
          <w:lang w:val="en-GB"/>
        </w:rPr>
        <w:t>Environmental Politics</w:t>
      </w:r>
      <w:r w:rsidRPr="00393CB4">
        <w:rPr>
          <w:rFonts w:ascii="Times New Roman" w:hAnsi="Times New Roman"/>
          <w:color w:val="000000" w:themeColor="text1"/>
          <w:lang w:val="en-GB"/>
        </w:rPr>
        <w:t>, 14(4), 460-477.</w:t>
      </w:r>
    </w:p>
    <w:p w14:paraId="17941D9D" w14:textId="3B360A2A" w:rsidR="00A42E55" w:rsidRPr="00393CB4" w:rsidRDefault="00A42E55"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Bento, N. and </w:t>
      </w:r>
      <w:r w:rsidR="004D170F" w:rsidRPr="00393CB4">
        <w:rPr>
          <w:rFonts w:ascii="Times New Roman" w:hAnsi="Times New Roman"/>
          <w:color w:val="000000" w:themeColor="text1"/>
          <w:lang w:val="en-GB"/>
        </w:rPr>
        <w:t>Fontes</w:t>
      </w:r>
      <w:r w:rsidRPr="00393CB4">
        <w:rPr>
          <w:rFonts w:ascii="Times New Roman" w:hAnsi="Times New Roman"/>
          <w:color w:val="000000" w:themeColor="text1"/>
          <w:lang w:val="en-GB"/>
        </w:rPr>
        <w:t xml:space="preserve">, M. 2015. Spatial diffusion and the formation of a technological innovation system in the receiving country: the case of wind energy in </w:t>
      </w:r>
      <w:smartTag w:uri="urn:schemas-microsoft-com:office:smarttags" w:element="country-region">
        <w:smartTag w:uri="urn:schemas-microsoft-com:office:smarttags" w:element="place">
          <w:r w:rsidRPr="00393CB4">
            <w:rPr>
              <w:rFonts w:ascii="Times New Roman" w:hAnsi="Times New Roman"/>
              <w:color w:val="000000" w:themeColor="text1"/>
              <w:lang w:val="en-GB"/>
            </w:rPr>
            <w:t>Portugal</w:t>
          </w:r>
        </w:smartTag>
      </w:smartTag>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Environmental Innovation and Societal Transitions</w:t>
      </w:r>
      <w:r w:rsidR="005C76CD" w:rsidRPr="00393CB4">
        <w:rPr>
          <w:rFonts w:ascii="Times New Roman" w:hAnsi="Times New Roman"/>
          <w:i/>
          <w:color w:val="000000" w:themeColor="text1"/>
          <w:lang w:val="en-GB"/>
        </w:rPr>
        <w:t>,</w:t>
      </w:r>
      <w:r w:rsidRPr="00393CB4">
        <w:rPr>
          <w:rFonts w:ascii="Times New Roman" w:hAnsi="Times New Roman"/>
          <w:color w:val="000000" w:themeColor="text1"/>
          <w:lang w:val="en-GB"/>
        </w:rPr>
        <w:t xml:space="preserve"> 15, 158-179.</w:t>
      </w:r>
    </w:p>
    <w:p w14:paraId="2840BD5E" w14:textId="2330C1EE" w:rsidR="00A42E55" w:rsidRPr="00393CB4" w:rsidRDefault="00A42E55" w:rsidP="007E264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Bergek</w:t>
      </w:r>
      <w:proofErr w:type="spellEnd"/>
      <w:r w:rsidRPr="00393CB4">
        <w:rPr>
          <w:rFonts w:ascii="Times New Roman" w:hAnsi="Times New Roman"/>
          <w:color w:val="000000" w:themeColor="text1"/>
          <w:lang w:val="en-GB"/>
        </w:rPr>
        <w:t>, A.,</w:t>
      </w:r>
      <w:proofErr w:type="spellStart"/>
      <w:r w:rsidRPr="00393CB4">
        <w:rPr>
          <w:rFonts w:ascii="Times New Roman" w:hAnsi="Times New Roman"/>
          <w:color w:val="000000" w:themeColor="text1"/>
          <w:lang w:val="en-GB"/>
        </w:rPr>
        <w:t>Jacobsson</w:t>
      </w:r>
      <w:proofErr w:type="spellEnd"/>
      <w:r w:rsidRPr="00393CB4">
        <w:rPr>
          <w:rFonts w:ascii="Times New Roman" w:hAnsi="Times New Roman"/>
          <w:color w:val="000000" w:themeColor="text1"/>
          <w:lang w:val="en-GB"/>
        </w:rPr>
        <w:t xml:space="preserve">, S., Carlsson, B., Lindmark, S. and </w:t>
      </w:r>
      <w:proofErr w:type="spellStart"/>
      <w:r w:rsidRPr="00393CB4">
        <w:rPr>
          <w:rFonts w:ascii="Times New Roman" w:hAnsi="Times New Roman"/>
          <w:color w:val="000000" w:themeColor="text1"/>
          <w:lang w:val="en-GB"/>
        </w:rPr>
        <w:t>Rickne</w:t>
      </w:r>
      <w:proofErr w:type="spellEnd"/>
      <w:r w:rsidRPr="00393CB4">
        <w:rPr>
          <w:rFonts w:ascii="Times New Roman" w:hAnsi="Times New Roman"/>
          <w:color w:val="000000" w:themeColor="text1"/>
          <w:lang w:val="en-GB"/>
        </w:rPr>
        <w:t xml:space="preserve">, A. 2008. Analysing the functional dynamics of technological innovation systems: a scheme of analysis. </w:t>
      </w:r>
      <w:r w:rsidRPr="00393CB4">
        <w:rPr>
          <w:rFonts w:ascii="Times New Roman" w:hAnsi="Times New Roman"/>
          <w:i/>
          <w:color w:val="000000" w:themeColor="text1"/>
          <w:lang w:val="en-GB"/>
        </w:rPr>
        <w:t>Research Policy</w:t>
      </w:r>
      <w:r w:rsidR="005C76CD" w:rsidRPr="00393CB4">
        <w:rPr>
          <w:rFonts w:ascii="Times New Roman" w:hAnsi="Times New Roman"/>
          <w:i/>
          <w:color w:val="000000" w:themeColor="text1"/>
          <w:lang w:val="en-GB"/>
        </w:rPr>
        <w:t>,</w:t>
      </w:r>
      <w:r w:rsidRPr="00393CB4">
        <w:rPr>
          <w:rFonts w:ascii="Times New Roman" w:hAnsi="Times New Roman"/>
          <w:color w:val="000000" w:themeColor="text1"/>
          <w:lang w:val="en-GB"/>
        </w:rPr>
        <w:t xml:space="preserve"> 37, 407-429.</w:t>
      </w:r>
    </w:p>
    <w:p w14:paraId="56AD94DE" w14:textId="7987DCA5" w:rsidR="00FB5AD8" w:rsidRPr="00393CB4" w:rsidRDefault="00FB5AD8" w:rsidP="00FB5AD8">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Bergek</w:t>
      </w:r>
      <w:proofErr w:type="spellEnd"/>
      <w:r w:rsidRPr="00393CB4">
        <w:rPr>
          <w:rFonts w:ascii="Times New Roman" w:hAnsi="Times New Roman"/>
          <w:color w:val="000000" w:themeColor="text1"/>
          <w:lang w:val="en-GB"/>
        </w:rPr>
        <w:t xml:space="preserve">, A. and </w:t>
      </w:r>
      <w:proofErr w:type="spellStart"/>
      <w:r w:rsidRPr="00393CB4">
        <w:rPr>
          <w:rFonts w:ascii="Times New Roman" w:hAnsi="Times New Roman"/>
          <w:color w:val="000000" w:themeColor="text1"/>
          <w:lang w:val="en-GB"/>
        </w:rPr>
        <w:t>Jacobsson</w:t>
      </w:r>
      <w:proofErr w:type="spellEnd"/>
      <w:r w:rsidRPr="00393CB4">
        <w:rPr>
          <w:rFonts w:ascii="Times New Roman" w:hAnsi="Times New Roman"/>
          <w:color w:val="000000" w:themeColor="text1"/>
          <w:lang w:val="en-GB"/>
        </w:rPr>
        <w:t xml:space="preserve">, S. 2003. The emergence of a growth industry: a comparative analysis of the German, Dutch and Swedish wind turbine industries. In </w:t>
      </w:r>
      <w:r w:rsidRPr="00393CB4">
        <w:rPr>
          <w:rFonts w:ascii="Times New Roman" w:hAnsi="Times New Roman"/>
          <w:i/>
          <w:color w:val="000000" w:themeColor="text1"/>
          <w:lang w:val="en-GB"/>
        </w:rPr>
        <w:t xml:space="preserve">Change, </w:t>
      </w:r>
      <w:r w:rsidR="005C76CD" w:rsidRPr="00393CB4">
        <w:rPr>
          <w:rFonts w:ascii="Times New Roman" w:hAnsi="Times New Roman"/>
          <w:i/>
          <w:color w:val="000000" w:themeColor="text1"/>
          <w:lang w:val="en-GB"/>
        </w:rPr>
        <w:t>T</w:t>
      </w:r>
      <w:r w:rsidRPr="00393CB4">
        <w:rPr>
          <w:rFonts w:ascii="Times New Roman" w:hAnsi="Times New Roman"/>
          <w:i/>
          <w:color w:val="000000" w:themeColor="text1"/>
          <w:lang w:val="en-GB"/>
        </w:rPr>
        <w:t xml:space="preserve">ransformation and </w:t>
      </w:r>
      <w:r w:rsidR="005C76CD" w:rsidRPr="00393CB4">
        <w:rPr>
          <w:rFonts w:ascii="Times New Roman" w:hAnsi="Times New Roman"/>
          <w:i/>
          <w:color w:val="000000" w:themeColor="text1"/>
          <w:lang w:val="en-GB"/>
        </w:rPr>
        <w:t>D</w:t>
      </w:r>
      <w:r w:rsidRPr="00393CB4">
        <w:rPr>
          <w:rFonts w:ascii="Times New Roman" w:hAnsi="Times New Roman"/>
          <w:i/>
          <w:color w:val="000000" w:themeColor="text1"/>
          <w:lang w:val="en-GB"/>
        </w:rPr>
        <w:t>evelopment</w:t>
      </w:r>
      <w:r w:rsidRPr="00393CB4">
        <w:rPr>
          <w:rFonts w:ascii="Times New Roman" w:hAnsi="Times New Roman"/>
          <w:color w:val="000000" w:themeColor="text1"/>
          <w:lang w:val="en-GB"/>
        </w:rPr>
        <w:t xml:space="preserve">, eds. S. Metcalfe and U. </w:t>
      </w:r>
      <w:proofErr w:type="spellStart"/>
      <w:r w:rsidRPr="00393CB4">
        <w:rPr>
          <w:rFonts w:ascii="Times New Roman" w:hAnsi="Times New Roman"/>
          <w:color w:val="000000" w:themeColor="text1"/>
          <w:lang w:val="en-GB"/>
        </w:rPr>
        <w:t>Cantner</w:t>
      </w:r>
      <w:proofErr w:type="spellEnd"/>
      <w:r w:rsidRPr="00393CB4">
        <w:rPr>
          <w:rFonts w:ascii="Times New Roman" w:hAnsi="Times New Roman"/>
          <w:color w:val="000000" w:themeColor="text1"/>
          <w:lang w:val="en-GB"/>
        </w:rPr>
        <w:t xml:space="preserve">, 197–227. Heidelberg: </w:t>
      </w:r>
      <w:proofErr w:type="spellStart"/>
      <w:r w:rsidRPr="00393CB4">
        <w:rPr>
          <w:rFonts w:ascii="Times New Roman" w:hAnsi="Times New Roman"/>
          <w:color w:val="000000" w:themeColor="text1"/>
          <w:lang w:val="en-GB"/>
        </w:rPr>
        <w:t>Physica</w:t>
      </w:r>
      <w:proofErr w:type="spellEnd"/>
      <w:r w:rsidRPr="00393CB4">
        <w:rPr>
          <w:rFonts w:ascii="Times New Roman" w:hAnsi="Times New Roman"/>
          <w:color w:val="000000" w:themeColor="text1"/>
          <w:lang w:val="en-GB"/>
        </w:rPr>
        <w:t>-Verlag.</w:t>
      </w:r>
    </w:p>
    <w:p w14:paraId="5C34DAB2" w14:textId="6415D00E" w:rsidR="00A42E55" w:rsidRPr="00393CB4" w:rsidRDefault="00A42E55" w:rsidP="00FB5AD8">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Bridge, G., </w:t>
      </w:r>
      <w:proofErr w:type="spellStart"/>
      <w:r w:rsidRPr="00393CB4">
        <w:rPr>
          <w:rFonts w:ascii="Times New Roman" w:hAnsi="Times New Roman"/>
          <w:color w:val="000000" w:themeColor="text1"/>
          <w:lang w:val="en-GB"/>
        </w:rPr>
        <w:t>Bouzarovski</w:t>
      </w:r>
      <w:proofErr w:type="spellEnd"/>
      <w:r w:rsidRPr="00393CB4">
        <w:rPr>
          <w:rFonts w:ascii="Times New Roman" w:hAnsi="Times New Roman"/>
          <w:color w:val="000000" w:themeColor="text1"/>
          <w:lang w:val="en-GB"/>
        </w:rPr>
        <w:t xml:space="preserve">, </w:t>
      </w:r>
      <w:r w:rsidR="00D21819" w:rsidRPr="00393CB4">
        <w:rPr>
          <w:rFonts w:ascii="Times New Roman" w:hAnsi="Times New Roman"/>
          <w:color w:val="000000" w:themeColor="text1"/>
          <w:lang w:val="en-GB"/>
        </w:rPr>
        <w:t>S., Bradshaw, M., and Eyre, N. 2013.</w:t>
      </w:r>
      <w:r w:rsidRPr="00393CB4">
        <w:rPr>
          <w:rFonts w:ascii="Times New Roman" w:hAnsi="Times New Roman"/>
          <w:color w:val="000000" w:themeColor="text1"/>
          <w:lang w:val="en-GB"/>
        </w:rPr>
        <w:t xml:space="preserve"> Geographies of energy transition: Space, place and the low-carbon economy, </w:t>
      </w:r>
      <w:r w:rsidRPr="00393CB4">
        <w:rPr>
          <w:rFonts w:ascii="Times New Roman" w:hAnsi="Times New Roman"/>
          <w:i/>
          <w:color w:val="000000" w:themeColor="text1"/>
          <w:lang w:val="en-GB"/>
        </w:rPr>
        <w:t>Energy Policy</w:t>
      </w:r>
      <w:r w:rsidR="005C76CD" w:rsidRPr="00393CB4">
        <w:rPr>
          <w:rFonts w:ascii="Times New Roman" w:hAnsi="Times New Roman"/>
          <w:color w:val="000000" w:themeColor="text1"/>
          <w:lang w:val="en-GB"/>
        </w:rPr>
        <w:t>,</w:t>
      </w:r>
      <w:r w:rsidRPr="00393CB4">
        <w:rPr>
          <w:rFonts w:ascii="Times New Roman" w:hAnsi="Times New Roman"/>
          <w:color w:val="000000" w:themeColor="text1"/>
          <w:lang w:val="en-GB"/>
        </w:rPr>
        <w:t xml:space="preserve"> 53, 331-340.</w:t>
      </w:r>
    </w:p>
    <w:p w14:paraId="33DBA698" w14:textId="343859A7" w:rsidR="000C71FA" w:rsidRPr="00393CB4" w:rsidRDefault="000C71FA" w:rsidP="000C71F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Brink, T. 2017. Innovation collaboration in the renewable offshore wind energy sector, </w:t>
      </w:r>
      <w:r w:rsidRPr="00393CB4">
        <w:rPr>
          <w:rFonts w:ascii="Times New Roman" w:hAnsi="Times New Roman"/>
          <w:i/>
          <w:color w:val="000000" w:themeColor="text1"/>
          <w:lang w:val="en-GB"/>
        </w:rPr>
        <w:t>International Journal of Energy Sector Management</w:t>
      </w:r>
      <w:r w:rsidRPr="00393CB4">
        <w:rPr>
          <w:rFonts w:ascii="Times New Roman" w:hAnsi="Times New Roman"/>
          <w:color w:val="000000" w:themeColor="text1"/>
          <w:lang w:val="en-GB"/>
        </w:rPr>
        <w:t>, 11, 4, 664-680.</w:t>
      </w:r>
    </w:p>
    <w:p w14:paraId="4A0429F5" w14:textId="36A38BC6" w:rsidR="005C76CD" w:rsidRPr="00393CB4" w:rsidRDefault="005C76CD" w:rsidP="00FB5AD8">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Brunsson</w:t>
      </w:r>
      <w:proofErr w:type="spellEnd"/>
      <w:r w:rsidRPr="00393CB4">
        <w:rPr>
          <w:rFonts w:ascii="Times New Roman" w:hAnsi="Times New Roman"/>
          <w:color w:val="000000" w:themeColor="text1"/>
          <w:lang w:val="en-GB"/>
        </w:rPr>
        <w:t xml:space="preserve">, N. (1982). The irrationality of action and action rationality: decision, ideologies and organizational actions, </w:t>
      </w:r>
      <w:r w:rsidRPr="00393CB4">
        <w:rPr>
          <w:rFonts w:ascii="Times New Roman" w:hAnsi="Times New Roman"/>
          <w:i/>
          <w:color w:val="000000" w:themeColor="text1"/>
          <w:lang w:val="en-GB"/>
        </w:rPr>
        <w:t>Journal of Management Studies</w:t>
      </w:r>
      <w:r w:rsidRPr="00393CB4">
        <w:rPr>
          <w:rFonts w:ascii="Times New Roman" w:hAnsi="Times New Roman"/>
          <w:color w:val="000000" w:themeColor="text1"/>
          <w:lang w:val="en-GB"/>
        </w:rPr>
        <w:t>, 19/1, 29-44.</w:t>
      </w:r>
    </w:p>
    <w:p w14:paraId="72B6B487" w14:textId="53A56CEF" w:rsidR="00A42E55" w:rsidRPr="00393CB4" w:rsidRDefault="00D21819"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Brown, A.D. and Starkey, K. 2000. </w:t>
      </w:r>
      <w:r w:rsidR="00A42E55" w:rsidRPr="00393CB4">
        <w:rPr>
          <w:rFonts w:ascii="Times New Roman" w:hAnsi="Times New Roman"/>
          <w:color w:val="000000" w:themeColor="text1"/>
          <w:lang w:val="en-GB"/>
        </w:rPr>
        <w:t>Organizational identity and learning: a psychodynamic perspective</w:t>
      </w:r>
      <w:r w:rsidRPr="00393CB4">
        <w:rPr>
          <w:rFonts w:ascii="Times New Roman" w:hAnsi="Times New Roman"/>
          <w:color w:val="000000" w:themeColor="text1"/>
          <w:lang w:val="en-GB"/>
        </w:rPr>
        <w:t>.</w:t>
      </w:r>
      <w:r w:rsidR="00A42E55" w:rsidRPr="00393CB4">
        <w:rPr>
          <w:rFonts w:ascii="Times New Roman" w:hAnsi="Times New Roman"/>
          <w:color w:val="000000" w:themeColor="text1"/>
          <w:lang w:val="en-GB"/>
        </w:rPr>
        <w:t xml:space="preserve">  </w:t>
      </w:r>
      <w:r w:rsidR="00A42E55" w:rsidRPr="00393CB4">
        <w:rPr>
          <w:rFonts w:ascii="Times New Roman" w:hAnsi="Times New Roman"/>
          <w:i/>
          <w:color w:val="000000" w:themeColor="text1"/>
          <w:lang w:val="en-GB"/>
        </w:rPr>
        <w:t>Academy of Management Review</w:t>
      </w:r>
      <w:r w:rsidR="005C76CD" w:rsidRPr="00393CB4">
        <w:rPr>
          <w:rFonts w:ascii="Times New Roman" w:hAnsi="Times New Roman"/>
          <w:color w:val="000000" w:themeColor="text1"/>
          <w:lang w:val="en-GB"/>
        </w:rPr>
        <w:t>,</w:t>
      </w:r>
      <w:r w:rsidRPr="00393CB4">
        <w:rPr>
          <w:rFonts w:ascii="Times New Roman" w:hAnsi="Times New Roman"/>
          <w:color w:val="000000" w:themeColor="text1"/>
          <w:lang w:val="en-GB"/>
        </w:rPr>
        <w:t xml:space="preserve"> 25, </w:t>
      </w:r>
      <w:r w:rsidR="00A42E55" w:rsidRPr="00393CB4">
        <w:rPr>
          <w:rFonts w:ascii="Times New Roman" w:hAnsi="Times New Roman"/>
          <w:color w:val="000000" w:themeColor="text1"/>
          <w:lang w:val="en-GB"/>
        </w:rPr>
        <w:t>102-21.</w:t>
      </w:r>
    </w:p>
    <w:p w14:paraId="644FECCF" w14:textId="7956CA94" w:rsidR="005C76CD" w:rsidRPr="00393CB4" w:rsidRDefault="005C76CD"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Channelmorenergy.eu. 2014</w:t>
      </w:r>
      <w:r w:rsidR="002A0B0D" w:rsidRPr="00393CB4">
        <w:rPr>
          <w:rFonts w:ascii="Times New Roman" w:hAnsi="Times New Roman"/>
          <w:color w:val="000000" w:themeColor="text1"/>
          <w:lang w:val="en-GB"/>
        </w:rPr>
        <w:t>.</w:t>
      </w:r>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 xml:space="preserve">Channel </w:t>
      </w:r>
      <w:proofErr w:type="spellStart"/>
      <w:r w:rsidRPr="00393CB4">
        <w:rPr>
          <w:rFonts w:ascii="Times New Roman" w:hAnsi="Times New Roman"/>
          <w:i/>
          <w:color w:val="000000" w:themeColor="text1"/>
          <w:lang w:val="en-GB"/>
        </w:rPr>
        <w:t>Mor</w:t>
      </w:r>
      <w:proofErr w:type="spellEnd"/>
      <w:r w:rsidRPr="00393CB4">
        <w:rPr>
          <w:rFonts w:ascii="Times New Roman" w:hAnsi="Times New Roman"/>
          <w:i/>
          <w:color w:val="000000" w:themeColor="text1"/>
          <w:lang w:val="en-GB"/>
        </w:rPr>
        <w:t xml:space="preserve"> Project: The Channel's MRE sector: Opportunity Analysis</w:t>
      </w:r>
      <w:r w:rsidRPr="00393CB4">
        <w:rPr>
          <w:rFonts w:ascii="Times New Roman" w:hAnsi="Times New Roman"/>
          <w:color w:val="000000" w:themeColor="text1"/>
          <w:lang w:val="en-GB"/>
        </w:rPr>
        <w:t xml:space="preserve">, from:  </w:t>
      </w:r>
      <w:hyperlink r:id="rId21" w:history="1">
        <w:r w:rsidRPr="00393CB4">
          <w:rPr>
            <w:rStyle w:val="Hyperlink"/>
            <w:rFonts w:ascii="Times New Roman" w:hAnsi="Times New Roman"/>
            <w:color w:val="000000" w:themeColor="text1"/>
            <w:lang w:val="en-GB"/>
          </w:rPr>
          <w:t>http://channelmorenergy.eu/wp-content/uploads/2015/04/channel_mre_opportunity_analysis.pdf</w:t>
        </w:r>
      </w:hyperlink>
    </w:p>
    <w:p w14:paraId="6638A563" w14:textId="66B90DB6" w:rsidR="00FB5AD8" w:rsidRPr="00393CB4" w:rsidRDefault="00FB5AD8"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Chang, H-H. and Huang, W-C. </w:t>
      </w:r>
      <w:r w:rsidR="000C2D8D" w:rsidRPr="00393CB4">
        <w:rPr>
          <w:rFonts w:ascii="Times New Roman" w:hAnsi="Times New Roman"/>
          <w:color w:val="000000" w:themeColor="text1"/>
          <w:lang w:val="en-GB"/>
        </w:rPr>
        <w:t xml:space="preserve">2006. Application of a quantification SWOT analytical method. </w:t>
      </w:r>
      <w:r w:rsidR="000C2D8D" w:rsidRPr="00393CB4">
        <w:rPr>
          <w:rFonts w:ascii="Times New Roman" w:hAnsi="Times New Roman"/>
          <w:i/>
          <w:color w:val="000000" w:themeColor="text1"/>
          <w:lang w:val="en-GB"/>
        </w:rPr>
        <w:t>Mathematical and Computer Modelling</w:t>
      </w:r>
      <w:r w:rsidR="005C76CD" w:rsidRPr="00393CB4">
        <w:rPr>
          <w:rFonts w:ascii="Times New Roman" w:hAnsi="Times New Roman"/>
          <w:color w:val="000000" w:themeColor="text1"/>
          <w:lang w:val="en-GB"/>
        </w:rPr>
        <w:t>,</w:t>
      </w:r>
      <w:r w:rsidR="000C2D8D" w:rsidRPr="00393CB4">
        <w:rPr>
          <w:rFonts w:ascii="Times New Roman" w:hAnsi="Times New Roman"/>
          <w:color w:val="000000" w:themeColor="text1"/>
          <w:lang w:val="en-GB"/>
        </w:rPr>
        <w:t xml:space="preserve"> 43(1-2), 158-169.</w:t>
      </w:r>
    </w:p>
    <w:p w14:paraId="262DBB08" w14:textId="77777777" w:rsidR="00A42E55" w:rsidRPr="00393CB4" w:rsidRDefault="00A42E55"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Christensen, R., Berg, N. and Salter, M. 1976. </w:t>
      </w:r>
      <w:r w:rsidRPr="00393CB4">
        <w:rPr>
          <w:rFonts w:ascii="Times New Roman" w:hAnsi="Times New Roman"/>
          <w:i/>
          <w:color w:val="000000" w:themeColor="text1"/>
          <w:lang w:val="en-GB"/>
        </w:rPr>
        <w:t>Policy Formulation and Administration</w:t>
      </w:r>
      <w:r w:rsidRPr="00393CB4">
        <w:rPr>
          <w:rFonts w:ascii="Times New Roman" w:hAnsi="Times New Roman"/>
          <w:color w:val="000000" w:themeColor="text1"/>
          <w:lang w:val="en-GB"/>
        </w:rPr>
        <w:t xml:space="preserve">, Irwin: </w:t>
      </w:r>
      <w:smartTag w:uri="urn:schemas-microsoft-com:office:smarttags" w:element="place">
        <w:smartTag w:uri="urn:schemas-microsoft-com:office:smarttags" w:element="City">
          <w:r w:rsidRPr="00393CB4">
            <w:rPr>
              <w:rFonts w:ascii="Times New Roman" w:hAnsi="Times New Roman"/>
              <w:color w:val="000000" w:themeColor="text1"/>
              <w:lang w:val="en-GB"/>
            </w:rPr>
            <w:t>Homewood</w:t>
          </w:r>
        </w:smartTag>
        <w:r w:rsidRPr="00393CB4">
          <w:rPr>
            <w:rFonts w:ascii="Times New Roman" w:hAnsi="Times New Roman"/>
            <w:color w:val="000000" w:themeColor="text1"/>
            <w:lang w:val="en-GB"/>
          </w:rPr>
          <w:t xml:space="preserve">, </w:t>
        </w:r>
        <w:smartTag w:uri="urn:schemas-microsoft-com:office:smarttags" w:element="State">
          <w:r w:rsidRPr="00393CB4">
            <w:rPr>
              <w:rFonts w:ascii="Times New Roman" w:hAnsi="Times New Roman"/>
              <w:color w:val="000000" w:themeColor="text1"/>
              <w:lang w:val="en-GB"/>
            </w:rPr>
            <w:t>IL</w:t>
          </w:r>
        </w:smartTag>
      </w:smartTag>
      <w:r w:rsidRPr="00393CB4">
        <w:rPr>
          <w:rFonts w:ascii="Times New Roman" w:hAnsi="Times New Roman"/>
          <w:color w:val="000000" w:themeColor="text1"/>
          <w:lang w:val="en-GB"/>
        </w:rPr>
        <w:t>.</w:t>
      </w:r>
    </w:p>
    <w:p w14:paraId="436CE33E" w14:textId="5203A4B6" w:rsidR="00FB5AD8" w:rsidRPr="00393CB4" w:rsidRDefault="00FB5AD8" w:rsidP="00B02199">
      <w:pPr>
        <w:spacing w:after="120" w:line="240" w:lineRule="auto"/>
        <w:ind w:left="720" w:hanging="720"/>
        <w:rPr>
          <w:rFonts w:ascii="Times New Roman" w:hAnsi="Times New Roman"/>
          <w:color w:val="000000" w:themeColor="text1"/>
        </w:rPr>
      </w:pPr>
      <w:r w:rsidRPr="00393CB4">
        <w:rPr>
          <w:rFonts w:ascii="Times New Roman" w:hAnsi="Times New Roman"/>
          <w:color w:val="000000" w:themeColor="text1"/>
        </w:rPr>
        <w:t xml:space="preserve">Cohen, W. and Levinthal, D. 1990. Absorptive capacity: a new perspective on learning and innovation. </w:t>
      </w:r>
      <w:r w:rsidRPr="00393CB4">
        <w:rPr>
          <w:rFonts w:ascii="Times New Roman" w:hAnsi="Times New Roman"/>
          <w:i/>
          <w:color w:val="000000" w:themeColor="text1"/>
        </w:rPr>
        <w:t>Administrative Science Quarterly</w:t>
      </w:r>
      <w:r w:rsidR="005C76CD" w:rsidRPr="00393CB4">
        <w:rPr>
          <w:rFonts w:ascii="Times New Roman" w:hAnsi="Times New Roman"/>
          <w:color w:val="000000" w:themeColor="text1"/>
        </w:rPr>
        <w:t>,</w:t>
      </w:r>
      <w:r w:rsidRPr="00393CB4">
        <w:rPr>
          <w:rFonts w:ascii="Times New Roman" w:hAnsi="Times New Roman"/>
          <w:color w:val="000000" w:themeColor="text1"/>
        </w:rPr>
        <w:t xml:space="preserve"> 35(1),128-152. </w:t>
      </w:r>
      <w:bookmarkStart w:id="0" w:name="_GoBack"/>
      <w:bookmarkEnd w:id="0"/>
    </w:p>
    <w:p w14:paraId="7024FA32" w14:textId="77777777" w:rsidR="00F13C72" w:rsidRPr="00393CB4" w:rsidRDefault="00F13C72" w:rsidP="00F13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284" w:hanging="284"/>
        <w:rPr>
          <w:rFonts w:ascii="Times New Roman" w:hAnsi="Times New Roman"/>
          <w:color w:val="000000" w:themeColor="text1"/>
        </w:rPr>
      </w:pPr>
      <w:proofErr w:type="spellStart"/>
      <w:r w:rsidRPr="00393CB4">
        <w:rPr>
          <w:rFonts w:ascii="Times New Roman" w:hAnsi="Times New Roman"/>
          <w:color w:val="000000" w:themeColor="text1"/>
        </w:rPr>
        <w:t>Cyert</w:t>
      </w:r>
      <w:proofErr w:type="spellEnd"/>
      <w:r w:rsidRPr="00393CB4">
        <w:rPr>
          <w:rFonts w:ascii="Times New Roman" w:hAnsi="Times New Roman"/>
          <w:color w:val="000000" w:themeColor="text1"/>
        </w:rPr>
        <w:t xml:space="preserve">, R. M., &amp; March, J. G. (1963). </w:t>
      </w:r>
      <w:r w:rsidRPr="00393CB4">
        <w:rPr>
          <w:rFonts w:ascii="Times New Roman" w:hAnsi="Times New Roman"/>
          <w:i/>
          <w:color w:val="000000" w:themeColor="text1"/>
        </w:rPr>
        <w:t xml:space="preserve">A behavioral theory of the firm. </w:t>
      </w:r>
      <w:r w:rsidRPr="00393CB4">
        <w:rPr>
          <w:rFonts w:ascii="Times New Roman" w:hAnsi="Times New Roman"/>
          <w:color w:val="000000" w:themeColor="text1"/>
        </w:rPr>
        <w:t>Englewood Cliffs, NJ.</w:t>
      </w:r>
    </w:p>
    <w:p w14:paraId="4356AA59" w14:textId="779D3476" w:rsidR="006A253C" w:rsidRPr="00393CB4" w:rsidRDefault="006A253C" w:rsidP="00B02199">
      <w:pPr>
        <w:spacing w:after="120" w:line="240" w:lineRule="auto"/>
        <w:ind w:left="720" w:hanging="720"/>
        <w:rPr>
          <w:rFonts w:ascii="Times New Roman" w:hAnsi="Times New Roman"/>
          <w:color w:val="000000" w:themeColor="text1"/>
        </w:rPr>
      </w:pPr>
      <w:r w:rsidRPr="00393CB4">
        <w:rPr>
          <w:rFonts w:ascii="Times New Roman" w:hAnsi="Times New Roman"/>
          <w:color w:val="000000" w:themeColor="text1"/>
        </w:rPr>
        <w:t>DECC</w:t>
      </w:r>
      <w:r w:rsidR="007F4A4B" w:rsidRPr="00393CB4">
        <w:rPr>
          <w:rFonts w:ascii="Times New Roman" w:hAnsi="Times New Roman"/>
          <w:color w:val="000000" w:themeColor="text1"/>
        </w:rPr>
        <w:t xml:space="preserve">. </w:t>
      </w:r>
      <w:r w:rsidRPr="00393CB4">
        <w:rPr>
          <w:rFonts w:ascii="Times New Roman" w:hAnsi="Times New Roman"/>
          <w:color w:val="000000" w:themeColor="text1"/>
        </w:rPr>
        <w:t>2014</w:t>
      </w:r>
      <w:r w:rsidR="007F4A4B" w:rsidRPr="00393CB4">
        <w:rPr>
          <w:rFonts w:ascii="Times New Roman" w:hAnsi="Times New Roman"/>
          <w:color w:val="000000" w:themeColor="text1"/>
        </w:rPr>
        <w:t>.</w:t>
      </w:r>
      <w:r w:rsidRPr="00393CB4">
        <w:rPr>
          <w:rFonts w:ascii="Times New Roman" w:hAnsi="Times New Roman"/>
          <w:color w:val="000000" w:themeColor="text1"/>
        </w:rPr>
        <w:t xml:space="preserve"> </w:t>
      </w:r>
      <w:r w:rsidRPr="00393CB4">
        <w:rPr>
          <w:rFonts w:ascii="Times New Roman" w:hAnsi="Times New Roman"/>
          <w:i/>
          <w:color w:val="000000" w:themeColor="text1"/>
        </w:rPr>
        <w:t xml:space="preserve">Supply Chain </w:t>
      </w:r>
      <w:r w:rsidR="00EE63E3" w:rsidRPr="00393CB4">
        <w:rPr>
          <w:rFonts w:ascii="Times New Roman" w:hAnsi="Times New Roman"/>
          <w:i/>
          <w:color w:val="000000" w:themeColor="text1"/>
        </w:rPr>
        <w:t>Plan Final Guidance</w:t>
      </w:r>
      <w:r w:rsidRPr="00393CB4">
        <w:rPr>
          <w:rFonts w:ascii="Times New Roman" w:hAnsi="Times New Roman"/>
          <w:color w:val="000000" w:themeColor="text1"/>
        </w:rPr>
        <w:t xml:space="preserve">, available at: </w:t>
      </w:r>
      <w:hyperlink r:id="rId22" w:history="1">
        <w:r w:rsidRPr="00393CB4">
          <w:rPr>
            <w:rStyle w:val="Hyperlink"/>
            <w:rFonts w:ascii="Times New Roman" w:hAnsi="Times New Roman"/>
            <w:color w:val="000000" w:themeColor="text1"/>
          </w:rPr>
          <w:t>https://www.gov.uk/government/uploads/system/uploads/attachment_data/file/340033/Supply_chain_plan_guidance.pdf</w:t>
        </w:r>
      </w:hyperlink>
    </w:p>
    <w:p w14:paraId="07EDEC08" w14:textId="0145BCE7" w:rsidR="00A42E55" w:rsidRPr="00393CB4" w:rsidRDefault="00D21819" w:rsidP="005E1E38">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Devine-Wright, P. 2005.</w:t>
      </w:r>
      <w:r w:rsidR="00A42E55" w:rsidRPr="00393CB4">
        <w:rPr>
          <w:rFonts w:ascii="Times New Roman" w:hAnsi="Times New Roman"/>
          <w:color w:val="000000" w:themeColor="text1"/>
          <w:lang w:val="en-GB"/>
        </w:rPr>
        <w:t xml:space="preserve"> Beyond NIMBYism: towards an integrated framework for understanding pu</w:t>
      </w:r>
      <w:r w:rsidRPr="00393CB4">
        <w:rPr>
          <w:rFonts w:ascii="Times New Roman" w:hAnsi="Times New Roman"/>
          <w:color w:val="000000" w:themeColor="text1"/>
          <w:lang w:val="en-GB"/>
        </w:rPr>
        <w:t>blic perceptions of wind energy</w:t>
      </w:r>
      <w:r w:rsidR="007F4A4B" w:rsidRPr="00393CB4">
        <w:rPr>
          <w:rFonts w:ascii="Times New Roman" w:hAnsi="Times New Roman"/>
          <w:color w:val="000000" w:themeColor="text1"/>
          <w:lang w:val="en-GB"/>
        </w:rPr>
        <w:t>,</w:t>
      </w:r>
      <w:r w:rsidR="00A42E55" w:rsidRPr="00393CB4">
        <w:rPr>
          <w:rFonts w:ascii="Times New Roman" w:hAnsi="Times New Roman"/>
          <w:color w:val="000000" w:themeColor="text1"/>
          <w:lang w:val="en-GB"/>
        </w:rPr>
        <w:t xml:space="preserve"> </w:t>
      </w:r>
      <w:r w:rsidR="00A42E55" w:rsidRPr="00393CB4">
        <w:rPr>
          <w:rFonts w:ascii="Times New Roman" w:hAnsi="Times New Roman"/>
          <w:i/>
          <w:color w:val="000000" w:themeColor="text1"/>
          <w:lang w:val="en-GB"/>
        </w:rPr>
        <w:t>Wind Energy</w:t>
      </w:r>
      <w:r w:rsidR="007F4A4B" w:rsidRPr="00393CB4">
        <w:rPr>
          <w:rFonts w:ascii="Times New Roman" w:hAnsi="Times New Roman"/>
          <w:color w:val="000000" w:themeColor="text1"/>
          <w:lang w:val="en-GB"/>
        </w:rPr>
        <w:t>,</w:t>
      </w:r>
      <w:r w:rsidR="00A42E55" w:rsidRPr="00393CB4">
        <w:rPr>
          <w:rFonts w:ascii="Times New Roman" w:hAnsi="Times New Roman"/>
          <w:color w:val="000000" w:themeColor="text1"/>
          <w:lang w:val="en-GB"/>
        </w:rPr>
        <w:t xml:space="preserve"> 8</w:t>
      </w:r>
      <w:r w:rsidRPr="00393CB4">
        <w:rPr>
          <w:rFonts w:ascii="Times New Roman" w:hAnsi="Times New Roman"/>
          <w:color w:val="000000" w:themeColor="text1"/>
          <w:lang w:val="en-GB"/>
        </w:rPr>
        <w:t>(2)</w:t>
      </w:r>
      <w:r w:rsidR="00A42E55" w:rsidRPr="00393CB4">
        <w:rPr>
          <w:rFonts w:ascii="Times New Roman" w:hAnsi="Times New Roman"/>
          <w:color w:val="000000" w:themeColor="text1"/>
          <w:lang w:val="en-GB"/>
        </w:rPr>
        <w:t xml:space="preserve">, </w:t>
      </w:r>
      <w:r w:rsidRPr="00393CB4">
        <w:rPr>
          <w:rFonts w:ascii="Times New Roman" w:hAnsi="Times New Roman"/>
          <w:color w:val="000000" w:themeColor="text1"/>
          <w:lang w:val="en-GB"/>
        </w:rPr>
        <w:t>125–139.</w:t>
      </w:r>
    </w:p>
    <w:p w14:paraId="4D84950B" w14:textId="5B8F7345" w:rsidR="00A42E55" w:rsidRPr="00393CB4" w:rsidRDefault="00A42E55" w:rsidP="007E264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Dhanju</w:t>
      </w:r>
      <w:proofErr w:type="spellEnd"/>
      <w:r w:rsidRPr="00393CB4">
        <w:rPr>
          <w:rFonts w:ascii="Times New Roman" w:hAnsi="Times New Roman"/>
          <w:color w:val="000000" w:themeColor="text1"/>
          <w:lang w:val="en-GB"/>
        </w:rPr>
        <w:t>, A., Firestone, J.  and Kempton, W. 2011</w:t>
      </w:r>
      <w:r w:rsidR="00D21819" w:rsidRPr="00393CB4">
        <w:rPr>
          <w:rFonts w:ascii="Times New Roman" w:hAnsi="Times New Roman"/>
          <w:color w:val="000000" w:themeColor="text1"/>
          <w:lang w:val="en-GB"/>
        </w:rPr>
        <w:t xml:space="preserve">. </w:t>
      </w:r>
      <w:r w:rsidRPr="00393CB4">
        <w:rPr>
          <w:rFonts w:ascii="Times New Roman" w:hAnsi="Times New Roman"/>
          <w:color w:val="000000" w:themeColor="text1"/>
          <w:lang w:val="en-GB"/>
        </w:rPr>
        <w:t>Potential role of power authorities in offshore wind power development in the US</w:t>
      </w:r>
      <w:r w:rsidR="00D21819" w:rsidRPr="00393CB4">
        <w:rPr>
          <w:rFonts w:ascii="Times New Roman" w:hAnsi="Times New Roman"/>
          <w:color w:val="000000" w:themeColor="text1"/>
          <w:lang w:val="en-GB"/>
        </w:rPr>
        <w:t>.</w:t>
      </w:r>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Energy Policy</w:t>
      </w:r>
      <w:r w:rsidR="007F4A4B" w:rsidRPr="00393CB4">
        <w:rPr>
          <w:rFonts w:ascii="Times New Roman" w:hAnsi="Times New Roman"/>
          <w:color w:val="000000" w:themeColor="text1"/>
          <w:lang w:val="en-GB"/>
        </w:rPr>
        <w:t>,</w:t>
      </w:r>
      <w:r w:rsidR="00D21819" w:rsidRPr="00393CB4">
        <w:rPr>
          <w:rFonts w:ascii="Times New Roman" w:hAnsi="Times New Roman"/>
          <w:color w:val="000000" w:themeColor="text1"/>
          <w:lang w:val="en-GB"/>
        </w:rPr>
        <w:t xml:space="preserve"> </w:t>
      </w:r>
      <w:r w:rsidRPr="00393CB4">
        <w:rPr>
          <w:rFonts w:ascii="Times New Roman" w:hAnsi="Times New Roman"/>
          <w:color w:val="000000" w:themeColor="text1"/>
          <w:lang w:val="en-GB"/>
        </w:rPr>
        <w:t>39, 7025-7035.</w:t>
      </w:r>
    </w:p>
    <w:p w14:paraId="29460984" w14:textId="49150A75" w:rsidR="007F4A4B" w:rsidRPr="00393CB4" w:rsidRDefault="007F4A4B"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Foray, D. 2014. From smart specialisation to smart specialisation policy, </w:t>
      </w:r>
      <w:r w:rsidRPr="00393CB4">
        <w:rPr>
          <w:rFonts w:ascii="Times New Roman" w:hAnsi="Times New Roman"/>
          <w:i/>
          <w:color w:val="000000" w:themeColor="text1"/>
          <w:lang w:val="en-GB"/>
        </w:rPr>
        <w:t>European Journal of Innovation Management</w:t>
      </w:r>
      <w:r w:rsidRPr="00393CB4">
        <w:rPr>
          <w:rFonts w:ascii="Times New Roman" w:hAnsi="Times New Roman"/>
          <w:color w:val="000000" w:themeColor="text1"/>
          <w:lang w:val="en-GB"/>
        </w:rPr>
        <w:t>, 17/4, 492-507.</w:t>
      </w:r>
    </w:p>
    <w:p w14:paraId="337C9958" w14:textId="4E138A47" w:rsidR="00D73237" w:rsidRPr="00D73237" w:rsidRDefault="00D73237" w:rsidP="007E264A">
      <w:pPr>
        <w:spacing w:after="120" w:line="240" w:lineRule="auto"/>
        <w:ind w:left="720" w:hanging="720"/>
        <w:rPr>
          <w:rFonts w:ascii="Times New Roman" w:hAnsi="Times New Roman"/>
          <w:color w:val="000000" w:themeColor="text1"/>
          <w:lang w:val="nl-NL"/>
        </w:rPr>
      </w:pPr>
      <w:proofErr w:type="spellStart"/>
      <w:r w:rsidRPr="00D73237">
        <w:rPr>
          <w:rFonts w:ascii="Times New Roman" w:hAnsi="Times New Roman"/>
          <w:color w:val="000000"/>
          <w:lang w:val="en-GB" w:eastAsia="en-GB"/>
        </w:rPr>
        <w:t>Gavetti</w:t>
      </w:r>
      <w:proofErr w:type="spellEnd"/>
      <w:r w:rsidRPr="00D73237">
        <w:rPr>
          <w:rFonts w:ascii="Times New Roman" w:hAnsi="Times New Roman"/>
          <w:color w:val="000000"/>
          <w:lang w:val="en-GB" w:eastAsia="en-GB"/>
        </w:rPr>
        <w:t xml:space="preserve">, G. and Levinthal, D. (2000). Looking forward and looking backward: cognitive and experiential search, </w:t>
      </w:r>
      <w:r w:rsidRPr="00D73237">
        <w:rPr>
          <w:rFonts w:ascii="Times New Roman" w:hAnsi="Times New Roman"/>
          <w:i/>
          <w:iCs/>
          <w:color w:val="000000"/>
          <w:lang w:val="en-GB" w:eastAsia="en-GB"/>
        </w:rPr>
        <w:t>Administrative Science Quarterly</w:t>
      </w:r>
      <w:r w:rsidRPr="00D73237">
        <w:rPr>
          <w:rFonts w:ascii="Times New Roman" w:hAnsi="Times New Roman"/>
          <w:color w:val="000000"/>
          <w:lang w:val="en-GB" w:eastAsia="en-GB"/>
        </w:rPr>
        <w:t>, 45, 113-137.</w:t>
      </w:r>
    </w:p>
    <w:p w14:paraId="0302C549" w14:textId="549D596D" w:rsidR="00A42E55" w:rsidRPr="00393CB4" w:rsidRDefault="007F40A1"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nl-NL"/>
        </w:rPr>
        <w:t xml:space="preserve">Gernaat, D.E.H.J., Van Vuuren, D.P., Van Vliet, J., Sullivan, P., and Arent, D.J. 2014. </w:t>
      </w:r>
      <w:r w:rsidR="00A42E55" w:rsidRPr="00393CB4">
        <w:rPr>
          <w:rFonts w:ascii="Times New Roman" w:hAnsi="Times New Roman"/>
          <w:color w:val="000000" w:themeColor="text1"/>
          <w:lang w:val="en-GB"/>
        </w:rPr>
        <w:t>Global long-term cost dynamics of offsh</w:t>
      </w:r>
      <w:r w:rsidR="00D21819" w:rsidRPr="00393CB4">
        <w:rPr>
          <w:rFonts w:ascii="Times New Roman" w:hAnsi="Times New Roman"/>
          <w:color w:val="000000" w:themeColor="text1"/>
          <w:lang w:val="en-GB"/>
        </w:rPr>
        <w:t>ore wind electricity generation.</w:t>
      </w:r>
      <w:r w:rsidR="00A42E55" w:rsidRPr="00393CB4">
        <w:rPr>
          <w:rFonts w:ascii="Times New Roman" w:hAnsi="Times New Roman"/>
          <w:color w:val="000000" w:themeColor="text1"/>
          <w:lang w:val="en-GB"/>
        </w:rPr>
        <w:t xml:space="preserve"> </w:t>
      </w:r>
      <w:r w:rsidR="00A42E55" w:rsidRPr="00393CB4">
        <w:rPr>
          <w:rFonts w:ascii="Times New Roman" w:hAnsi="Times New Roman"/>
          <w:i/>
          <w:color w:val="000000" w:themeColor="text1"/>
          <w:lang w:val="en-GB"/>
        </w:rPr>
        <w:t>Energy</w:t>
      </w:r>
      <w:r w:rsidR="00A876F5" w:rsidRPr="00393CB4">
        <w:rPr>
          <w:rFonts w:ascii="Times New Roman" w:hAnsi="Times New Roman"/>
          <w:color w:val="000000" w:themeColor="text1"/>
          <w:lang w:val="en-GB"/>
        </w:rPr>
        <w:t>,</w:t>
      </w:r>
      <w:r w:rsidR="00D21819" w:rsidRPr="00393CB4">
        <w:rPr>
          <w:rFonts w:ascii="Times New Roman" w:hAnsi="Times New Roman"/>
          <w:color w:val="000000" w:themeColor="text1"/>
          <w:lang w:val="en-GB"/>
        </w:rPr>
        <w:t xml:space="preserve"> </w:t>
      </w:r>
      <w:r w:rsidR="00A42E55" w:rsidRPr="00393CB4">
        <w:rPr>
          <w:rFonts w:ascii="Times New Roman" w:hAnsi="Times New Roman"/>
          <w:color w:val="000000" w:themeColor="text1"/>
          <w:lang w:val="en-GB"/>
        </w:rPr>
        <w:t xml:space="preserve">76, 663-672. </w:t>
      </w:r>
    </w:p>
    <w:p w14:paraId="040CD976" w14:textId="64AC15C1" w:rsidR="002A0B0D" w:rsidRPr="00393CB4" w:rsidRDefault="002A0B0D"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lastRenderedPageBreak/>
        <w:t>Govindan, K</w:t>
      </w:r>
      <w:r w:rsidR="00F13C72" w:rsidRPr="00393CB4">
        <w:rPr>
          <w:rFonts w:ascii="Times New Roman" w:hAnsi="Times New Roman"/>
          <w:color w:val="000000" w:themeColor="text1"/>
          <w:lang w:val="en-GB"/>
        </w:rPr>
        <w:t xml:space="preserve">. and Shankar, M. 2016. Evaluating the essential barrier to offshore wind energy – an Indian perspective, </w:t>
      </w:r>
      <w:r w:rsidR="00F13C72" w:rsidRPr="00393CB4">
        <w:rPr>
          <w:rFonts w:ascii="Times New Roman" w:hAnsi="Times New Roman"/>
          <w:i/>
          <w:color w:val="000000" w:themeColor="text1"/>
          <w:lang w:val="en-GB"/>
        </w:rPr>
        <w:t>International Journal of Energy Sector Management</w:t>
      </w:r>
      <w:r w:rsidR="00F13C72" w:rsidRPr="00393CB4">
        <w:rPr>
          <w:rFonts w:ascii="Times New Roman" w:hAnsi="Times New Roman"/>
          <w:color w:val="000000" w:themeColor="text1"/>
          <w:lang w:val="en-GB"/>
        </w:rPr>
        <w:t>, 10,2, 266-282.</w:t>
      </w:r>
    </w:p>
    <w:p w14:paraId="734AB7C2" w14:textId="01196F5A" w:rsidR="005D2901" w:rsidRPr="00393CB4" w:rsidRDefault="005D2901" w:rsidP="005D2901">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Hennelly, P. and Wong, C.Y. 2016. The formation of inter-firm relationships: a UK offshore wind sector analysis, </w:t>
      </w:r>
      <w:r w:rsidRPr="00393CB4">
        <w:rPr>
          <w:rFonts w:ascii="Times New Roman" w:hAnsi="Times New Roman"/>
          <w:i/>
          <w:color w:val="000000" w:themeColor="text1"/>
          <w:lang w:val="en-GB"/>
        </w:rPr>
        <w:t>International Journal of Energy Sector Management</w:t>
      </w:r>
      <w:r w:rsidRPr="00393CB4">
        <w:rPr>
          <w:rFonts w:ascii="Times New Roman" w:hAnsi="Times New Roman"/>
          <w:color w:val="000000" w:themeColor="text1"/>
          <w:lang w:val="en-GB"/>
        </w:rPr>
        <w:t>, 10,2, 172-190.</w:t>
      </w:r>
    </w:p>
    <w:p w14:paraId="1C573380" w14:textId="4C1F9959" w:rsidR="00A42E55" w:rsidRPr="00393CB4" w:rsidRDefault="00A42E55" w:rsidP="002A0B0D">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Higgins, P. and Fowley, </w:t>
      </w:r>
      <w:r w:rsidR="00D21819" w:rsidRPr="00393CB4">
        <w:rPr>
          <w:rFonts w:ascii="Times New Roman" w:hAnsi="Times New Roman"/>
          <w:color w:val="000000" w:themeColor="text1"/>
          <w:lang w:val="en-GB"/>
        </w:rPr>
        <w:t xml:space="preserve">A. 2014.  </w:t>
      </w:r>
      <w:r w:rsidRPr="00393CB4">
        <w:rPr>
          <w:rFonts w:ascii="Times New Roman" w:hAnsi="Times New Roman"/>
          <w:color w:val="000000" w:themeColor="text1"/>
          <w:lang w:val="en-GB"/>
        </w:rPr>
        <w:t>The evolution of offshore wind power in the United Kingdom</w:t>
      </w:r>
      <w:r w:rsidR="00D21819"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Renewable and Sustainable Energy Reviews</w:t>
      </w:r>
      <w:r w:rsidRPr="00393CB4">
        <w:rPr>
          <w:rFonts w:ascii="Times New Roman" w:hAnsi="Times New Roman"/>
          <w:color w:val="000000" w:themeColor="text1"/>
          <w:lang w:val="en-GB"/>
        </w:rPr>
        <w:t xml:space="preserve">, 37, </w:t>
      </w:r>
      <w:r w:rsidR="00D21819" w:rsidRPr="00393CB4">
        <w:rPr>
          <w:rFonts w:ascii="Times New Roman" w:hAnsi="Times New Roman"/>
          <w:color w:val="000000" w:themeColor="text1"/>
          <w:lang w:val="en-GB"/>
        </w:rPr>
        <w:t>599-</w:t>
      </w:r>
      <w:r w:rsidRPr="00393CB4">
        <w:rPr>
          <w:rFonts w:ascii="Times New Roman" w:hAnsi="Times New Roman"/>
          <w:color w:val="000000" w:themeColor="text1"/>
          <w:lang w:val="en-GB"/>
        </w:rPr>
        <w:t xml:space="preserve">612. </w:t>
      </w:r>
    </w:p>
    <w:p w14:paraId="585F6EE5" w14:textId="0C9F7261" w:rsidR="00A42E55" w:rsidRPr="00393CB4" w:rsidRDefault="00A42E55"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Hill, T. and Westbrook, R. 1997. SWOT analysis: It's time for a product recall. </w:t>
      </w:r>
      <w:r w:rsidRPr="00393CB4">
        <w:rPr>
          <w:rFonts w:ascii="Times New Roman" w:hAnsi="Times New Roman"/>
          <w:i/>
          <w:color w:val="000000" w:themeColor="text1"/>
          <w:lang w:val="en-GB"/>
        </w:rPr>
        <w:t>Long Range Planning</w:t>
      </w:r>
      <w:r w:rsidR="00A876F5" w:rsidRPr="00393CB4">
        <w:rPr>
          <w:rFonts w:ascii="Times New Roman" w:hAnsi="Times New Roman"/>
          <w:i/>
          <w:color w:val="000000" w:themeColor="text1"/>
          <w:lang w:val="en-GB"/>
        </w:rPr>
        <w:t>,</w:t>
      </w:r>
      <w:r w:rsidRPr="00393CB4">
        <w:rPr>
          <w:rFonts w:ascii="Times New Roman" w:hAnsi="Times New Roman"/>
          <w:color w:val="000000" w:themeColor="text1"/>
          <w:lang w:val="en-GB"/>
        </w:rPr>
        <w:t xml:space="preserve"> 30(1), 46-52.</w:t>
      </w:r>
    </w:p>
    <w:p w14:paraId="1B1954F0" w14:textId="77777777" w:rsidR="00A42E55" w:rsidRPr="00393CB4" w:rsidRDefault="00A42E55" w:rsidP="007E264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Hufbauer</w:t>
      </w:r>
      <w:proofErr w:type="spellEnd"/>
      <w:r w:rsidRPr="00393CB4">
        <w:rPr>
          <w:rFonts w:ascii="Times New Roman" w:hAnsi="Times New Roman"/>
          <w:color w:val="000000" w:themeColor="text1"/>
          <w:lang w:val="en-GB"/>
        </w:rPr>
        <w:t>, G.C., Schott,</w:t>
      </w:r>
      <w:r w:rsidR="00D21819" w:rsidRPr="00393CB4">
        <w:rPr>
          <w:rFonts w:ascii="Times New Roman" w:hAnsi="Times New Roman"/>
          <w:color w:val="000000" w:themeColor="text1"/>
          <w:lang w:val="en-GB"/>
        </w:rPr>
        <w:t xml:space="preserve"> J.J., </w:t>
      </w:r>
      <w:proofErr w:type="spellStart"/>
      <w:r w:rsidR="00D21819" w:rsidRPr="00393CB4">
        <w:rPr>
          <w:rFonts w:ascii="Times New Roman" w:hAnsi="Times New Roman"/>
          <w:color w:val="000000" w:themeColor="text1"/>
          <w:lang w:val="en-GB"/>
        </w:rPr>
        <w:t>Viero</w:t>
      </w:r>
      <w:proofErr w:type="spellEnd"/>
      <w:r w:rsidR="00D21819" w:rsidRPr="00393CB4">
        <w:rPr>
          <w:rFonts w:ascii="Times New Roman" w:hAnsi="Times New Roman"/>
          <w:color w:val="000000" w:themeColor="text1"/>
          <w:lang w:val="en-GB"/>
        </w:rPr>
        <w:t>, M., and Wada, E. 2013.</w:t>
      </w:r>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Local Content Requirements: A Global Problem</w:t>
      </w:r>
      <w:r w:rsidRPr="00393CB4">
        <w:rPr>
          <w:rFonts w:ascii="Times New Roman" w:hAnsi="Times New Roman"/>
          <w:color w:val="000000" w:themeColor="text1"/>
          <w:lang w:val="en-GB"/>
        </w:rPr>
        <w:t xml:space="preserve">, Peterson Institute for International Economics: </w:t>
      </w:r>
      <w:smartTag w:uri="urn:schemas-microsoft-com:office:smarttags" w:element="place">
        <w:smartTag w:uri="urn:schemas-microsoft-com:office:smarttags" w:element="City">
          <w:r w:rsidRPr="00393CB4">
            <w:rPr>
              <w:rFonts w:ascii="Times New Roman" w:hAnsi="Times New Roman"/>
              <w:color w:val="000000" w:themeColor="text1"/>
              <w:lang w:val="en-GB"/>
            </w:rPr>
            <w:t>Washington</w:t>
          </w:r>
        </w:smartTag>
        <w:r w:rsidRPr="00393CB4">
          <w:rPr>
            <w:rFonts w:ascii="Times New Roman" w:hAnsi="Times New Roman"/>
            <w:color w:val="000000" w:themeColor="text1"/>
            <w:lang w:val="en-GB"/>
          </w:rPr>
          <w:t xml:space="preserve">, </w:t>
        </w:r>
        <w:smartTag w:uri="urn:schemas-microsoft-com:office:smarttags" w:element="State">
          <w:r w:rsidRPr="00393CB4">
            <w:rPr>
              <w:rFonts w:ascii="Times New Roman" w:hAnsi="Times New Roman"/>
              <w:color w:val="000000" w:themeColor="text1"/>
              <w:lang w:val="en-GB"/>
            </w:rPr>
            <w:t>DC</w:t>
          </w:r>
        </w:smartTag>
      </w:smartTag>
      <w:r w:rsidRPr="00393CB4">
        <w:rPr>
          <w:rFonts w:ascii="Times New Roman" w:hAnsi="Times New Roman"/>
          <w:color w:val="000000" w:themeColor="text1"/>
          <w:lang w:val="en-GB"/>
        </w:rPr>
        <w:t>.</w:t>
      </w:r>
    </w:p>
    <w:p w14:paraId="35DC3D33" w14:textId="5298CE97" w:rsidR="00A42E55" w:rsidRPr="00393CB4" w:rsidRDefault="00A42E55" w:rsidP="007E264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Jaco</w:t>
      </w:r>
      <w:r w:rsidR="00D21819" w:rsidRPr="00393CB4">
        <w:rPr>
          <w:rFonts w:ascii="Times New Roman" w:hAnsi="Times New Roman"/>
          <w:color w:val="000000" w:themeColor="text1"/>
          <w:lang w:val="en-GB"/>
        </w:rPr>
        <w:t>bsson</w:t>
      </w:r>
      <w:proofErr w:type="spellEnd"/>
      <w:r w:rsidR="00D21819" w:rsidRPr="00393CB4">
        <w:rPr>
          <w:rFonts w:ascii="Times New Roman" w:hAnsi="Times New Roman"/>
          <w:color w:val="000000" w:themeColor="text1"/>
          <w:lang w:val="en-GB"/>
        </w:rPr>
        <w:t xml:space="preserve">. S. and Lauber, V. 2006. </w:t>
      </w:r>
      <w:r w:rsidRPr="00393CB4">
        <w:rPr>
          <w:rFonts w:ascii="Times New Roman" w:hAnsi="Times New Roman"/>
          <w:color w:val="000000" w:themeColor="text1"/>
          <w:lang w:val="en-GB"/>
        </w:rPr>
        <w:t>The politics and policy of energy system transformation - explaining the German diffusion</w:t>
      </w:r>
      <w:r w:rsidR="00D21819" w:rsidRPr="00393CB4">
        <w:rPr>
          <w:rFonts w:ascii="Times New Roman" w:hAnsi="Times New Roman"/>
          <w:color w:val="000000" w:themeColor="text1"/>
          <w:lang w:val="en-GB"/>
        </w:rPr>
        <w:t xml:space="preserve"> of renewable energy technology</w:t>
      </w:r>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Energy Policy</w:t>
      </w:r>
      <w:r w:rsidR="00D92BDD" w:rsidRPr="00393CB4">
        <w:rPr>
          <w:rFonts w:ascii="Times New Roman" w:hAnsi="Times New Roman"/>
          <w:color w:val="000000" w:themeColor="text1"/>
          <w:lang w:val="en-GB"/>
        </w:rPr>
        <w:t>,</w:t>
      </w:r>
      <w:r w:rsidRPr="00393CB4">
        <w:rPr>
          <w:rFonts w:ascii="Times New Roman" w:hAnsi="Times New Roman"/>
          <w:color w:val="000000" w:themeColor="text1"/>
          <w:lang w:val="en-GB"/>
        </w:rPr>
        <w:t xml:space="preserve"> 34</w:t>
      </w:r>
      <w:r w:rsidR="00D21819" w:rsidRPr="00393CB4">
        <w:rPr>
          <w:rFonts w:ascii="Times New Roman" w:hAnsi="Times New Roman"/>
          <w:color w:val="000000" w:themeColor="text1"/>
          <w:lang w:val="en-GB"/>
        </w:rPr>
        <w:t xml:space="preserve">, </w:t>
      </w:r>
      <w:r w:rsidRPr="00393CB4">
        <w:rPr>
          <w:rFonts w:ascii="Times New Roman" w:hAnsi="Times New Roman"/>
          <w:color w:val="000000" w:themeColor="text1"/>
          <w:lang w:val="en-GB"/>
        </w:rPr>
        <w:t xml:space="preserve">256-276. </w:t>
      </w:r>
    </w:p>
    <w:p w14:paraId="5D24A857" w14:textId="1A94E78A" w:rsidR="00A42E55" w:rsidRPr="00393CB4" w:rsidRDefault="007F40A1" w:rsidP="007E264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Kaldellis</w:t>
      </w:r>
      <w:proofErr w:type="spellEnd"/>
      <w:r w:rsidRPr="00393CB4">
        <w:rPr>
          <w:rFonts w:ascii="Times New Roman" w:hAnsi="Times New Roman"/>
          <w:color w:val="000000" w:themeColor="text1"/>
          <w:lang w:val="en-GB"/>
        </w:rPr>
        <w:t xml:space="preserve">, J.K. and </w:t>
      </w:r>
      <w:proofErr w:type="spellStart"/>
      <w:r w:rsidRPr="00393CB4">
        <w:rPr>
          <w:rFonts w:ascii="Times New Roman" w:hAnsi="Times New Roman"/>
          <w:color w:val="000000" w:themeColor="text1"/>
          <w:lang w:val="en-GB"/>
        </w:rPr>
        <w:t>Kapasali</w:t>
      </w:r>
      <w:proofErr w:type="spellEnd"/>
      <w:r w:rsidRPr="00393CB4">
        <w:rPr>
          <w:rFonts w:ascii="Times New Roman" w:hAnsi="Times New Roman"/>
          <w:color w:val="000000" w:themeColor="text1"/>
          <w:lang w:val="en-GB"/>
        </w:rPr>
        <w:t xml:space="preserve">, M. 2013. </w:t>
      </w:r>
      <w:r w:rsidR="00A42E55" w:rsidRPr="00393CB4">
        <w:rPr>
          <w:rFonts w:ascii="Times New Roman" w:hAnsi="Times New Roman"/>
          <w:color w:val="000000" w:themeColor="text1"/>
          <w:lang w:val="en-GB"/>
        </w:rPr>
        <w:t xml:space="preserve">Shifting towards offshore wind energy - recent </w:t>
      </w:r>
      <w:r w:rsidR="00D21819" w:rsidRPr="00393CB4">
        <w:rPr>
          <w:rFonts w:ascii="Times New Roman" w:hAnsi="Times New Roman"/>
          <w:color w:val="000000" w:themeColor="text1"/>
          <w:lang w:val="en-GB"/>
        </w:rPr>
        <w:t>activity and future development</w:t>
      </w:r>
      <w:r w:rsidR="00A42E55" w:rsidRPr="00393CB4">
        <w:rPr>
          <w:rFonts w:ascii="Times New Roman" w:hAnsi="Times New Roman"/>
          <w:color w:val="000000" w:themeColor="text1"/>
          <w:lang w:val="en-GB"/>
        </w:rPr>
        <w:t xml:space="preserve">, </w:t>
      </w:r>
      <w:r w:rsidR="00A42E55" w:rsidRPr="00393CB4">
        <w:rPr>
          <w:rFonts w:ascii="Times New Roman" w:hAnsi="Times New Roman"/>
          <w:i/>
          <w:color w:val="000000" w:themeColor="text1"/>
          <w:lang w:val="en-GB"/>
        </w:rPr>
        <w:t>Energy Policy</w:t>
      </w:r>
      <w:r w:rsidR="00D92BDD" w:rsidRPr="00393CB4">
        <w:rPr>
          <w:rFonts w:ascii="Times New Roman" w:hAnsi="Times New Roman"/>
          <w:color w:val="000000" w:themeColor="text1"/>
          <w:lang w:val="en-GB"/>
        </w:rPr>
        <w:t>,</w:t>
      </w:r>
      <w:r w:rsidR="00A42E55" w:rsidRPr="00393CB4">
        <w:rPr>
          <w:rFonts w:ascii="Times New Roman" w:hAnsi="Times New Roman"/>
          <w:color w:val="000000" w:themeColor="text1"/>
          <w:lang w:val="en-GB"/>
        </w:rPr>
        <w:t xml:space="preserve"> 53, 136-148.</w:t>
      </w:r>
    </w:p>
    <w:p w14:paraId="175F8FF2" w14:textId="2ACB4574" w:rsidR="005712DD" w:rsidRPr="00393CB4" w:rsidRDefault="005712DD" w:rsidP="005712DD">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Kavin</w:t>
      </w:r>
      <w:proofErr w:type="spellEnd"/>
      <w:r w:rsidRPr="00393CB4">
        <w:rPr>
          <w:rFonts w:ascii="Times New Roman" w:hAnsi="Times New Roman"/>
          <w:color w:val="000000" w:themeColor="text1"/>
          <w:lang w:val="en-GB"/>
        </w:rPr>
        <w:t xml:space="preserve">, L. and </w:t>
      </w:r>
      <w:proofErr w:type="spellStart"/>
      <w:r w:rsidRPr="00393CB4">
        <w:rPr>
          <w:rFonts w:ascii="Times New Roman" w:hAnsi="Times New Roman"/>
          <w:color w:val="000000" w:themeColor="text1"/>
          <w:lang w:val="en-GB"/>
        </w:rPr>
        <w:t>Stentoft</w:t>
      </w:r>
      <w:proofErr w:type="spellEnd"/>
      <w:r w:rsidRPr="00393CB4">
        <w:rPr>
          <w:rFonts w:ascii="Times New Roman" w:hAnsi="Times New Roman"/>
          <w:color w:val="000000" w:themeColor="text1"/>
          <w:lang w:val="en-GB"/>
        </w:rPr>
        <w:t xml:space="preserve">, J. 2017. Fostering of innovation within green industries: How the Danish national innovation systems affect supply-network enabled innovation, </w:t>
      </w:r>
      <w:r w:rsidRPr="00393CB4">
        <w:rPr>
          <w:rFonts w:ascii="Times New Roman" w:hAnsi="Times New Roman"/>
          <w:i/>
          <w:color w:val="000000" w:themeColor="text1"/>
          <w:lang w:val="en-GB"/>
        </w:rPr>
        <w:t>International Journal of Energy Sector Management</w:t>
      </w:r>
      <w:r w:rsidRPr="00393CB4">
        <w:rPr>
          <w:rFonts w:ascii="Times New Roman" w:hAnsi="Times New Roman"/>
          <w:color w:val="000000" w:themeColor="text1"/>
          <w:lang w:val="en-GB"/>
        </w:rPr>
        <w:t>, 11, 4, 575-594.</w:t>
      </w:r>
    </w:p>
    <w:p w14:paraId="625AF123" w14:textId="54713DE0" w:rsidR="00A42E55" w:rsidRPr="00393CB4" w:rsidRDefault="00A42E55" w:rsidP="007E264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Kuntze</w:t>
      </w:r>
      <w:proofErr w:type="spellEnd"/>
      <w:r w:rsidRPr="00393CB4">
        <w:rPr>
          <w:rFonts w:ascii="Times New Roman" w:hAnsi="Times New Roman"/>
          <w:color w:val="000000" w:themeColor="text1"/>
          <w:lang w:val="en-GB"/>
        </w:rPr>
        <w:t xml:space="preserve">, J.C. and </w:t>
      </w:r>
      <w:proofErr w:type="spellStart"/>
      <w:r w:rsidRPr="00393CB4">
        <w:rPr>
          <w:rFonts w:ascii="Times New Roman" w:hAnsi="Times New Roman"/>
          <w:color w:val="000000" w:themeColor="text1"/>
          <w:lang w:val="en-GB"/>
        </w:rPr>
        <w:t>Moerenhout</w:t>
      </w:r>
      <w:proofErr w:type="spellEnd"/>
      <w:r w:rsidRPr="00393CB4">
        <w:rPr>
          <w:rFonts w:ascii="Times New Roman" w:hAnsi="Times New Roman"/>
          <w:color w:val="000000" w:themeColor="text1"/>
          <w:lang w:val="en-GB"/>
        </w:rPr>
        <w:t xml:space="preserve">, T. 2013. </w:t>
      </w:r>
      <w:r w:rsidRPr="00393CB4">
        <w:rPr>
          <w:rFonts w:ascii="Times New Roman" w:hAnsi="Times New Roman"/>
          <w:i/>
          <w:color w:val="000000" w:themeColor="text1"/>
          <w:lang w:val="en-GB"/>
        </w:rPr>
        <w:t>Local Content Requirements and the Renewable Energy Industry - A good Match?</w:t>
      </w:r>
      <w:r w:rsidRPr="00393CB4">
        <w:rPr>
          <w:rFonts w:ascii="Times New Roman" w:hAnsi="Times New Roman"/>
          <w:color w:val="000000" w:themeColor="text1"/>
          <w:lang w:val="en-GB"/>
        </w:rPr>
        <w:t xml:space="preserve">, ICTSD, available at: </w:t>
      </w:r>
      <w:hyperlink r:id="rId23" w:history="1">
        <w:r w:rsidRPr="00393CB4">
          <w:rPr>
            <w:rStyle w:val="Hyperlink"/>
            <w:rFonts w:ascii="Times New Roman" w:hAnsi="Times New Roman"/>
            <w:color w:val="000000" w:themeColor="text1"/>
          </w:rPr>
          <w:t>www.ictsd.org/i/publications/165193</w:t>
        </w:r>
      </w:hyperlink>
    </w:p>
    <w:p w14:paraId="775C1D53" w14:textId="19149C1A" w:rsidR="007B3382" w:rsidRPr="00393CB4" w:rsidRDefault="007B3382" w:rsidP="001F217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Levinthal, D. and March, J.G. 1981. A model of adaptive organisational search, </w:t>
      </w:r>
      <w:r w:rsidRPr="00393CB4">
        <w:rPr>
          <w:rFonts w:ascii="Times New Roman" w:hAnsi="Times New Roman"/>
          <w:i/>
          <w:color w:val="000000" w:themeColor="text1"/>
          <w:lang w:val="en-GB"/>
        </w:rPr>
        <w:t>Journal of Economic Behaviour and Organisation</w:t>
      </w:r>
      <w:r w:rsidRPr="00393CB4">
        <w:rPr>
          <w:rFonts w:ascii="Times New Roman" w:hAnsi="Times New Roman"/>
          <w:color w:val="000000" w:themeColor="text1"/>
          <w:lang w:val="en-GB"/>
        </w:rPr>
        <w:t>, 2, 307-333.</w:t>
      </w:r>
    </w:p>
    <w:p w14:paraId="157FDBE9" w14:textId="336651C7" w:rsidR="00D92BDD" w:rsidRPr="00393CB4" w:rsidRDefault="00D92BDD" w:rsidP="001F217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Lewis, J.I. and Wiser, R.H. 2007. Fostering a renewable energy technology industry: an international comparison of wind industry policy support </w:t>
      </w:r>
      <w:proofErr w:type="spellStart"/>
      <w:r w:rsidRPr="00393CB4">
        <w:rPr>
          <w:rFonts w:ascii="Times New Roman" w:hAnsi="Times New Roman"/>
          <w:color w:val="000000" w:themeColor="text1"/>
          <w:lang w:val="en-GB"/>
        </w:rPr>
        <w:t>nechanisms</w:t>
      </w:r>
      <w:proofErr w:type="spellEnd"/>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Energy Policy</w:t>
      </w:r>
      <w:r w:rsidRPr="00393CB4">
        <w:rPr>
          <w:rFonts w:ascii="Times New Roman" w:hAnsi="Times New Roman"/>
          <w:color w:val="000000" w:themeColor="text1"/>
          <w:lang w:val="en-GB"/>
        </w:rPr>
        <w:t>, 35, 1844-1857.</w:t>
      </w:r>
    </w:p>
    <w:p w14:paraId="770E0C00" w14:textId="1ABB9CAB" w:rsidR="00D92BDD" w:rsidRPr="00393CB4" w:rsidRDefault="00D92BDD" w:rsidP="001F217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March, J. 1991. Exploration and exploitation in organisational learning. </w:t>
      </w:r>
      <w:r w:rsidRPr="00393CB4">
        <w:rPr>
          <w:rFonts w:ascii="Times New Roman" w:hAnsi="Times New Roman"/>
          <w:i/>
          <w:color w:val="000000" w:themeColor="text1"/>
          <w:lang w:val="en-GB"/>
        </w:rPr>
        <w:t>Organization Science</w:t>
      </w:r>
      <w:r w:rsidRPr="00393CB4">
        <w:rPr>
          <w:rFonts w:ascii="Times New Roman" w:hAnsi="Times New Roman"/>
          <w:color w:val="000000" w:themeColor="text1"/>
          <w:lang w:val="en-GB"/>
        </w:rPr>
        <w:t>, 2/1, 71-87.</w:t>
      </w:r>
    </w:p>
    <w:p w14:paraId="50000312" w14:textId="23DCA787" w:rsidR="00A42E55" w:rsidRPr="00393CB4" w:rsidRDefault="00A42E55" w:rsidP="001F217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Makridis</w:t>
      </w:r>
      <w:proofErr w:type="spellEnd"/>
      <w:r w:rsidRPr="00393CB4">
        <w:rPr>
          <w:rFonts w:ascii="Times New Roman" w:hAnsi="Times New Roman"/>
          <w:color w:val="000000" w:themeColor="text1"/>
          <w:lang w:val="en-GB"/>
        </w:rPr>
        <w:t>, C. 2013. Offshore wind power resource availability and prospects: a global app</w:t>
      </w:r>
      <w:r w:rsidR="00D21819" w:rsidRPr="00393CB4">
        <w:rPr>
          <w:rFonts w:ascii="Times New Roman" w:hAnsi="Times New Roman"/>
          <w:color w:val="000000" w:themeColor="text1"/>
          <w:lang w:val="en-GB"/>
        </w:rPr>
        <w:t>r</w:t>
      </w:r>
      <w:r w:rsidRPr="00393CB4">
        <w:rPr>
          <w:rFonts w:ascii="Times New Roman" w:hAnsi="Times New Roman"/>
          <w:color w:val="000000" w:themeColor="text1"/>
          <w:lang w:val="en-GB"/>
        </w:rPr>
        <w:t xml:space="preserve">oach, </w:t>
      </w:r>
      <w:r w:rsidRPr="00393CB4">
        <w:rPr>
          <w:rFonts w:ascii="Times New Roman" w:hAnsi="Times New Roman"/>
          <w:i/>
          <w:color w:val="000000" w:themeColor="text1"/>
          <w:lang w:val="en-GB"/>
        </w:rPr>
        <w:t>Environmental Science and Polic</w:t>
      </w:r>
      <w:r w:rsidR="005E187F" w:rsidRPr="00393CB4">
        <w:rPr>
          <w:rFonts w:ascii="Times New Roman" w:hAnsi="Times New Roman"/>
          <w:i/>
          <w:color w:val="000000" w:themeColor="text1"/>
          <w:lang w:val="en-GB"/>
        </w:rPr>
        <w:t>y</w:t>
      </w:r>
      <w:r w:rsidR="005E187F" w:rsidRPr="00393CB4">
        <w:rPr>
          <w:rFonts w:ascii="Times New Roman" w:hAnsi="Times New Roman"/>
          <w:color w:val="000000" w:themeColor="text1"/>
          <w:lang w:val="en-GB"/>
        </w:rPr>
        <w:t>,</w:t>
      </w:r>
      <w:r w:rsidRPr="00393CB4">
        <w:rPr>
          <w:rFonts w:ascii="Times New Roman" w:hAnsi="Times New Roman"/>
          <w:color w:val="000000" w:themeColor="text1"/>
          <w:lang w:val="en-GB"/>
        </w:rPr>
        <w:t xml:space="preserve"> 33, 28-40.</w:t>
      </w:r>
    </w:p>
    <w:p w14:paraId="042B9B84" w14:textId="7AC88A8F" w:rsidR="005E187F" w:rsidRPr="00393CB4" w:rsidRDefault="005E187F" w:rsidP="001F217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Miles, M.B. and Huberman, A.M., 1994. </w:t>
      </w:r>
      <w:r w:rsidRPr="00393CB4">
        <w:rPr>
          <w:rFonts w:ascii="Times New Roman" w:hAnsi="Times New Roman"/>
          <w:i/>
          <w:color w:val="000000" w:themeColor="text1"/>
          <w:lang w:val="en-GB"/>
        </w:rPr>
        <w:t>Qualitative Data Analysis</w:t>
      </w:r>
      <w:r w:rsidRPr="00393CB4">
        <w:rPr>
          <w:rFonts w:ascii="Times New Roman" w:hAnsi="Times New Roman"/>
          <w:color w:val="000000" w:themeColor="text1"/>
          <w:lang w:val="en-GB"/>
        </w:rPr>
        <w:t>, Sage Publications, Newbury Park, CA.</w:t>
      </w:r>
    </w:p>
    <w:p w14:paraId="05F008B6" w14:textId="77777777" w:rsidR="00DE2773" w:rsidRPr="00393CB4" w:rsidRDefault="00DE2773" w:rsidP="001F217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Neri</w:t>
      </w:r>
      <w:proofErr w:type="spellEnd"/>
      <w:r w:rsidRPr="00393CB4">
        <w:rPr>
          <w:rFonts w:ascii="Times New Roman" w:hAnsi="Times New Roman"/>
          <w:color w:val="000000" w:themeColor="text1"/>
          <w:lang w:val="en-GB"/>
        </w:rPr>
        <w:t xml:space="preserve">, I. 2016. Supply chain integration opportunities for the offshore wind industry: a literature review, </w:t>
      </w:r>
      <w:r w:rsidRPr="00393CB4">
        <w:rPr>
          <w:rFonts w:ascii="Times New Roman" w:hAnsi="Times New Roman"/>
          <w:i/>
          <w:color w:val="000000" w:themeColor="text1"/>
          <w:lang w:val="en-GB"/>
        </w:rPr>
        <w:t>International Journal of Energy Sector Management</w:t>
      </w:r>
      <w:r w:rsidRPr="00393CB4">
        <w:rPr>
          <w:rFonts w:ascii="Times New Roman" w:hAnsi="Times New Roman"/>
          <w:color w:val="000000" w:themeColor="text1"/>
          <w:lang w:val="en-GB"/>
        </w:rPr>
        <w:t>, 10, 2, 191-220.</w:t>
      </w:r>
    </w:p>
    <w:p w14:paraId="2B82B43D" w14:textId="7DC4E772" w:rsidR="00A42E55" w:rsidRPr="00393CB4" w:rsidRDefault="00A42E55" w:rsidP="001F217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Normann</w:t>
      </w:r>
      <w:proofErr w:type="spellEnd"/>
      <w:r w:rsidRPr="00393CB4">
        <w:rPr>
          <w:rFonts w:ascii="Times New Roman" w:hAnsi="Times New Roman"/>
          <w:color w:val="000000" w:themeColor="text1"/>
          <w:lang w:val="en-GB"/>
        </w:rPr>
        <w:t xml:space="preserve">, </w:t>
      </w:r>
      <w:r w:rsidR="001B1F91" w:rsidRPr="00393CB4">
        <w:rPr>
          <w:rFonts w:ascii="Times New Roman" w:hAnsi="Times New Roman"/>
          <w:color w:val="000000" w:themeColor="text1"/>
          <w:lang w:val="en-GB"/>
        </w:rPr>
        <w:t xml:space="preserve">H.E. </w:t>
      </w:r>
      <w:r w:rsidRPr="00393CB4">
        <w:rPr>
          <w:rFonts w:ascii="Times New Roman" w:hAnsi="Times New Roman"/>
          <w:color w:val="000000" w:themeColor="text1"/>
          <w:lang w:val="en-GB"/>
        </w:rPr>
        <w:t>201</w:t>
      </w:r>
      <w:r w:rsidR="00D21819" w:rsidRPr="00393CB4">
        <w:rPr>
          <w:rFonts w:ascii="Times New Roman" w:hAnsi="Times New Roman"/>
          <w:color w:val="000000" w:themeColor="text1"/>
          <w:lang w:val="en-GB"/>
        </w:rPr>
        <w:t xml:space="preserve">5. </w:t>
      </w:r>
      <w:r w:rsidR="001B1F91" w:rsidRPr="00393CB4">
        <w:rPr>
          <w:rFonts w:ascii="Times New Roman" w:hAnsi="Times New Roman"/>
          <w:color w:val="000000" w:themeColor="text1"/>
          <w:lang w:val="en-GB"/>
        </w:rPr>
        <w:t xml:space="preserve">The role of politics in sustainable transitions: the rise and decline of offshore wind in Norway, </w:t>
      </w:r>
      <w:r w:rsidR="001B1F91" w:rsidRPr="00393CB4">
        <w:rPr>
          <w:rFonts w:ascii="Times New Roman" w:hAnsi="Times New Roman"/>
          <w:i/>
          <w:color w:val="000000" w:themeColor="text1"/>
          <w:lang w:val="en-GB"/>
        </w:rPr>
        <w:t>Environmental Innovation and Societal Transitions</w:t>
      </w:r>
      <w:r w:rsidR="001B1F91" w:rsidRPr="00393CB4">
        <w:rPr>
          <w:rFonts w:ascii="Times New Roman" w:hAnsi="Times New Roman"/>
          <w:color w:val="000000" w:themeColor="text1"/>
          <w:lang w:val="en-GB"/>
        </w:rPr>
        <w:t>, 15, 180-193.</w:t>
      </w:r>
    </w:p>
    <w:p w14:paraId="2847826F" w14:textId="7CDD69BE" w:rsidR="00A42E55" w:rsidRPr="00393CB4" w:rsidRDefault="00A42E55" w:rsidP="007E264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Perveen</w:t>
      </w:r>
      <w:proofErr w:type="spellEnd"/>
      <w:r w:rsidRPr="00393CB4">
        <w:rPr>
          <w:rFonts w:ascii="Times New Roman" w:hAnsi="Times New Roman"/>
          <w:color w:val="000000" w:themeColor="text1"/>
          <w:lang w:val="en-GB"/>
        </w:rPr>
        <w:t xml:space="preserve">, R., Kishor, N., and </w:t>
      </w:r>
      <w:proofErr w:type="spellStart"/>
      <w:r w:rsidRPr="00393CB4">
        <w:rPr>
          <w:rFonts w:ascii="Times New Roman" w:hAnsi="Times New Roman"/>
          <w:color w:val="000000" w:themeColor="text1"/>
          <w:lang w:val="en-GB"/>
        </w:rPr>
        <w:t>Mohantry</w:t>
      </w:r>
      <w:proofErr w:type="spellEnd"/>
      <w:r w:rsidRPr="00393CB4">
        <w:rPr>
          <w:rFonts w:ascii="Times New Roman" w:hAnsi="Times New Roman"/>
          <w:color w:val="000000" w:themeColor="text1"/>
          <w:lang w:val="en-GB"/>
        </w:rPr>
        <w:t>, S.R. 2014</w:t>
      </w:r>
      <w:r w:rsidR="004E3CA3" w:rsidRPr="00393CB4">
        <w:rPr>
          <w:rFonts w:ascii="Times New Roman" w:hAnsi="Times New Roman"/>
          <w:color w:val="000000" w:themeColor="text1"/>
          <w:lang w:val="en-GB"/>
        </w:rPr>
        <w:t xml:space="preserve">.  </w:t>
      </w:r>
      <w:r w:rsidRPr="00393CB4">
        <w:rPr>
          <w:rFonts w:ascii="Times New Roman" w:hAnsi="Times New Roman"/>
          <w:color w:val="000000" w:themeColor="text1"/>
          <w:lang w:val="en-GB"/>
        </w:rPr>
        <w:t>Offshore wind farm development</w:t>
      </w:r>
      <w:r w:rsidR="004E3CA3" w:rsidRPr="00393CB4">
        <w:rPr>
          <w:rFonts w:ascii="Times New Roman" w:hAnsi="Times New Roman"/>
          <w:color w:val="000000" w:themeColor="text1"/>
          <w:lang w:val="en-GB"/>
        </w:rPr>
        <w:t xml:space="preserve">: present status and challenges. </w:t>
      </w:r>
      <w:r w:rsidRPr="00393CB4">
        <w:rPr>
          <w:rFonts w:ascii="Times New Roman" w:hAnsi="Times New Roman"/>
          <w:i/>
          <w:color w:val="000000" w:themeColor="text1"/>
          <w:lang w:val="en-GB"/>
        </w:rPr>
        <w:t>Renewable and Sustainable Energy Reviews</w:t>
      </w:r>
      <w:r w:rsidR="005E187F" w:rsidRPr="00393CB4">
        <w:rPr>
          <w:rFonts w:ascii="Times New Roman" w:hAnsi="Times New Roman"/>
          <w:color w:val="000000" w:themeColor="text1"/>
          <w:lang w:val="en-GB"/>
        </w:rPr>
        <w:t>,</w:t>
      </w:r>
      <w:r w:rsidR="004E3CA3" w:rsidRPr="00393CB4">
        <w:rPr>
          <w:rFonts w:ascii="Times New Roman" w:hAnsi="Times New Roman"/>
          <w:color w:val="000000" w:themeColor="text1"/>
          <w:lang w:val="en-GB"/>
        </w:rPr>
        <w:t xml:space="preserve"> </w:t>
      </w:r>
      <w:r w:rsidRPr="00393CB4">
        <w:rPr>
          <w:rFonts w:ascii="Times New Roman" w:hAnsi="Times New Roman"/>
          <w:color w:val="000000" w:themeColor="text1"/>
          <w:lang w:val="en-GB"/>
        </w:rPr>
        <w:t>29, 780-792.</w:t>
      </w:r>
    </w:p>
    <w:p w14:paraId="5A63B21E" w14:textId="77777777" w:rsidR="00A42E55" w:rsidRPr="00393CB4" w:rsidRDefault="00A42E55"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Porter</w:t>
      </w:r>
      <w:r w:rsidR="004E3CA3" w:rsidRPr="00393CB4">
        <w:rPr>
          <w:rFonts w:ascii="Times New Roman" w:hAnsi="Times New Roman"/>
          <w:color w:val="000000" w:themeColor="text1"/>
          <w:lang w:val="en-GB"/>
        </w:rPr>
        <w:t xml:space="preserve">, M.E. 2000. </w:t>
      </w:r>
      <w:r w:rsidRPr="00393CB4">
        <w:rPr>
          <w:rFonts w:ascii="Times New Roman" w:hAnsi="Times New Roman"/>
          <w:color w:val="000000" w:themeColor="text1"/>
          <w:lang w:val="en-GB"/>
        </w:rPr>
        <w:t>Location, competition, and economic development: loc</w:t>
      </w:r>
      <w:r w:rsidR="004E3CA3" w:rsidRPr="00393CB4">
        <w:rPr>
          <w:rFonts w:ascii="Times New Roman" w:hAnsi="Times New Roman"/>
          <w:color w:val="000000" w:themeColor="text1"/>
          <w:lang w:val="en-GB"/>
        </w:rPr>
        <w:t>al clusters in a global economy.</w:t>
      </w:r>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Economic Development Quarterly</w:t>
      </w:r>
      <w:r w:rsidRPr="00393CB4">
        <w:rPr>
          <w:rFonts w:ascii="Times New Roman" w:hAnsi="Times New Roman"/>
          <w:color w:val="000000" w:themeColor="text1"/>
          <w:lang w:val="en-GB"/>
        </w:rPr>
        <w:t>, 14</w:t>
      </w:r>
      <w:r w:rsidR="004E3CA3" w:rsidRPr="00393CB4">
        <w:rPr>
          <w:rFonts w:ascii="Times New Roman" w:hAnsi="Times New Roman"/>
          <w:color w:val="000000" w:themeColor="text1"/>
          <w:lang w:val="en-GB"/>
        </w:rPr>
        <w:t>(</w:t>
      </w:r>
      <w:r w:rsidRPr="00393CB4">
        <w:rPr>
          <w:rFonts w:ascii="Times New Roman" w:hAnsi="Times New Roman"/>
          <w:color w:val="000000" w:themeColor="text1"/>
          <w:lang w:val="en-GB"/>
        </w:rPr>
        <w:t>1</w:t>
      </w:r>
      <w:r w:rsidR="004E3CA3" w:rsidRPr="00393CB4">
        <w:rPr>
          <w:rFonts w:ascii="Times New Roman" w:hAnsi="Times New Roman"/>
          <w:color w:val="000000" w:themeColor="text1"/>
          <w:lang w:val="en-GB"/>
        </w:rPr>
        <w:t>)</w:t>
      </w:r>
      <w:r w:rsidRPr="00393CB4">
        <w:rPr>
          <w:rFonts w:ascii="Times New Roman" w:hAnsi="Times New Roman"/>
          <w:color w:val="000000" w:themeColor="text1"/>
          <w:lang w:val="en-GB"/>
        </w:rPr>
        <w:t>, 15-34.</w:t>
      </w:r>
    </w:p>
    <w:p w14:paraId="3DB501EA" w14:textId="77777777" w:rsidR="00A42E55" w:rsidRPr="00393CB4" w:rsidRDefault="00A42E55" w:rsidP="007E264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Saaty</w:t>
      </w:r>
      <w:proofErr w:type="spellEnd"/>
      <w:r w:rsidRPr="00393CB4">
        <w:rPr>
          <w:rFonts w:ascii="Times New Roman" w:hAnsi="Times New Roman"/>
          <w:color w:val="000000" w:themeColor="text1"/>
          <w:lang w:val="en-GB"/>
        </w:rPr>
        <w:t xml:space="preserve">, T.L. 1980. </w:t>
      </w:r>
      <w:r w:rsidRPr="00393CB4">
        <w:rPr>
          <w:rFonts w:ascii="Times New Roman" w:hAnsi="Times New Roman"/>
          <w:i/>
          <w:color w:val="000000" w:themeColor="text1"/>
          <w:lang w:val="en-GB"/>
        </w:rPr>
        <w:t>The Analytic Hierarchy Process</w:t>
      </w:r>
      <w:r w:rsidRPr="00393CB4">
        <w:rPr>
          <w:rFonts w:ascii="Times New Roman" w:hAnsi="Times New Roman"/>
          <w:color w:val="000000" w:themeColor="text1"/>
          <w:lang w:val="en-GB"/>
        </w:rPr>
        <w:t xml:space="preserve">. McGraw-Hill: </w:t>
      </w:r>
      <w:smartTag w:uri="urn:schemas-microsoft-com:office:smarttags" w:element="State">
        <w:smartTag w:uri="urn:schemas-microsoft-com:office:smarttags" w:element="place">
          <w:r w:rsidRPr="00393CB4">
            <w:rPr>
              <w:rFonts w:ascii="Times New Roman" w:hAnsi="Times New Roman"/>
              <w:color w:val="000000" w:themeColor="text1"/>
              <w:lang w:val="en-GB"/>
            </w:rPr>
            <w:t>New York</w:t>
          </w:r>
        </w:smartTag>
      </w:smartTag>
      <w:r w:rsidRPr="00393CB4">
        <w:rPr>
          <w:rFonts w:ascii="Times New Roman" w:hAnsi="Times New Roman"/>
          <w:color w:val="000000" w:themeColor="text1"/>
          <w:lang w:val="en-GB"/>
        </w:rPr>
        <w:t xml:space="preserve">. </w:t>
      </w:r>
    </w:p>
    <w:p w14:paraId="5E96FBA9" w14:textId="1ED1AACC" w:rsidR="00765AA6" w:rsidRPr="00393CB4" w:rsidRDefault="00765AA6" w:rsidP="007E264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Staw</w:t>
      </w:r>
      <w:proofErr w:type="spellEnd"/>
      <w:r w:rsidRPr="00393CB4">
        <w:rPr>
          <w:rFonts w:ascii="Times New Roman" w:hAnsi="Times New Roman"/>
          <w:color w:val="000000" w:themeColor="text1"/>
          <w:lang w:val="en-GB"/>
        </w:rPr>
        <w:t xml:space="preserve">, B.M. 1981. The escalation of commitment to a course of action, </w:t>
      </w:r>
      <w:r w:rsidRPr="00393CB4">
        <w:rPr>
          <w:rFonts w:ascii="Times New Roman" w:hAnsi="Times New Roman"/>
          <w:i/>
          <w:color w:val="000000" w:themeColor="text1"/>
          <w:lang w:val="en-GB"/>
        </w:rPr>
        <w:t>Academy of Management Review</w:t>
      </w:r>
      <w:r w:rsidRPr="00393CB4">
        <w:rPr>
          <w:rFonts w:ascii="Times New Roman" w:hAnsi="Times New Roman"/>
          <w:color w:val="000000" w:themeColor="text1"/>
          <w:lang w:val="en-GB"/>
        </w:rPr>
        <w:t>, 6/4, 577-587.</w:t>
      </w:r>
    </w:p>
    <w:p w14:paraId="486A0C80" w14:textId="000EA013" w:rsidR="005D2901" w:rsidRPr="00393CB4" w:rsidRDefault="005D2901" w:rsidP="007E264A">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Stenoft</w:t>
      </w:r>
      <w:proofErr w:type="spellEnd"/>
      <w:r w:rsidRPr="00393CB4">
        <w:rPr>
          <w:rFonts w:ascii="Times New Roman" w:hAnsi="Times New Roman"/>
          <w:color w:val="000000" w:themeColor="text1"/>
          <w:lang w:val="en-GB"/>
        </w:rPr>
        <w:t xml:space="preserve">, J., Narasimhan, R., and Poulsen, T. 2016. Reducing cost of energy in the offshore wind energy: the promise and potential of supply chain management, </w:t>
      </w:r>
      <w:r w:rsidRPr="00393CB4">
        <w:rPr>
          <w:rFonts w:ascii="Times New Roman" w:hAnsi="Times New Roman"/>
          <w:i/>
          <w:color w:val="000000" w:themeColor="text1"/>
          <w:lang w:val="en-GB"/>
        </w:rPr>
        <w:t>International Journal of Energy Sector Management</w:t>
      </w:r>
      <w:r w:rsidRPr="00393CB4">
        <w:rPr>
          <w:rFonts w:ascii="Times New Roman" w:hAnsi="Times New Roman"/>
          <w:color w:val="000000" w:themeColor="text1"/>
          <w:lang w:val="en-GB"/>
        </w:rPr>
        <w:t>, 10,2, 151-171.</w:t>
      </w:r>
    </w:p>
    <w:p w14:paraId="64173FC1" w14:textId="372603BC" w:rsidR="00A42E55" w:rsidRPr="00393CB4" w:rsidRDefault="00A42E55" w:rsidP="007E264A">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lastRenderedPageBreak/>
        <w:t>S</w:t>
      </w:r>
      <w:r w:rsidR="004E3CA3" w:rsidRPr="00393CB4">
        <w:rPr>
          <w:rFonts w:ascii="Times New Roman" w:hAnsi="Times New Roman"/>
          <w:color w:val="000000" w:themeColor="text1"/>
          <w:lang w:val="en-GB"/>
        </w:rPr>
        <w:t>un, X., Huang, D., and Wu, G. 2012.</w:t>
      </w:r>
      <w:r w:rsidRPr="00393CB4">
        <w:rPr>
          <w:rFonts w:ascii="Times New Roman" w:hAnsi="Times New Roman"/>
          <w:color w:val="000000" w:themeColor="text1"/>
          <w:lang w:val="en-GB"/>
        </w:rPr>
        <w:t xml:space="preserve"> The current state of offshore wind</w:t>
      </w:r>
      <w:r w:rsidR="004E3CA3" w:rsidRPr="00393CB4">
        <w:rPr>
          <w:rFonts w:ascii="Times New Roman" w:hAnsi="Times New Roman"/>
          <w:color w:val="000000" w:themeColor="text1"/>
          <w:lang w:val="en-GB"/>
        </w:rPr>
        <w:t xml:space="preserve"> energy technology development. </w:t>
      </w:r>
      <w:r w:rsidRPr="00393CB4">
        <w:rPr>
          <w:rFonts w:ascii="Times New Roman" w:hAnsi="Times New Roman"/>
          <w:i/>
          <w:color w:val="000000" w:themeColor="text1"/>
          <w:lang w:val="en-GB"/>
        </w:rPr>
        <w:t>Energy</w:t>
      </w:r>
      <w:r w:rsidR="005E187F" w:rsidRPr="00393CB4">
        <w:rPr>
          <w:rFonts w:ascii="Times New Roman" w:hAnsi="Times New Roman"/>
          <w:color w:val="000000" w:themeColor="text1"/>
          <w:lang w:val="en-GB"/>
        </w:rPr>
        <w:t>,</w:t>
      </w:r>
      <w:r w:rsidR="004E3CA3" w:rsidRPr="00393CB4">
        <w:rPr>
          <w:rFonts w:ascii="Times New Roman" w:hAnsi="Times New Roman"/>
          <w:color w:val="000000" w:themeColor="text1"/>
          <w:lang w:val="en-GB"/>
        </w:rPr>
        <w:t xml:space="preserve"> </w:t>
      </w:r>
      <w:r w:rsidRPr="00393CB4">
        <w:rPr>
          <w:rFonts w:ascii="Times New Roman" w:hAnsi="Times New Roman"/>
          <w:color w:val="000000" w:themeColor="text1"/>
          <w:lang w:val="en-GB"/>
        </w:rPr>
        <w:t>41</w:t>
      </w:r>
      <w:r w:rsidR="004E3CA3" w:rsidRPr="00393CB4">
        <w:rPr>
          <w:rFonts w:ascii="Times New Roman" w:hAnsi="Times New Roman"/>
          <w:color w:val="000000" w:themeColor="text1"/>
          <w:lang w:val="en-GB"/>
        </w:rPr>
        <w:t>(1)</w:t>
      </w:r>
      <w:r w:rsidRPr="00393CB4">
        <w:rPr>
          <w:rFonts w:ascii="Times New Roman" w:hAnsi="Times New Roman"/>
          <w:color w:val="000000" w:themeColor="text1"/>
          <w:lang w:val="en-GB"/>
        </w:rPr>
        <w:t>, 298-312</w:t>
      </w:r>
      <w:r w:rsidR="004E3CA3" w:rsidRPr="00393CB4">
        <w:rPr>
          <w:rFonts w:ascii="Times New Roman" w:hAnsi="Times New Roman"/>
          <w:color w:val="000000" w:themeColor="text1"/>
          <w:lang w:val="en-GB"/>
        </w:rPr>
        <w:t>.</w:t>
      </w:r>
    </w:p>
    <w:p w14:paraId="6AF5AF78" w14:textId="2F2B5DC9" w:rsidR="00A42E55" w:rsidRPr="00393CB4" w:rsidRDefault="00A42E55" w:rsidP="00BD06E5">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Toke</w:t>
      </w:r>
      <w:proofErr w:type="spellEnd"/>
      <w:r w:rsidRPr="00393CB4">
        <w:rPr>
          <w:rFonts w:ascii="Times New Roman" w:hAnsi="Times New Roman"/>
          <w:color w:val="000000" w:themeColor="text1"/>
          <w:lang w:val="en-GB"/>
        </w:rPr>
        <w:t>, D. 2011</w:t>
      </w:r>
      <w:r w:rsidR="004E3CA3" w:rsidRPr="00393CB4">
        <w:rPr>
          <w:rFonts w:ascii="Times New Roman" w:hAnsi="Times New Roman"/>
          <w:color w:val="000000" w:themeColor="text1"/>
          <w:lang w:val="en-GB"/>
        </w:rPr>
        <w:t>. The UK</w:t>
      </w:r>
      <w:r w:rsidRPr="00393CB4">
        <w:rPr>
          <w:rFonts w:ascii="Times New Roman" w:hAnsi="Times New Roman"/>
          <w:color w:val="000000" w:themeColor="text1"/>
          <w:lang w:val="en-GB"/>
        </w:rPr>
        <w:t xml:space="preserve"> offshore wind power programme: a sea-change in </w:t>
      </w:r>
      <w:smartTag w:uri="urn:schemas-microsoft-com:office:smarttags" w:element="country-region">
        <w:smartTag w:uri="urn:schemas-microsoft-com:office:smarttags" w:element="place">
          <w:r w:rsidRPr="00393CB4">
            <w:rPr>
              <w:rFonts w:ascii="Times New Roman" w:hAnsi="Times New Roman"/>
              <w:color w:val="000000" w:themeColor="text1"/>
              <w:lang w:val="en-GB"/>
            </w:rPr>
            <w:t>UK</w:t>
          </w:r>
        </w:smartTag>
      </w:smartTag>
      <w:r w:rsidRPr="00393CB4">
        <w:rPr>
          <w:rFonts w:ascii="Times New Roman" w:hAnsi="Times New Roman"/>
          <w:color w:val="000000" w:themeColor="text1"/>
          <w:lang w:val="en-GB"/>
        </w:rPr>
        <w:t xml:space="preserve"> energy policy?</w:t>
      </w:r>
      <w:r w:rsidR="004E3CA3"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Energy Policy</w:t>
      </w:r>
      <w:r w:rsidR="005C76CD" w:rsidRPr="00393CB4">
        <w:rPr>
          <w:rFonts w:ascii="Times New Roman" w:hAnsi="Times New Roman"/>
          <w:color w:val="000000" w:themeColor="text1"/>
          <w:lang w:val="en-GB"/>
        </w:rPr>
        <w:t>,</w:t>
      </w:r>
      <w:r w:rsidR="004E3CA3" w:rsidRPr="00393CB4">
        <w:rPr>
          <w:rFonts w:ascii="Times New Roman" w:hAnsi="Times New Roman"/>
          <w:color w:val="000000" w:themeColor="text1"/>
          <w:lang w:val="en-GB"/>
        </w:rPr>
        <w:t xml:space="preserve"> </w:t>
      </w:r>
      <w:r w:rsidRPr="00393CB4">
        <w:rPr>
          <w:rFonts w:ascii="Times New Roman" w:hAnsi="Times New Roman"/>
          <w:color w:val="000000" w:themeColor="text1"/>
          <w:lang w:val="en-GB"/>
        </w:rPr>
        <w:t>39, 526-534.</w:t>
      </w:r>
    </w:p>
    <w:p w14:paraId="692C7A10" w14:textId="114B61CA" w:rsidR="00D61707" w:rsidRPr="00393CB4" w:rsidRDefault="00D61707" w:rsidP="00BD06E5">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 xml:space="preserve">Welch, C.. </w:t>
      </w:r>
      <w:proofErr w:type="spellStart"/>
      <w:r w:rsidRPr="00393CB4">
        <w:rPr>
          <w:rFonts w:ascii="Times New Roman" w:hAnsi="Times New Roman"/>
          <w:color w:val="000000" w:themeColor="text1"/>
          <w:lang w:val="en-GB"/>
        </w:rPr>
        <w:t>Piekkari</w:t>
      </w:r>
      <w:proofErr w:type="spellEnd"/>
      <w:r w:rsidRPr="00393CB4">
        <w:rPr>
          <w:rFonts w:ascii="Times New Roman" w:hAnsi="Times New Roman"/>
          <w:color w:val="000000" w:themeColor="text1"/>
          <w:lang w:val="en-GB"/>
        </w:rPr>
        <w:t xml:space="preserve">, R., </w:t>
      </w:r>
      <w:proofErr w:type="spellStart"/>
      <w:r w:rsidRPr="00393CB4">
        <w:rPr>
          <w:rFonts w:ascii="Times New Roman" w:hAnsi="Times New Roman"/>
          <w:color w:val="000000" w:themeColor="text1"/>
          <w:lang w:val="en-GB"/>
        </w:rPr>
        <w:t>Plakoyiannaki</w:t>
      </w:r>
      <w:proofErr w:type="spellEnd"/>
      <w:r w:rsidRPr="00393CB4">
        <w:rPr>
          <w:rFonts w:ascii="Times New Roman" w:hAnsi="Times New Roman"/>
          <w:color w:val="000000" w:themeColor="text1"/>
          <w:lang w:val="en-GB"/>
        </w:rPr>
        <w:t xml:space="preserve">, E., and </w:t>
      </w:r>
      <w:proofErr w:type="spellStart"/>
      <w:r w:rsidRPr="00393CB4">
        <w:rPr>
          <w:rFonts w:ascii="Times New Roman" w:hAnsi="Times New Roman"/>
          <w:color w:val="000000" w:themeColor="text1"/>
          <w:lang w:val="en-GB"/>
        </w:rPr>
        <w:t>Paavilainen-Mantymaki</w:t>
      </w:r>
      <w:proofErr w:type="spellEnd"/>
      <w:r w:rsidRPr="00393CB4">
        <w:rPr>
          <w:rFonts w:ascii="Times New Roman" w:hAnsi="Times New Roman"/>
          <w:color w:val="000000" w:themeColor="text1"/>
          <w:lang w:val="en-GB"/>
        </w:rPr>
        <w:t xml:space="preserve">, E. 2011. Theorising from case studies: Towards a pluralist future for international business research, </w:t>
      </w:r>
      <w:r w:rsidRPr="00393CB4">
        <w:rPr>
          <w:rFonts w:ascii="Times New Roman" w:hAnsi="Times New Roman"/>
          <w:i/>
          <w:color w:val="000000" w:themeColor="text1"/>
          <w:lang w:val="en-GB"/>
        </w:rPr>
        <w:t>Journal of International Business Studies</w:t>
      </w:r>
      <w:r w:rsidRPr="00393CB4">
        <w:rPr>
          <w:rFonts w:ascii="Times New Roman" w:hAnsi="Times New Roman"/>
          <w:color w:val="000000" w:themeColor="text1"/>
          <w:lang w:val="en-GB"/>
        </w:rPr>
        <w:t xml:space="preserve">, </w:t>
      </w:r>
      <w:r w:rsidR="005C76CD" w:rsidRPr="00393CB4">
        <w:rPr>
          <w:rFonts w:ascii="Times New Roman" w:hAnsi="Times New Roman"/>
          <w:color w:val="000000" w:themeColor="text1"/>
          <w:lang w:val="en-GB"/>
        </w:rPr>
        <w:t>42, 740-762.</w:t>
      </w:r>
    </w:p>
    <w:p w14:paraId="6E597F0F" w14:textId="28E4B625" w:rsidR="00A42E55" w:rsidRPr="00393CB4" w:rsidRDefault="00A42E55" w:rsidP="00BD06E5">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Wheelen</w:t>
      </w:r>
      <w:proofErr w:type="spellEnd"/>
      <w:r w:rsidRPr="00393CB4">
        <w:rPr>
          <w:rFonts w:ascii="Times New Roman" w:hAnsi="Times New Roman"/>
          <w:color w:val="000000" w:themeColor="text1"/>
          <w:lang w:val="en-GB"/>
        </w:rPr>
        <w:t>, T.L., Hunger, J.D., Hoffman, A.N.,</w:t>
      </w:r>
      <w:r w:rsidR="004E3CA3" w:rsidRPr="00393CB4">
        <w:rPr>
          <w:rFonts w:ascii="Times New Roman" w:hAnsi="Times New Roman"/>
          <w:color w:val="000000" w:themeColor="text1"/>
          <w:lang w:val="en-GB"/>
        </w:rPr>
        <w:t xml:space="preserve"> and Bamford, C.E. 2015. </w:t>
      </w:r>
      <w:r w:rsidRPr="00393CB4">
        <w:rPr>
          <w:rFonts w:ascii="Times New Roman" w:hAnsi="Times New Roman"/>
          <w:i/>
          <w:color w:val="000000" w:themeColor="text1"/>
          <w:lang w:val="en-GB"/>
        </w:rPr>
        <w:t>Strategic Management and Business Policy</w:t>
      </w:r>
      <w:r w:rsidR="004E3CA3" w:rsidRPr="00393CB4">
        <w:rPr>
          <w:rFonts w:ascii="Times New Roman" w:hAnsi="Times New Roman"/>
          <w:color w:val="000000" w:themeColor="text1"/>
          <w:lang w:val="en-GB"/>
        </w:rPr>
        <w:t>. 14th edition.</w:t>
      </w:r>
      <w:r w:rsidRPr="00393CB4">
        <w:rPr>
          <w:rFonts w:ascii="Times New Roman" w:hAnsi="Times New Roman"/>
          <w:color w:val="000000" w:themeColor="text1"/>
          <w:lang w:val="en-GB"/>
        </w:rPr>
        <w:t xml:space="preserve"> Pearson: </w:t>
      </w:r>
      <w:smartTag w:uri="urn:schemas-microsoft-com:office:smarttags" w:element="State">
        <w:smartTag w:uri="urn:schemas-microsoft-com:office:smarttags" w:element="place">
          <w:r w:rsidRPr="00393CB4">
            <w:rPr>
              <w:rFonts w:ascii="Times New Roman" w:hAnsi="Times New Roman"/>
              <w:color w:val="000000" w:themeColor="text1"/>
              <w:lang w:val="en-GB"/>
            </w:rPr>
            <w:t>New York</w:t>
          </w:r>
        </w:smartTag>
      </w:smartTag>
      <w:r w:rsidRPr="00393CB4">
        <w:rPr>
          <w:rFonts w:ascii="Times New Roman" w:hAnsi="Times New Roman"/>
          <w:color w:val="000000" w:themeColor="text1"/>
          <w:lang w:val="en-GB"/>
        </w:rPr>
        <w:t>.</w:t>
      </w:r>
    </w:p>
    <w:p w14:paraId="7A6C5503" w14:textId="77777777" w:rsidR="00A42E55" w:rsidRPr="00393CB4" w:rsidRDefault="00A42E55" w:rsidP="00BD06E5">
      <w:pPr>
        <w:spacing w:after="120" w:line="240" w:lineRule="auto"/>
        <w:ind w:left="720" w:hanging="720"/>
        <w:rPr>
          <w:rFonts w:ascii="Times New Roman" w:hAnsi="Times New Roman"/>
          <w:color w:val="000000" w:themeColor="text1"/>
          <w:lang w:val="en-GB"/>
        </w:rPr>
      </w:pPr>
      <w:proofErr w:type="spellStart"/>
      <w:r w:rsidRPr="00393CB4">
        <w:rPr>
          <w:rFonts w:ascii="Times New Roman" w:hAnsi="Times New Roman"/>
          <w:color w:val="000000" w:themeColor="text1"/>
          <w:lang w:val="en-GB"/>
        </w:rPr>
        <w:t>Wieczorek</w:t>
      </w:r>
      <w:proofErr w:type="spellEnd"/>
      <w:r w:rsidRPr="00393CB4">
        <w:rPr>
          <w:rFonts w:ascii="Times New Roman" w:hAnsi="Times New Roman"/>
          <w:color w:val="000000" w:themeColor="text1"/>
          <w:lang w:val="en-GB"/>
        </w:rPr>
        <w:t xml:space="preserve">, A.J.,  </w:t>
      </w:r>
      <w:proofErr w:type="spellStart"/>
      <w:r w:rsidRPr="00393CB4">
        <w:rPr>
          <w:rFonts w:ascii="Times New Roman" w:hAnsi="Times New Roman"/>
          <w:color w:val="000000" w:themeColor="text1"/>
          <w:lang w:val="en-GB"/>
        </w:rPr>
        <w:t>Hekkert</w:t>
      </w:r>
      <w:proofErr w:type="spellEnd"/>
      <w:r w:rsidRPr="00393CB4">
        <w:rPr>
          <w:rFonts w:ascii="Times New Roman" w:hAnsi="Times New Roman"/>
          <w:color w:val="000000" w:themeColor="text1"/>
          <w:lang w:val="en-GB"/>
        </w:rPr>
        <w:t xml:space="preserve">, M.P., </w:t>
      </w:r>
      <w:proofErr w:type="spellStart"/>
      <w:r w:rsidRPr="00393CB4">
        <w:rPr>
          <w:rFonts w:ascii="Times New Roman" w:hAnsi="Times New Roman"/>
          <w:color w:val="000000" w:themeColor="text1"/>
          <w:lang w:val="en-GB"/>
        </w:rPr>
        <w:t>Coen</w:t>
      </w:r>
      <w:r w:rsidR="004E3CA3" w:rsidRPr="00393CB4">
        <w:rPr>
          <w:rFonts w:ascii="Times New Roman" w:hAnsi="Times New Roman"/>
          <w:color w:val="000000" w:themeColor="text1"/>
          <w:lang w:val="en-GB"/>
        </w:rPr>
        <w:t>en</w:t>
      </w:r>
      <w:proofErr w:type="spellEnd"/>
      <w:r w:rsidR="004E3CA3" w:rsidRPr="00393CB4">
        <w:rPr>
          <w:rFonts w:ascii="Times New Roman" w:hAnsi="Times New Roman"/>
          <w:color w:val="000000" w:themeColor="text1"/>
          <w:lang w:val="en-GB"/>
        </w:rPr>
        <w:t xml:space="preserve">, L., and </w:t>
      </w:r>
      <w:proofErr w:type="spellStart"/>
      <w:r w:rsidR="004E3CA3" w:rsidRPr="00393CB4">
        <w:rPr>
          <w:rFonts w:ascii="Times New Roman" w:hAnsi="Times New Roman"/>
          <w:color w:val="000000" w:themeColor="text1"/>
          <w:lang w:val="en-GB"/>
        </w:rPr>
        <w:t>Harmsen</w:t>
      </w:r>
      <w:proofErr w:type="spellEnd"/>
      <w:r w:rsidR="004E3CA3" w:rsidRPr="00393CB4">
        <w:rPr>
          <w:rFonts w:ascii="Times New Roman" w:hAnsi="Times New Roman"/>
          <w:color w:val="000000" w:themeColor="text1"/>
          <w:lang w:val="en-GB"/>
        </w:rPr>
        <w:t xml:space="preserve">, R.  2015. </w:t>
      </w:r>
      <w:r w:rsidRPr="00393CB4">
        <w:rPr>
          <w:rFonts w:ascii="Times New Roman" w:hAnsi="Times New Roman"/>
          <w:color w:val="000000" w:themeColor="text1"/>
          <w:lang w:val="en-GB"/>
        </w:rPr>
        <w:t>Broadening the national focus in technology innovation systems analysis: the case of</w:t>
      </w:r>
      <w:r w:rsidR="004E3CA3" w:rsidRPr="00393CB4">
        <w:rPr>
          <w:rFonts w:ascii="Times New Roman" w:hAnsi="Times New Roman"/>
          <w:color w:val="000000" w:themeColor="text1"/>
          <w:lang w:val="en-GB"/>
        </w:rPr>
        <w:t xml:space="preserve"> offshore wind. </w:t>
      </w:r>
      <w:r w:rsidRPr="00393CB4">
        <w:rPr>
          <w:rFonts w:ascii="Times New Roman" w:hAnsi="Times New Roman"/>
          <w:i/>
          <w:color w:val="000000" w:themeColor="text1"/>
          <w:lang w:val="en-GB"/>
        </w:rPr>
        <w:t>Environmental Innovation and Societal Transitions</w:t>
      </w:r>
      <w:r w:rsidR="004E3CA3" w:rsidRPr="00393CB4">
        <w:rPr>
          <w:rFonts w:ascii="Times New Roman" w:hAnsi="Times New Roman"/>
          <w:color w:val="000000" w:themeColor="text1"/>
          <w:lang w:val="en-GB"/>
        </w:rPr>
        <w:t>, 14, 128-148.</w:t>
      </w:r>
    </w:p>
    <w:p w14:paraId="2AACF565" w14:textId="673BA8EF" w:rsidR="00BD06E5" w:rsidRPr="00393CB4" w:rsidRDefault="000C2D8D" w:rsidP="00BD06E5">
      <w:pPr>
        <w:spacing w:after="120" w:line="240" w:lineRule="auto"/>
        <w:ind w:left="720" w:hanging="720"/>
        <w:rPr>
          <w:rFonts w:ascii="Times New Roman" w:hAnsi="Times New Roman"/>
          <w:color w:val="000000" w:themeColor="text1"/>
          <w:lang w:val="en-GB"/>
        </w:rPr>
      </w:pPr>
      <w:r w:rsidRPr="00393CB4">
        <w:rPr>
          <w:rFonts w:ascii="Times New Roman" w:hAnsi="Times New Roman"/>
          <w:color w:val="000000" w:themeColor="text1"/>
          <w:lang w:val="en-GB"/>
        </w:rPr>
        <w:t>Wilson, C. 2012. Up-scaling, formative phases, and learning in the historical diffusion of energy technologies</w:t>
      </w:r>
      <w:r w:rsidR="005C76CD" w:rsidRPr="00393CB4">
        <w:rPr>
          <w:rFonts w:ascii="Times New Roman" w:hAnsi="Times New Roman"/>
          <w:color w:val="000000" w:themeColor="text1"/>
          <w:lang w:val="en-GB"/>
        </w:rPr>
        <w:t>,</w:t>
      </w:r>
      <w:r w:rsidRPr="00393CB4">
        <w:rPr>
          <w:rFonts w:ascii="Times New Roman" w:hAnsi="Times New Roman"/>
          <w:color w:val="000000" w:themeColor="text1"/>
          <w:lang w:val="en-GB"/>
        </w:rPr>
        <w:t xml:space="preserve">  </w:t>
      </w:r>
      <w:r w:rsidRPr="00393CB4">
        <w:rPr>
          <w:rFonts w:ascii="Times New Roman" w:hAnsi="Times New Roman"/>
          <w:i/>
          <w:color w:val="000000" w:themeColor="text1"/>
          <w:lang w:val="en-GB"/>
        </w:rPr>
        <w:t>Energy Policy</w:t>
      </w:r>
      <w:r w:rsidR="005C76CD" w:rsidRPr="00393CB4">
        <w:rPr>
          <w:rFonts w:ascii="Times New Roman" w:hAnsi="Times New Roman"/>
          <w:color w:val="000000" w:themeColor="text1"/>
          <w:lang w:val="en-GB"/>
        </w:rPr>
        <w:t>,</w:t>
      </w:r>
      <w:r w:rsidRPr="00393CB4">
        <w:rPr>
          <w:rFonts w:ascii="Times New Roman" w:hAnsi="Times New Roman"/>
          <w:color w:val="000000" w:themeColor="text1"/>
          <w:lang w:val="en-GB"/>
        </w:rPr>
        <w:t xml:space="preserve"> 50, 81-94.</w:t>
      </w:r>
    </w:p>
    <w:p w14:paraId="714FE4D6" w14:textId="00662C93" w:rsidR="00690CAC" w:rsidRPr="00393CB4" w:rsidRDefault="004E3CA3" w:rsidP="00BD06E5">
      <w:pPr>
        <w:pStyle w:val="Heading2"/>
        <w:spacing w:before="0" w:after="120"/>
        <w:rPr>
          <w:rFonts w:ascii="Times New Roman" w:hAnsi="Times New Roman"/>
          <w:b w:val="0"/>
          <w:bCs w:val="0"/>
          <w:i w:val="0"/>
          <w:iCs w:val="0"/>
          <w:color w:val="000000" w:themeColor="text1"/>
          <w:sz w:val="22"/>
          <w:szCs w:val="22"/>
          <w:lang w:val="en-GB"/>
        </w:rPr>
      </w:pPr>
      <w:proofErr w:type="spellStart"/>
      <w:r w:rsidRPr="00393CB4">
        <w:rPr>
          <w:rFonts w:ascii="Times New Roman" w:hAnsi="Times New Roman"/>
          <w:b w:val="0"/>
          <w:bCs w:val="0"/>
          <w:i w:val="0"/>
          <w:iCs w:val="0"/>
          <w:color w:val="000000" w:themeColor="text1"/>
          <w:sz w:val="22"/>
          <w:szCs w:val="22"/>
          <w:lang w:val="en-GB"/>
        </w:rPr>
        <w:t>Wolsink,M</w:t>
      </w:r>
      <w:proofErr w:type="spellEnd"/>
      <w:r w:rsidRPr="00393CB4">
        <w:rPr>
          <w:rFonts w:ascii="Times New Roman" w:hAnsi="Times New Roman"/>
          <w:b w:val="0"/>
          <w:bCs w:val="0"/>
          <w:i w:val="0"/>
          <w:iCs w:val="0"/>
          <w:color w:val="000000" w:themeColor="text1"/>
          <w:sz w:val="22"/>
          <w:szCs w:val="22"/>
          <w:lang w:val="en-GB"/>
        </w:rPr>
        <w:t xml:space="preserve">. 2011. Wind Power: the Basic Challenge concerning Social Acceptance. in: RE Meyers (Ed.) </w:t>
      </w:r>
      <w:proofErr w:type="spellStart"/>
      <w:r w:rsidRPr="00393CB4">
        <w:rPr>
          <w:rFonts w:ascii="Times New Roman" w:hAnsi="Times New Roman"/>
          <w:b w:val="0"/>
          <w:bCs w:val="0"/>
          <w:iCs w:val="0"/>
          <w:color w:val="000000" w:themeColor="text1"/>
          <w:sz w:val="22"/>
          <w:szCs w:val="22"/>
          <w:lang w:val="en-GB"/>
        </w:rPr>
        <w:t>E</w:t>
      </w:r>
      <w:r w:rsidR="005C76CD" w:rsidRPr="00393CB4">
        <w:rPr>
          <w:rFonts w:ascii="Times New Roman" w:hAnsi="Times New Roman"/>
          <w:b w:val="0"/>
          <w:bCs w:val="0"/>
          <w:iCs w:val="0"/>
          <w:color w:val="000000" w:themeColor="text1"/>
          <w:sz w:val="22"/>
          <w:szCs w:val="22"/>
          <w:lang w:val="en-GB"/>
        </w:rPr>
        <w:t>n</w:t>
      </w:r>
      <w:r w:rsidRPr="00393CB4">
        <w:rPr>
          <w:rFonts w:ascii="Times New Roman" w:hAnsi="Times New Roman"/>
          <w:b w:val="0"/>
          <w:bCs w:val="0"/>
          <w:iCs w:val="0"/>
          <w:color w:val="000000" w:themeColor="text1"/>
          <w:sz w:val="22"/>
          <w:szCs w:val="22"/>
          <w:lang w:val="en-GB"/>
        </w:rPr>
        <w:t>cyclopedia</w:t>
      </w:r>
      <w:proofErr w:type="spellEnd"/>
      <w:r w:rsidRPr="00393CB4">
        <w:rPr>
          <w:rFonts w:ascii="Times New Roman" w:hAnsi="Times New Roman"/>
          <w:b w:val="0"/>
          <w:bCs w:val="0"/>
          <w:iCs w:val="0"/>
          <w:color w:val="000000" w:themeColor="text1"/>
          <w:sz w:val="22"/>
          <w:szCs w:val="22"/>
          <w:lang w:val="en-GB"/>
        </w:rPr>
        <w:t xml:space="preserve"> of Environmental Science and Technology</w:t>
      </w:r>
      <w:r w:rsidR="005C76CD" w:rsidRPr="00393CB4">
        <w:rPr>
          <w:rFonts w:ascii="Times New Roman" w:hAnsi="Times New Roman"/>
          <w:b w:val="0"/>
          <w:bCs w:val="0"/>
          <w:i w:val="0"/>
          <w:iCs w:val="0"/>
          <w:color w:val="000000" w:themeColor="text1"/>
          <w:sz w:val="22"/>
          <w:szCs w:val="22"/>
          <w:lang w:val="en-GB"/>
        </w:rPr>
        <w:t>,</w:t>
      </w:r>
      <w:r w:rsidRPr="00393CB4">
        <w:rPr>
          <w:rFonts w:ascii="Times New Roman" w:hAnsi="Times New Roman"/>
          <w:b w:val="0"/>
          <w:bCs w:val="0"/>
          <w:i w:val="0"/>
          <w:iCs w:val="0"/>
          <w:color w:val="000000" w:themeColor="text1"/>
          <w:sz w:val="22"/>
          <w:szCs w:val="22"/>
          <w:lang w:val="en-GB"/>
        </w:rPr>
        <w:t xml:space="preserve"> Springer</w:t>
      </w:r>
      <w:r w:rsidR="00690CAC" w:rsidRPr="00393CB4">
        <w:rPr>
          <w:rFonts w:ascii="Times New Roman" w:hAnsi="Times New Roman"/>
          <w:b w:val="0"/>
          <w:bCs w:val="0"/>
          <w:i w:val="0"/>
          <w:iCs w:val="0"/>
          <w:color w:val="000000" w:themeColor="text1"/>
          <w:sz w:val="22"/>
          <w:szCs w:val="22"/>
          <w:lang w:val="en-GB"/>
        </w:rPr>
        <w:t>:</w:t>
      </w:r>
      <w:r w:rsidRPr="00393CB4">
        <w:rPr>
          <w:rFonts w:ascii="Times New Roman" w:hAnsi="Times New Roman"/>
          <w:b w:val="0"/>
          <w:bCs w:val="0"/>
          <w:i w:val="0"/>
          <w:iCs w:val="0"/>
          <w:color w:val="000000" w:themeColor="text1"/>
          <w:sz w:val="22"/>
          <w:szCs w:val="22"/>
          <w:lang w:val="en-GB"/>
        </w:rPr>
        <w:t xml:space="preserve"> Berlin</w:t>
      </w:r>
      <w:r w:rsidR="00690CAC" w:rsidRPr="00393CB4">
        <w:rPr>
          <w:rFonts w:ascii="Times New Roman" w:hAnsi="Times New Roman"/>
          <w:b w:val="0"/>
          <w:bCs w:val="0"/>
          <w:i w:val="0"/>
          <w:iCs w:val="0"/>
          <w:color w:val="000000" w:themeColor="text1"/>
          <w:sz w:val="22"/>
          <w:szCs w:val="22"/>
          <w:lang w:val="en-GB"/>
        </w:rPr>
        <w:t>.</w:t>
      </w:r>
      <w:r w:rsidRPr="00393CB4">
        <w:rPr>
          <w:rFonts w:ascii="Times New Roman" w:hAnsi="Times New Roman"/>
          <w:b w:val="0"/>
          <w:bCs w:val="0"/>
          <w:i w:val="0"/>
          <w:iCs w:val="0"/>
          <w:color w:val="000000" w:themeColor="text1"/>
          <w:sz w:val="22"/>
          <w:szCs w:val="22"/>
          <w:lang w:val="en-GB"/>
        </w:rPr>
        <w:t xml:space="preserve"> </w:t>
      </w:r>
    </w:p>
    <w:p w14:paraId="210AE5B9" w14:textId="77777777" w:rsidR="00A42E55" w:rsidRPr="00393CB4" w:rsidRDefault="00A42E55" w:rsidP="0049567B">
      <w:pPr>
        <w:jc w:val="both"/>
        <w:rPr>
          <w:rFonts w:ascii="Times New Roman" w:hAnsi="Times New Roman"/>
          <w:color w:val="000000" w:themeColor="text1"/>
          <w:lang w:val="en-GB"/>
        </w:rPr>
      </w:pPr>
    </w:p>
    <w:p w14:paraId="3A1BA6F9" w14:textId="77777777" w:rsidR="00A42E55" w:rsidRPr="00393CB4" w:rsidRDefault="00A42E55" w:rsidP="0049567B">
      <w:pPr>
        <w:jc w:val="both"/>
        <w:rPr>
          <w:rFonts w:ascii="Times New Roman" w:hAnsi="Times New Roman"/>
          <w:color w:val="000000" w:themeColor="text1"/>
          <w:lang w:val="en-GB"/>
        </w:rPr>
      </w:pPr>
    </w:p>
    <w:p w14:paraId="51E18435" w14:textId="77777777" w:rsidR="00A42E55" w:rsidRPr="00393CB4" w:rsidRDefault="00A42E55" w:rsidP="0049567B">
      <w:pPr>
        <w:jc w:val="both"/>
        <w:rPr>
          <w:rFonts w:ascii="Times New Roman" w:hAnsi="Times New Roman"/>
          <w:color w:val="000000" w:themeColor="text1"/>
          <w:lang w:val="en-GB"/>
        </w:rPr>
      </w:pPr>
    </w:p>
    <w:p w14:paraId="5399D8B8" w14:textId="77777777" w:rsidR="00A42E55" w:rsidRPr="00393CB4" w:rsidRDefault="00A42E55" w:rsidP="0049567B">
      <w:pPr>
        <w:jc w:val="both"/>
        <w:rPr>
          <w:rFonts w:ascii="Times New Roman" w:hAnsi="Times New Roman"/>
          <w:color w:val="000000" w:themeColor="text1"/>
          <w:lang w:val="en-GB"/>
        </w:rPr>
      </w:pPr>
    </w:p>
    <w:sectPr w:rsidR="00A42E55" w:rsidRPr="00393CB4" w:rsidSect="008210B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9C72D" w14:textId="77777777" w:rsidR="002657C9" w:rsidRDefault="002657C9" w:rsidP="006218F8">
      <w:pPr>
        <w:spacing w:after="0" w:line="240" w:lineRule="auto"/>
      </w:pPr>
      <w:r>
        <w:separator/>
      </w:r>
    </w:p>
  </w:endnote>
  <w:endnote w:type="continuationSeparator" w:id="0">
    <w:p w14:paraId="4BFADB88" w14:textId="77777777" w:rsidR="002657C9" w:rsidRDefault="002657C9" w:rsidP="00621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istaSansBold">
    <w:altName w:val="Times New Roman"/>
    <w:panose1 w:val="00000000000000000000"/>
    <w:charset w:val="00"/>
    <w:family w:val="auto"/>
    <w:notTrueType/>
    <w:pitch w:val="variable"/>
    <w:sig w:usb0="00000003" w:usb1="00000000" w:usb2="00000000" w:usb3="00000000" w:csb0="00000001" w:csb1="00000000"/>
  </w:font>
  <w:font w:name="VistaSan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275D" w14:textId="3B8DA606" w:rsidR="007447E4" w:rsidRDefault="007447E4">
    <w:pPr>
      <w:pStyle w:val="Footer"/>
      <w:jc w:val="right"/>
    </w:pPr>
    <w:r>
      <w:fldChar w:fldCharType="begin"/>
    </w:r>
    <w:r>
      <w:instrText xml:space="preserve"> PAGE   \* MERGEFORMAT </w:instrText>
    </w:r>
    <w:r>
      <w:fldChar w:fldCharType="separate"/>
    </w:r>
    <w:r w:rsidR="008166B3">
      <w:rPr>
        <w:noProof/>
      </w:rPr>
      <w:t>20</w:t>
    </w:r>
    <w:r>
      <w:rPr>
        <w:noProof/>
      </w:rPr>
      <w:fldChar w:fldCharType="end"/>
    </w:r>
  </w:p>
  <w:p w14:paraId="06BCE75E" w14:textId="77777777" w:rsidR="007447E4" w:rsidRDefault="00744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D902" w14:textId="77777777" w:rsidR="002657C9" w:rsidRDefault="002657C9" w:rsidP="006218F8">
      <w:pPr>
        <w:spacing w:after="0" w:line="240" w:lineRule="auto"/>
      </w:pPr>
      <w:r>
        <w:separator/>
      </w:r>
    </w:p>
  </w:footnote>
  <w:footnote w:type="continuationSeparator" w:id="0">
    <w:p w14:paraId="51791CE7" w14:textId="77777777" w:rsidR="002657C9" w:rsidRDefault="002657C9" w:rsidP="00621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3AC"/>
    <w:multiLevelType w:val="hybridMultilevel"/>
    <w:tmpl w:val="54827EF8"/>
    <w:lvl w:ilvl="0" w:tplc="5C00FCC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1629"/>
    <w:multiLevelType w:val="hybridMultilevel"/>
    <w:tmpl w:val="BAE22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554709"/>
    <w:multiLevelType w:val="hybridMultilevel"/>
    <w:tmpl w:val="AFFE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3713B"/>
    <w:multiLevelType w:val="hybridMultilevel"/>
    <w:tmpl w:val="6A1AFF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C51BC1"/>
    <w:multiLevelType w:val="hybridMultilevel"/>
    <w:tmpl w:val="0090CF5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5" w15:restartNumberingAfterBreak="0">
    <w:nsid w:val="28FD30A5"/>
    <w:multiLevelType w:val="hybridMultilevel"/>
    <w:tmpl w:val="D19A900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6" w15:restartNumberingAfterBreak="0">
    <w:nsid w:val="333B2100"/>
    <w:multiLevelType w:val="hybridMultilevel"/>
    <w:tmpl w:val="51523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03F3E"/>
    <w:multiLevelType w:val="hybridMultilevel"/>
    <w:tmpl w:val="00BA3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B10044E"/>
    <w:multiLevelType w:val="hybridMultilevel"/>
    <w:tmpl w:val="B9F0CD90"/>
    <w:lvl w:ilvl="0" w:tplc="5C00FCC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266CD"/>
    <w:multiLevelType w:val="hybridMultilevel"/>
    <w:tmpl w:val="43DA7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C3556"/>
    <w:multiLevelType w:val="hybridMultilevel"/>
    <w:tmpl w:val="AED82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79454C"/>
    <w:multiLevelType w:val="hybridMultilevel"/>
    <w:tmpl w:val="49386CD8"/>
    <w:lvl w:ilvl="0" w:tplc="5C00FCC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F758EE"/>
    <w:multiLevelType w:val="hybridMultilevel"/>
    <w:tmpl w:val="C9848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F60064"/>
    <w:multiLevelType w:val="hybridMultilevel"/>
    <w:tmpl w:val="3538263A"/>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4" w15:restartNumberingAfterBreak="0">
    <w:nsid w:val="67CF39CE"/>
    <w:multiLevelType w:val="hybridMultilevel"/>
    <w:tmpl w:val="BE58D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377237"/>
    <w:multiLevelType w:val="hybridMultilevel"/>
    <w:tmpl w:val="B1AA42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0721E66"/>
    <w:multiLevelType w:val="hybridMultilevel"/>
    <w:tmpl w:val="E5B889B0"/>
    <w:lvl w:ilvl="0" w:tplc="5C00FCC8">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3"/>
  </w:num>
  <w:num w:numId="5">
    <w:abstractNumId w:val="11"/>
  </w:num>
  <w:num w:numId="6">
    <w:abstractNumId w:val="0"/>
  </w:num>
  <w:num w:numId="7">
    <w:abstractNumId w:val="8"/>
  </w:num>
  <w:num w:numId="8">
    <w:abstractNumId w:val="16"/>
  </w:num>
  <w:num w:numId="9">
    <w:abstractNumId w:val="3"/>
  </w:num>
  <w:num w:numId="10">
    <w:abstractNumId w:val="10"/>
  </w:num>
  <w:num w:numId="11">
    <w:abstractNumId w:val="14"/>
  </w:num>
  <w:num w:numId="12">
    <w:abstractNumId w:val="4"/>
  </w:num>
  <w:num w:numId="13">
    <w:abstractNumId w:val="7"/>
  </w:num>
  <w:num w:numId="14">
    <w:abstractNumId w:val="12"/>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552"/>
    <w:rsid w:val="000037DF"/>
    <w:rsid w:val="00014C6B"/>
    <w:rsid w:val="00021FF2"/>
    <w:rsid w:val="000225DD"/>
    <w:rsid w:val="000472DD"/>
    <w:rsid w:val="000511A1"/>
    <w:rsid w:val="00066057"/>
    <w:rsid w:val="00076814"/>
    <w:rsid w:val="00086480"/>
    <w:rsid w:val="00087552"/>
    <w:rsid w:val="00093538"/>
    <w:rsid w:val="000A1F37"/>
    <w:rsid w:val="000A26A3"/>
    <w:rsid w:val="000A35BB"/>
    <w:rsid w:val="000A641D"/>
    <w:rsid w:val="000B1303"/>
    <w:rsid w:val="000B1B94"/>
    <w:rsid w:val="000C1202"/>
    <w:rsid w:val="000C2D8D"/>
    <w:rsid w:val="000C71FA"/>
    <w:rsid w:val="000D1590"/>
    <w:rsid w:val="000D54AE"/>
    <w:rsid w:val="000D7B72"/>
    <w:rsid w:val="00100902"/>
    <w:rsid w:val="00105D78"/>
    <w:rsid w:val="00110BA2"/>
    <w:rsid w:val="001117B3"/>
    <w:rsid w:val="0011343B"/>
    <w:rsid w:val="001144A0"/>
    <w:rsid w:val="00133C46"/>
    <w:rsid w:val="00137FC0"/>
    <w:rsid w:val="0014053B"/>
    <w:rsid w:val="00141D22"/>
    <w:rsid w:val="00145B04"/>
    <w:rsid w:val="00150AEA"/>
    <w:rsid w:val="001537E0"/>
    <w:rsid w:val="00155ACF"/>
    <w:rsid w:val="00155E2D"/>
    <w:rsid w:val="001565B3"/>
    <w:rsid w:val="00160913"/>
    <w:rsid w:val="00164E6B"/>
    <w:rsid w:val="001656D1"/>
    <w:rsid w:val="0016589B"/>
    <w:rsid w:val="0017248F"/>
    <w:rsid w:val="00177D3C"/>
    <w:rsid w:val="001941F2"/>
    <w:rsid w:val="001A7242"/>
    <w:rsid w:val="001B0CC9"/>
    <w:rsid w:val="001B1F91"/>
    <w:rsid w:val="001B3B41"/>
    <w:rsid w:val="001C16BF"/>
    <w:rsid w:val="001D0EFF"/>
    <w:rsid w:val="001E6A24"/>
    <w:rsid w:val="001F15F6"/>
    <w:rsid w:val="001F217A"/>
    <w:rsid w:val="001F4E41"/>
    <w:rsid w:val="00200F1A"/>
    <w:rsid w:val="00204BCF"/>
    <w:rsid w:val="00204D0D"/>
    <w:rsid w:val="00210301"/>
    <w:rsid w:val="00216236"/>
    <w:rsid w:val="00220E23"/>
    <w:rsid w:val="0022294C"/>
    <w:rsid w:val="00222EB1"/>
    <w:rsid w:val="00223D7F"/>
    <w:rsid w:val="002263AD"/>
    <w:rsid w:val="002271E6"/>
    <w:rsid w:val="0023119D"/>
    <w:rsid w:val="00243B59"/>
    <w:rsid w:val="00252B55"/>
    <w:rsid w:val="00256407"/>
    <w:rsid w:val="00260F61"/>
    <w:rsid w:val="00261F2B"/>
    <w:rsid w:val="002657C9"/>
    <w:rsid w:val="00265AC3"/>
    <w:rsid w:val="00270A51"/>
    <w:rsid w:val="00280A48"/>
    <w:rsid w:val="00281603"/>
    <w:rsid w:val="00293000"/>
    <w:rsid w:val="002A0B0D"/>
    <w:rsid w:val="002A116C"/>
    <w:rsid w:val="002A1B5C"/>
    <w:rsid w:val="002A2845"/>
    <w:rsid w:val="002B2A8A"/>
    <w:rsid w:val="002B673A"/>
    <w:rsid w:val="002B6C7E"/>
    <w:rsid w:val="002C495E"/>
    <w:rsid w:val="002D409F"/>
    <w:rsid w:val="002D6085"/>
    <w:rsid w:val="002D7D8B"/>
    <w:rsid w:val="002E2597"/>
    <w:rsid w:val="002E4927"/>
    <w:rsid w:val="002E5366"/>
    <w:rsid w:val="002E738E"/>
    <w:rsid w:val="002F22C9"/>
    <w:rsid w:val="002F64C2"/>
    <w:rsid w:val="00301247"/>
    <w:rsid w:val="00302322"/>
    <w:rsid w:val="0030602D"/>
    <w:rsid w:val="00315359"/>
    <w:rsid w:val="00321A15"/>
    <w:rsid w:val="003272C2"/>
    <w:rsid w:val="00333E24"/>
    <w:rsid w:val="00334D46"/>
    <w:rsid w:val="00342BDB"/>
    <w:rsid w:val="00345884"/>
    <w:rsid w:val="00347CD2"/>
    <w:rsid w:val="00352D07"/>
    <w:rsid w:val="0035327F"/>
    <w:rsid w:val="0036522F"/>
    <w:rsid w:val="00367D8F"/>
    <w:rsid w:val="00377FE3"/>
    <w:rsid w:val="00393B48"/>
    <w:rsid w:val="00393CB4"/>
    <w:rsid w:val="003A690C"/>
    <w:rsid w:val="003A6BB0"/>
    <w:rsid w:val="003A7FFB"/>
    <w:rsid w:val="003B00B7"/>
    <w:rsid w:val="003B1543"/>
    <w:rsid w:val="003B6A67"/>
    <w:rsid w:val="003C4DB2"/>
    <w:rsid w:val="003D22CA"/>
    <w:rsid w:val="003D332C"/>
    <w:rsid w:val="003D4341"/>
    <w:rsid w:val="003E1CA5"/>
    <w:rsid w:val="003E7424"/>
    <w:rsid w:val="003F0F94"/>
    <w:rsid w:val="003F23C5"/>
    <w:rsid w:val="003F57D0"/>
    <w:rsid w:val="00401D07"/>
    <w:rsid w:val="004042AC"/>
    <w:rsid w:val="004045F0"/>
    <w:rsid w:val="00404C6C"/>
    <w:rsid w:val="00405578"/>
    <w:rsid w:val="004066BC"/>
    <w:rsid w:val="00406E81"/>
    <w:rsid w:val="004269B4"/>
    <w:rsid w:val="00430F8A"/>
    <w:rsid w:val="00463F96"/>
    <w:rsid w:val="00473BDE"/>
    <w:rsid w:val="00475C4A"/>
    <w:rsid w:val="00483A9C"/>
    <w:rsid w:val="004841BC"/>
    <w:rsid w:val="0048592E"/>
    <w:rsid w:val="0049170E"/>
    <w:rsid w:val="0049567B"/>
    <w:rsid w:val="004B3247"/>
    <w:rsid w:val="004B3A4F"/>
    <w:rsid w:val="004C2EA7"/>
    <w:rsid w:val="004D1079"/>
    <w:rsid w:val="004D170F"/>
    <w:rsid w:val="004D44A0"/>
    <w:rsid w:val="004E1636"/>
    <w:rsid w:val="004E2C39"/>
    <w:rsid w:val="004E3CA3"/>
    <w:rsid w:val="004F6A5F"/>
    <w:rsid w:val="004F7AEA"/>
    <w:rsid w:val="005209B2"/>
    <w:rsid w:val="00526E13"/>
    <w:rsid w:val="00532773"/>
    <w:rsid w:val="00533E9F"/>
    <w:rsid w:val="00541806"/>
    <w:rsid w:val="0054253E"/>
    <w:rsid w:val="005458AE"/>
    <w:rsid w:val="0054674C"/>
    <w:rsid w:val="005629D4"/>
    <w:rsid w:val="00566205"/>
    <w:rsid w:val="005674B5"/>
    <w:rsid w:val="005712DD"/>
    <w:rsid w:val="00574F80"/>
    <w:rsid w:val="005962B5"/>
    <w:rsid w:val="005A2E9F"/>
    <w:rsid w:val="005A557C"/>
    <w:rsid w:val="005B0D73"/>
    <w:rsid w:val="005C317A"/>
    <w:rsid w:val="005C76CD"/>
    <w:rsid w:val="005D2901"/>
    <w:rsid w:val="005D3AE7"/>
    <w:rsid w:val="005E187F"/>
    <w:rsid w:val="005E1A2D"/>
    <w:rsid w:val="005E1E38"/>
    <w:rsid w:val="005E5A64"/>
    <w:rsid w:val="005E5F76"/>
    <w:rsid w:val="00601220"/>
    <w:rsid w:val="006069B1"/>
    <w:rsid w:val="00606B7A"/>
    <w:rsid w:val="00610D02"/>
    <w:rsid w:val="00611941"/>
    <w:rsid w:val="00617C77"/>
    <w:rsid w:val="00620BCB"/>
    <w:rsid w:val="006218F8"/>
    <w:rsid w:val="00623570"/>
    <w:rsid w:val="00633D89"/>
    <w:rsid w:val="006363AF"/>
    <w:rsid w:val="00647F19"/>
    <w:rsid w:val="00667434"/>
    <w:rsid w:val="00670C4B"/>
    <w:rsid w:val="0067342F"/>
    <w:rsid w:val="00674E85"/>
    <w:rsid w:val="00676185"/>
    <w:rsid w:val="00681860"/>
    <w:rsid w:val="0068457B"/>
    <w:rsid w:val="00690CAC"/>
    <w:rsid w:val="00697B5D"/>
    <w:rsid w:val="006A0E07"/>
    <w:rsid w:val="006A253C"/>
    <w:rsid w:val="006A6D76"/>
    <w:rsid w:val="006A7139"/>
    <w:rsid w:val="006B536E"/>
    <w:rsid w:val="006D44C2"/>
    <w:rsid w:val="006D7513"/>
    <w:rsid w:val="006D75E6"/>
    <w:rsid w:val="006E0495"/>
    <w:rsid w:val="006E58BF"/>
    <w:rsid w:val="006F03A7"/>
    <w:rsid w:val="006F3725"/>
    <w:rsid w:val="006F69A9"/>
    <w:rsid w:val="00720C68"/>
    <w:rsid w:val="00736ABE"/>
    <w:rsid w:val="007439CC"/>
    <w:rsid w:val="007447E4"/>
    <w:rsid w:val="0074511B"/>
    <w:rsid w:val="0075661F"/>
    <w:rsid w:val="00760B9A"/>
    <w:rsid w:val="00762B99"/>
    <w:rsid w:val="00764387"/>
    <w:rsid w:val="00765AA6"/>
    <w:rsid w:val="007737BF"/>
    <w:rsid w:val="00774945"/>
    <w:rsid w:val="007877AC"/>
    <w:rsid w:val="007916C8"/>
    <w:rsid w:val="0079186C"/>
    <w:rsid w:val="007925D0"/>
    <w:rsid w:val="0079494F"/>
    <w:rsid w:val="007B299C"/>
    <w:rsid w:val="007B3382"/>
    <w:rsid w:val="007C3FDF"/>
    <w:rsid w:val="007C4641"/>
    <w:rsid w:val="007C4E2A"/>
    <w:rsid w:val="007C5308"/>
    <w:rsid w:val="007C5564"/>
    <w:rsid w:val="007C7C97"/>
    <w:rsid w:val="007D02CA"/>
    <w:rsid w:val="007D23C4"/>
    <w:rsid w:val="007D39E7"/>
    <w:rsid w:val="007D3C81"/>
    <w:rsid w:val="007E264A"/>
    <w:rsid w:val="007F40A1"/>
    <w:rsid w:val="007F4A4B"/>
    <w:rsid w:val="007F7799"/>
    <w:rsid w:val="008032C4"/>
    <w:rsid w:val="00806B57"/>
    <w:rsid w:val="008166B3"/>
    <w:rsid w:val="008210B8"/>
    <w:rsid w:val="0083107F"/>
    <w:rsid w:val="008327B1"/>
    <w:rsid w:val="00841E21"/>
    <w:rsid w:val="00846BDE"/>
    <w:rsid w:val="0085011E"/>
    <w:rsid w:val="00861A01"/>
    <w:rsid w:val="00870973"/>
    <w:rsid w:val="00872F19"/>
    <w:rsid w:val="00873C8E"/>
    <w:rsid w:val="00887FAD"/>
    <w:rsid w:val="008902FE"/>
    <w:rsid w:val="0089347C"/>
    <w:rsid w:val="00896729"/>
    <w:rsid w:val="008A3557"/>
    <w:rsid w:val="008B4CE1"/>
    <w:rsid w:val="008B6A59"/>
    <w:rsid w:val="008C0BFC"/>
    <w:rsid w:val="008D2FE2"/>
    <w:rsid w:val="008D3CBF"/>
    <w:rsid w:val="008F53E5"/>
    <w:rsid w:val="008F5E18"/>
    <w:rsid w:val="00914C96"/>
    <w:rsid w:val="0092144F"/>
    <w:rsid w:val="009243CB"/>
    <w:rsid w:val="009315F7"/>
    <w:rsid w:val="009341C8"/>
    <w:rsid w:val="00944D87"/>
    <w:rsid w:val="00950D75"/>
    <w:rsid w:val="00955463"/>
    <w:rsid w:val="00971323"/>
    <w:rsid w:val="009726B0"/>
    <w:rsid w:val="00987C64"/>
    <w:rsid w:val="009A1273"/>
    <w:rsid w:val="009A4688"/>
    <w:rsid w:val="009A5E78"/>
    <w:rsid w:val="009B120C"/>
    <w:rsid w:val="009C102A"/>
    <w:rsid w:val="009C1363"/>
    <w:rsid w:val="009C2CC3"/>
    <w:rsid w:val="009C54B7"/>
    <w:rsid w:val="009C5731"/>
    <w:rsid w:val="009D138A"/>
    <w:rsid w:val="009D6054"/>
    <w:rsid w:val="009D650F"/>
    <w:rsid w:val="009E0143"/>
    <w:rsid w:val="009E67D0"/>
    <w:rsid w:val="00A044BD"/>
    <w:rsid w:val="00A256D1"/>
    <w:rsid w:val="00A2654F"/>
    <w:rsid w:val="00A30B69"/>
    <w:rsid w:val="00A30B95"/>
    <w:rsid w:val="00A42276"/>
    <w:rsid w:val="00A42E55"/>
    <w:rsid w:val="00A44C41"/>
    <w:rsid w:val="00A45044"/>
    <w:rsid w:val="00A569A1"/>
    <w:rsid w:val="00A66E17"/>
    <w:rsid w:val="00A73D3B"/>
    <w:rsid w:val="00A876F5"/>
    <w:rsid w:val="00AA271D"/>
    <w:rsid w:val="00AA7FA1"/>
    <w:rsid w:val="00AB2827"/>
    <w:rsid w:val="00AB3C5A"/>
    <w:rsid w:val="00AD2870"/>
    <w:rsid w:val="00AD2B4D"/>
    <w:rsid w:val="00AD4F5D"/>
    <w:rsid w:val="00AF2122"/>
    <w:rsid w:val="00AF2D6E"/>
    <w:rsid w:val="00AF543A"/>
    <w:rsid w:val="00AF67FB"/>
    <w:rsid w:val="00B0152D"/>
    <w:rsid w:val="00B02199"/>
    <w:rsid w:val="00B0416D"/>
    <w:rsid w:val="00B064D7"/>
    <w:rsid w:val="00B1535A"/>
    <w:rsid w:val="00B16C99"/>
    <w:rsid w:val="00B16EDC"/>
    <w:rsid w:val="00B21829"/>
    <w:rsid w:val="00B265C1"/>
    <w:rsid w:val="00B27A09"/>
    <w:rsid w:val="00B342C9"/>
    <w:rsid w:val="00B4111C"/>
    <w:rsid w:val="00B4121C"/>
    <w:rsid w:val="00B4514B"/>
    <w:rsid w:val="00B471D1"/>
    <w:rsid w:val="00B512F9"/>
    <w:rsid w:val="00B51A83"/>
    <w:rsid w:val="00B51CE8"/>
    <w:rsid w:val="00B56ED8"/>
    <w:rsid w:val="00B56FF3"/>
    <w:rsid w:val="00B60A4E"/>
    <w:rsid w:val="00B81877"/>
    <w:rsid w:val="00B82894"/>
    <w:rsid w:val="00B82DD6"/>
    <w:rsid w:val="00B85D89"/>
    <w:rsid w:val="00BA3469"/>
    <w:rsid w:val="00BB2D99"/>
    <w:rsid w:val="00BD06E5"/>
    <w:rsid w:val="00BE311A"/>
    <w:rsid w:val="00C04D6A"/>
    <w:rsid w:val="00C05BCF"/>
    <w:rsid w:val="00C07A4C"/>
    <w:rsid w:val="00C10C16"/>
    <w:rsid w:val="00C14D96"/>
    <w:rsid w:val="00C161FF"/>
    <w:rsid w:val="00C203FC"/>
    <w:rsid w:val="00C24790"/>
    <w:rsid w:val="00C26E96"/>
    <w:rsid w:val="00C37C0F"/>
    <w:rsid w:val="00C423E3"/>
    <w:rsid w:val="00C56931"/>
    <w:rsid w:val="00C61617"/>
    <w:rsid w:val="00C624E2"/>
    <w:rsid w:val="00C66B87"/>
    <w:rsid w:val="00C80795"/>
    <w:rsid w:val="00C92E96"/>
    <w:rsid w:val="00C93663"/>
    <w:rsid w:val="00CA1045"/>
    <w:rsid w:val="00CB1E25"/>
    <w:rsid w:val="00CB4E31"/>
    <w:rsid w:val="00CC0757"/>
    <w:rsid w:val="00CD2B95"/>
    <w:rsid w:val="00CD3255"/>
    <w:rsid w:val="00CD607E"/>
    <w:rsid w:val="00CE1CA6"/>
    <w:rsid w:val="00CE264F"/>
    <w:rsid w:val="00CE3F4D"/>
    <w:rsid w:val="00CE72D9"/>
    <w:rsid w:val="00CF41CB"/>
    <w:rsid w:val="00D0649D"/>
    <w:rsid w:val="00D10B60"/>
    <w:rsid w:val="00D13F5E"/>
    <w:rsid w:val="00D20CA8"/>
    <w:rsid w:val="00D21819"/>
    <w:rsid w:val="00D21C58"/>
    <w:rsid w:val="00D269C0"/>
    <w:rsid w:val="00D312E7"/>
    <w:rsid w:val="00D35886"/>
    <w:rsid w:val="00D405DF"/>
    <w:rsid w:val="00D42266"/>
    <w:rsid w:val="00D4396A"/>
    <w:rsid w:val="00D461DE"/>
    <w:rsid w:val="00D61707"/>
    <w:rsid w:val="00D66596"/>
    <w:rsid w:val="00D73237"/>
    <w:rsid w:val="00D73603"/>
    <w:rsid w:val="00D82832"/>
    <w:rsid w:val="00D92BDD"/>
    <w:rsid w:val="00D9342F"/>
    <w:rsid w:val="00D93482"/>
    <w:rsid w:val="00D939FB"/>
    <w:rsid w:val="00DA609B"/>
    <w:rsid w:val="00DB55C0"/>
    <w:rsid w:val="00DB6D98"/>
    <w:rsid w:val="00DB71C5"/>
    <w:rsid w:val="00DC2FD6"/>
    <w:rsid w:val="00DC7D12"/>
    <w:rsid w:val="00DE2773"/>
    <w:rsid w:val="00DE27C3"/>
    <w:rsid w:val="00DE333A"/>
    <w:rsid w:val="00DF36AC"/>
    <w:rsid w:val="00DF477E"/>
    <w:rsid w:val="00E00DED"/>
    <w:rsid w:val="00E116C9"/>
    <w:rsid w:val="00E148F5"/>
    <w:rsid w:val="00E269D2"/>
    <w:rsid w:val="00E3481C"/>
    <w:rsid w:val="00E369E2"/>
    <w:rsid w:val="00E37A8C"/>
    <w:rsid w:val="00E5040E"/>
    <w:rsid w:val="00E55C1D"/>
    <w:rsid w:val="00E56287"/>
    <w:rsid w:val="00E605D4"/>
    <w:rsid w:val="00E63BFE"/>
    <w:rsid w:val="00E70FDF"/>
    <w:rsid w:val="00E8304C"/>
    <w:rsid w:val="00EA7175"/>
    <w:rsid w:val="00EA792E"/>
    <w:rsid w:val="00EB5F1C"/>
    <w:rsid w:val="00EC2C7D"/>
    <w:rsid w:val="00ED13C1"/>
    <w:rsid w:val="00ED2713"/>
    <w:rsid w:val="00ED52EE"/>
    <w:rsid w:val="00ED59AF"/>
    <w:rsid w:val="00ED6A02"/>
    <w:rsid w:val="00EE508B"/>
    <w:rsid w:val="00EE63E3"/>
    <w:rsid w:val="00EF7869"/>
    <w:rsid w:val="00EF7FC5"/>
    <w:rsid w:val="00F03A7D"/>
    <w:rsid w:val="00F042ED"/>
    <w:rsid w:val="00F12DAA"/>
    <w:rsid w:val="00F13C72"/>
    <w:rsid w:val="00F16A5F"/>
    <w:rsid w:val="00F16CB5"/>
    <w:rsid w:val="00F25E76"/>
    <w:rsid w:val="00F31374"/>
    <w:rsid w:val="00F364DA"/>
    <w:rsid w:val="00F40948"/>
    <w:rsid w:val="00F437C4"/>
    <w:rsid w:val="00F44520"/>
    <w:rsid w:val="00F46642"/>
    <w:rsid w:val="00F533ED"/>
    <w:rsid w:val="00F6407A"/>
    <w:rsid w:val="00F72B43"/>
    <w:rsid w:val="00F74B53"/>
    <w:rsid w:val="00F75B32"/>
    <w:rsid w:val="00F851F0"/>
    <w:rsid w:val="00F870C3"/>
    <w:rsid w:val="00F87D13"/>
    <w:rsid w:val="00FB0191"/>
    <w:rsid w:val="00FB1DAF"/>
    <w:rsid w:val="00FB5AD8"/>
    <w:rsid w:val="00FD1046"/>
    <w:rsid w:val="00FD5018"/>
    <w:rsid w:val="00FE0500"/>
    <w:rsid w:val="00FE3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EB17E21"/>
  <w15:docId w15:val="{721310DF-88BA-4647-AC0E-F63FD6CA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2F9"/>
    <w:pPr>
      <w:spacing w:after="240" w:line="480" w:lineRule="auto"/>
      <w:ind w:firstLine="360"/>
    </w:pPr>
    <w:rPr>
      <w:rFonts w:cs="Times New Roman"/>
      <w:sz w:val="22"/>
      <w:szCs w:val="22"/>
      <w:lang w:val="en-US" w:eastAsia="en-US"/>
    </w:rPr>
  </w:style>
  <w:style w:type="paragraph" w:styleId="Heading1">
    <w:name w:val="heading 1"/>
    <w:basedOn w:val="Normal"/>
    <w:next w:val="Normal"/>
    <w:link w:val="Heading1Char"/>
    <w:uiPriority w:val="9"/>
    <w:qFormat/>
    <w:rsid w:val="00B512F9"/>
    <w:pPr>
      <w:spacing w:before="600" w:after="0" w:line="360" w:lineRule="auto"/>
      <w:ind w:firstLine="0"/>
      <w:outlineLvl w:val="0"/>
    </w:pPr>
    <w:rPr>
      <w:rFonts w:ascii="Cambria" w:hAnsi="Cambria"/>
      <w:b/>
      <w:bCs/>
      <w:i/>
      <w:iCs/>
      <w:sz w:val="32"/>
      <w:szCs w:val="32"/>
    </w:rPr>
  </w:style>
  <w:style w:type="paragraph" w:styleId="Heading2">
    <w:name w:val="heading 2"/>
    <w:basedOn w:val="Normal"/>
    <w:next w:val="Normal"/>
    <w:link w:val="Heading2Char"/>
    <w:uiPriority w:val="9"/>
    <w:qFormat/>
    <w:rsid w:val="00B512F9"/>
    <w:pPr>
      <w:spacing w:before="320" w:after="0" w:line="360" w:lineRule="auto"/>
      <w:ind w:firstLine="0"/>
      <w:outlineLvl w:val="1"/>
    </w:pPr>
    <w:rPr>
      <w:rFonts w:ascii="Cambria" w:hAnsi="Cambria"/>
      <w:b/>
      <w:bCs/>
      <w:i/>
      <w:iCs/>
      <w:sz w:val="28"/>
      <w:szCs w:val="28"/>
    </w:rPr>
  </w:style>
  <w:style w:type="paragraph" w:styleId="Heading3">
    <w:name w:val="heading 3"/>
    <w:basedOn w:val="Normal"/>
    <w:next w:val="Normal"/>
    <w:link w:val="Heading3Char"/>
    <w:uiPriority w:val="9"/>
    <w:qFormat/>
    <w:rsid w:val="00B512F9"/>
    <w:pPr>
      <w:spacing w:before="320" w:after="0" w:line="360" w:lineRule="auto"/>
      <w:ind w:firstLine="0"/>
      <w:outlineLvl w:val="2"/>
    </w:pPr>
    <w:rPr>
      <w:rFonts w:ascii="Cambria" w:hAnsi="Cambria"/>
      <w:b/>
      <w:bCs/>
      <w:i/>
      <w:iCs/>
      <w:sz w:val="26"/>
      <w:szCs w:val="26"/>
    </w:rPr>
  </w:style>
  <w:style w:type="paragraph" w:styleId="Heading4">
    <w:name w:val="heading 4"/>
    <w:basedOn w:val="Normal"/>
    <w:next w:val="Normal"/>
    <w:link w:val="Heading4Char"/>
    <w:uiPriority w:val="9"/>
    <w:qFormat/>
    <w:rsid w:val="00B512F9"/>
    <w:pPr>
      <w:spacing w:before="280" w:after="0" w:line="360" w:lineRule="auto"/>
      <w:ind w:firstLine="0"/>
      <w:outlineLvl w:val="3"/>
    </w:pPr>
    <w:rPr>
      <w:rFonts w:ascii="Cambria" w:hAnsi="Cambria"/>
      <w:b/>
      <w:bCs/>
      <w:i/>
      <w:iCs/>
      <w:sz w:val="24"/>
      <w:szCs w:val="24"/>
    </w:rPr>
  </w:style>
  <w:style w:type="paragraph" w:styleId="Heading5">
    <w:name w:val="heading 5"/>
    <w:basedOn w:val="Normal"/>
    <w:next w:val="Normal"/>
    <w:link w:val="Heading5Char"/>
    <w:uiPriority w:val="9"/>
    <w:qFormat/>
    <w:rsid w:val="00B512F9"/>
    <w:pPr>
      <w:spacing w:before="280" w:after="0" w:line="360" w:lineRule="auto"/>
      <w:ind w:firstLine="0"/>
      <w:outlineLvl w:val="4"/>
    </w:pPr>
    <w:rPr>
      <w:rFonts w:ascii="Cambria" w:hAnsi="Cambria"/>
      <w:b/>
      <w:bCs/>
      <w:i/>
      <w:iCs/>
    </w:rPr>
  </w:style>
  <w:style w:type="paragraph" w:styleId="Heading6">
    <w:name w:val="heading 6"/>
    <w:basedOn w:val="Normal"/>
    <w:next w:val="Normal"/>
    <w:link w:val="Heading6Char"/>
    <w:uiPriority w:val="9"/>
    <w:qFormat/>
    <w:rsid w:val="00B512F9"/>
    <w:pPr>
      <w:spacing w:before="280" w:after="80" w:line="360" w:lineRule="auto"/>
      <w:ind w:firstLine="0"/>
      <w:outlineLvl w:val="5"/>
    </w:pPr>
    <w:rPr>
      <w:rFonts w:ascii="Cambria" w:hAnsi="Cambria"/>
      <w:b/>
      <w:bCs/>
      <w:i/>
      <w:iCs/>
    </w:rPr>
  </w:style>
  <w:style w:type="paragraph" w:styleId="Heading7">
    <w:name w:val="heading 7"/>
    <w:basedOn w:val="Normal"/>
    <w:next w:val="Normal"/>
    <w:link w:val="Heading7Char"/>
    <w:uiPriority w:val="9"/>
    <w:qFormat/>
    <w:rsid w:val="00B512F9"/>
    <w:pPr>
      <w:spacing w:before="280" w:after="0" w:line="360" w:lineRule="auto"/>
      <w:ind w:firstLine="0"/>
      <w:outlineLvl w:val="6"/>
    </w:pPr>
    <w:rPr>
      <w:rFonts w:ascii="Cambria" w:hAnsi="Cambria"/>
      <w:b/>
      <w:bCs/>
      <w:i/>
      <w:iCs/>
      <w:sz w:val="20"/>
      <w:szCs w:val="20"/>
    </w:rPr>
  </w:style>
  <w:style w:type="paragraph" w:styleId="Heading8">
    <w:name w:val="heading 8"/>
    <w:basedOn w:val="Normal"/>
    <w:next w:val="Normal"/>
    <w:link w:val="Heading8Char"/>
    <w:uiPriority w:val="9"/>
    <w:qFormat/>
    <w:rsid w:val="00B512F9"/>
    <w:pPr>
      <w:spacing w:before="280" w:after="0" w:line="360" w:lineRule="auto"/>
      <w:ind w:firstLine="0"/>
      <w:outlineLvl w:val="7"/>
    </w:pPr>
    <w:rPr>
      <w:rFonts w:ascii="Cambria" w:hAnsi="Cambria"/>
      <w:b/>
      <w:bCs/>
      <w:i/>
      <w:iCs/>
      <w:sz w:val="18"/>
      <w:szCs w:val="18"/>
    </w:rPr>
  </w:style>
  <w:style w:type="paragraph" w:styleId="Heading9">
    <w:name w:val="heading 9"/>
    <w:basedOn w:val="Normal"/>
    <w:next w:val="Normal"/>
    <w:link w:val="Heading9Char"/>
    <w:uiPriority w:val="9"/>
    <w:qFormat/>
    <w:rsid w:val="00B512F9"/>
    <w:pPr>
      <w:spacing w:before="280" w:after="0" w:line="360" w:lineRule="auto"/>
      <w:ind w:firstLine="0"/>
      <w:outlineLvl w:val="8"/>
    </w:pPr>
    <w:rPr>
      <w:rFonts w:ascii="Cambria" w:hAnsi="Cambria"/>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512F9"/>
    <w:rPr>
      <w:rFonts w:ascii="Cambria" w:hAnsi="Cambria" w:cs="Times New Roman"/>
      <w:b/>
      <w:bCs/>
      <w:i/>
      <w:iCs/>
      <w:sz w:val="32"/>
      <w:szCs w:val="32"/>
    </w:rPr>
  </w:style>
  <w:style w:type="character" w:customStyle="1" w:styleId="Heading2Char">
    <w:name w:val="Heading 2 Char"/>
    <w:basedOn w:val="DefaultParagraphFont"/>
    <w:link w:val="Heading2"/>
    <w:uiPriority w:val="9"/>
    <w:locked/>
    <w:rsid w:val="00B512F9"/>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B512F9"/>
    <w:rPr>
      <w:rFonts w:ascii="Cambria" w:hAnsi="Cambria" w:cs="Times New Roman"/>
      <w:b/>
      <w:bCs/>
      <w:i/>
      <w:iCs/>
      <w:sz w:val="26"/>
      <w:szCs w:val="26"/>
    </w:rPr>
  </w:style>
  <w:style w:type="character" w:customStyle="1" w:styleId="Heading4Char">
    <w:name w:val="Heading 4 Char"/>
    <w:basedOn w:val="DefaultParagraphFont"/>
    <w:link w:val="Heading4"/>
    <w:uiPriority w:val="9"/>
    <w:semiHidden/>
    <w:locked/>
    <w:rsid w:val="00B512F9"/>
    <w:rPr>
      <w:rFonts w:ascii="Cambria" w:hAnsi="Cambria" w:cs="Times New Roman"/>
      <w:b/>
      <w:bCs/>
      <w:i/>
      <w:iCs/>
      <w:sz w:val="24"/>
      <w:szCs w:val="24"/>
    </w:rPr>
  </w:style>
  <w:style w:type="character" w:customStyle="1" w:styleId="Heading5Char">
    <w:name w:val="Heading 5 Char"/>
    <w:basedOn w:val="DefaultParagraphFont"/>
    <w:link w:val="Heading5"/>
    <w:uiPriority w:val="9"/>
    <w:semiHidden/>
    <w:locked/>
    <w:rsid w:val="00B512F9"/>
    <w:rPr>
      <w:rFonts w:ascii="Cambria" w:hAnsi="Cambria" w:cs="Times New Roman"/>
      <w:b/>
      <w:bCs/>
      <w:i/>
      <w:iCs/>
    </w:rPr>
  </w:style>
  <w:style w:type="character" w:customStyle="1" w:styleId="Heading6Char">
    <w:name w:val="Heading 6 Char"/>
    <w:basedOn w:val="DefaultParagraphFont"/>
    <w:link w:val="Heading6"/>
    <w:uiPriority w:val="9"/>
    <w:semiHidden/>
    <w:locked/>
    <w:rsid w:val="00B512F9"/>
    <w:rPr>
      <w:rFonts w:ascii="Cambria" w:hAnsi="Cambria" w:cs="Times New Roman"/>
      <w:b/>
      <w:bCs/>
      <w:i/>
      <w:iCs/>
    </w:rPr>
  </w:style>
  <w:style w:type="character" w:customStyle="1" w:styleId="Heading7Char">
    <w:name w:val="Heading 7 Char"/>
    <w:basedOn w:val="DefaultParagraphFont"/>
    <w:link w:val="Heading7"/>
    <w:uiPriority w:val="9"/>
    <w:semiHidden/>
    <w:locked/>
    <w:rsid w:val="00B512F9"/>
    <w:rPr>
      <w:rFonts w:ascii="Cambria" w:hAnsi="Cambria" w:cs="Times New Roman"/>
      <w:b/>
      <w:bCs/>
      <w:i/>
      <w:iCs/>
      <w:sz w:val="20"/>
      <w:szCs w:val="20"/>
    </w:rPr>
  </w:style>
  <w:style w:type="character" w:customStyle="1" w:styleId="Heading8Char">
    <w:name w:val="Heading 8 Char"/>
    <w:basedOn w:val="DefaultParagraphFont"/>
    <w:link w:val="Heading8"/>
    <w:uiPriority w:val="9"/>
    <w:semiHidden/>
    <w:locked/>
    <w:rsid w:val="00B512F9"/>
    <w:rPr>
      <w:rFonts w:ascii="Cambria" w:hAnsi="Cambria" w:cs="Times New Roman"/>
      <w:b/>
      <w:bCs/>
      <w:i/>
      <w:iCs/>
      <w:sz w:val="18"/>
      <w:szCs w:val="18"/>
    </w:rPr>
  </w:style>
  <w:style w:type="character" w:customStyle="1" w:styleId="Heading9Char">
    <w:name w:val="Heading 9 Char"/>
    <w:basedOn w:val="DefaultParagraphFont"/>
    <w:link w:val="Heading9"/>
    <w:uiPriority w:val="9"/>
    <w:semiHidden/>
    <w:locked/>
    <w:rsid w:val="00B512F9"/>
    <w:rPr>
      <w:rFonts w:ascii="Cambria" w:hAnsi="Cambria" w:cs="Times New Roman"/>
      <w:i/>
      <w:iCs/>
      <w:sz w:val="18"/>
      <w:szCs w:val="18"/>
    </w:rPr>
  </w:style>
  <w:style w:type="paragraph" w:customStyle="1" w:styleId="Grandtitre">
    <w:name w:val="Grand titre"/>
    <w:basedOn w:val="Normal"/>
    <w:rsid w:val="00260F61"/>
    <w:pPr>
      <w:spacing w:after="0" w:line="240" w:lineRule="auto"/>
      <w:ind w:firstLine="720"/>
      <w:jc w:val="both"/>
    </w:pPr>
    <w:rPr>
      <w:rFonts w:ascii="VistaSansBold" w:hAnsi="VistaSansBold"/>
      <w:caps/>
      <w:color w:val="313237"/>
      <w:sz w:val="64"/>
      <w:szCs w:val="64"/>
      <w:lang w:val="fr-FR" w:eastAsia="fr-FR"/>
    </w:rPr>
  </w:style>
  <w:style w:type="paragraph" w:customStyle="1" w:styleId="Sous-titredelapage">
    <w:name w:val="Sous-titre de la page"/>
    <w:basedOn w:val="Normal"/>
    <w:rsid w:val="00260F61"/>
    <w:pPr>
      <w:spacing w:after="0" w:line="240" w:lineRule="auto"/>
      <w:ind w:firstLine="720"/>
      <w:jc w:val="both"/>
    </w:pPr>
    <w:rPr>
      <w:rFonts w:ascii="VistaSansReg" w:hAnsi="VistaSansReg"/>
      <w:color w:val="313237"/>
      <w:sz w:val="52"/>
      <w:szCs w:val="52"/>
      <w:lang w:val="fr-FR" w:eastAsia="fr-FR"/>
    </w:rPr>
  </w:style>
  <w:style w:type="paragraph" w:styleId="ListParagraph">
    <w:name w:val="List Paragraph"/>
    <w:basedOn w:val="Normal"/>
    <w:uiPriority w:val="34"/>
    <w:qFormat/>
    <w:rsid w:val="00B512F9"/>
    <w:pPr>
      <w:ind w:left="720"/>
      <w:contextualSpacing/>
    </w:pPr>
  </w:style>
  <w:style w:type="character" w:styleId="CommentReference">
    <w:name w:val="annotation reference"/>
    <w:basedOn w:val="DefaultParagraphFont"/>
    <w:uiPriority w:val="99"/>
    <w:semiHidden/>
    <w:unhideWhenUsed/>
    <w:rsid w:val="001117B3"/>
    <w:rPr>
      <w:rFonts w:cs="Times New Roman"/>
      <w:sz w:val="16"/>
      <w:szCs w:val="16"/>
    </w:rPr>
  </w:style>
  <w:style w:type="paragraph" w:styleId="CommentText">
    <w:name w:val="annotation text"/>
    <w:basedOn w:val="Normal"/>
    <w:link w:val="CommentTextChar"/>
    <w:uiPriority w:val="99"/>
    <w:semiHidden/>
    <w:unhideWhenUsed/>
    <w:rsid w:val="001117B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117B3"/>
    <w:rPr>
      <w:rFonts w:cs="Times New Roman"/>
      <w:sz w:val="20"/>
      <w:szCs w:val="20"/>
    </w:rPr>
  </w:style>
  <w:style w:type="paragraph" w:styleId="CommentSubject">
    <w:name w:val="annotation subject"/>
    <w:basedOn w:val="CommentText"/>
    <w:next w:val="CommentText"/>
    <w:link w:val="CommentSubjectChar"/>
    <w:uiPriority w:val="99"/>
    <w:semiHidden/>
    <w:unhideWhenUsed/>
    <w:rsid w:val="001117B3"/>
    <w:rPr>
      <w:b/>
      <w:bCs/>
    </w:rPr>
  </w:style>
  <w:style w:type="character" w:customStyle="1" w:styleId="CommentSubjectChar">
    <w:name w:val="Comment Subject Char"/>
    <w:basedOn w:val="CommentTextChar"/>
    <w:link w:val="CommentSubject"/>
    <w:uiPriority w:val="99"/>
    <w:semiHidden/>
    <w:locked/>
    <w:rsid w:val="001117B3"/>
    <w:rPr>
      <w:rFonts w:cs="Times New Roman"/>
      <w:b/>
      <w:bCs/>
      <w:sz w:val="20"/>
      <w:szCs w:val="20"/>
    </w:rPr>
  </w:style>
  <w:style w:type="paragraph" w:styleId="BalloonText">
    <w:name w:val="Balloon Text"/>
    <w:basedOn w:val="Normal"/>
    <w:link w:val="BalloonTextChar"/>
    <w:uiPriority w:val="99"/>
    <w:semiHidden/>
    <w:unhideWhenUsed/>
    <w:rsid w:val="00111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7B3"/>
    <w:rPr>
      <w:rFonts w:ascii="Tahoma" w:hAnsi="Tahoma" w:cs="Tahoma"/>
      <w:sz w:val="16"/>
      <w:szCs w:val="16"/>
    </w:rPr>
  </w:style>
  <w:style w:type="paragraph" w:styleId="Caption">
    <w:name w:val="caption"/>
    <w:basedOn w:val="Normal"/>
    <w:next w:val="Normal"/>
    <w:uiPriority w:val="35"/>
    <w:qFormat/>
    <w:rsid w:val="00B512F9"/>
    <w:rPr>
      <w:b/>
      <w:bCs/>
      <w:sz w:val="18"/>
      <w:szCs w:val="18"/>
    </w:rPr>
  </w:style>
  <w:style w:type="paragraph" w:styleId="Title">
    <w:name w:val="Title"/>
    <w:basedOn w:val="Normal"/>
    <w:next w:val="Normal"/>
    <w:link w:val="TitleChar"/>
    <w:uiPriority w:val="10"/>
    <w:qFormat/>
    <w:rsid w:val="00B512F9"/>
    <w:pPr>
      <w:spacing w:line="240" w:lineRule="auto"/>
      <w:ind w:firstLine="0"/>
    </w:pPr>
    <w:rPr>
      <w:rFonts w:ascii="Cambria" w:hAnsi="Cambria"/>
      <w:b/>
      <w:bCs/>
      <w:i/>
      <w:iCs/>
      <w:spacing w:val="10"/>
      <w:sz w:val="60"/>
      <w:szCs w:val="60"/>
    </w:rPr>
  </w:style>
  <w:style w:type="character" w:customStyle="1" w:styleId="TitleChar">
    <w:name w:val="Title Char"/>
    <w:basedOn w:val="DefaultParagraphFont"/>
    <w:link w:val="Title"/>
    <w:uiPriority w:val="10"/>
    <w:locked/>
    <w:rsid w:val="00B512F9"/>
    <w:rPr>
      <w:rFonts w:ascii="Cambria" w:hAnsi="Cambria" w:cs="Times New Roman"/>
      <w:b/>
      <w:bCs/>
      <w:i/>
      <w:iCs/>
      <w:spacing w:val="10"/>
      <w:sz w:val="60"/>
      <w:szCs w:val="60"/>
    </w:rPr>
  </w:style>
  <w:style w:type="paragraph" w:styleId="Subtitle">
    <w:name w:val="Subtitle"/>
    <w:basedOn w:val="Normal"/>
    <w:next w:val="Normal"/>
    <w:link w:val="SubtitleChar"/>
    <w:uiPriority w:val="11"/>
    <w:qFormat/>
    <w:rsid w:val="00B512F9"/>
    <w:pPr>
      <w:spacing w:after="320"/>
      <w:jc w:val="right"/>
    </w:pPr>
    <w:rPr>
      <w:i/>
      <w:iCs/>
      <w:color w:val="808080"/>
      <w:spacing w:val="10"/>
      <w:sz w:val="24"/>
      <w:szCs w:val="24"/>
    </w:rPr>
  </w:style>
  <w:style w:type="character" w:customStyle="1" w:styleId="SubtitleChar">
    <w:name w:val="Subtitle Char"/>
    <w:basedOn w:val="DefaultParagraphFont"/>
    <w:link w:val="Subtitle"/>
    <w:uiPriority w:val="11"/>
    <w:locked/>
    <w:rsid w:val="00B512F9"/>
    <w:rPr>
      <w:rFonts w:cs="Times New Roman"/>
      <w:i/>
      <w:iCs/>
      <w:color w:val="808080"/>
      <w:spacing w:val="10"/>
      <w:sz w:val="24"/>
      <w:szCs w:val="24"/>
    </w:rPr>
  </w:style>
  <w:style w:type="character" w:styleId="Strong">
    <w:name w:val="Strong"/>
    <w:basedOn w:val="DefaultParagraphFont"/>
    <w:uiPriority w:val="22"/>
    <w:qFormat/>
    <w:rsid w:val="00B512F9"/>
    <w:rPr>
      <w:rFonts w:cs="Times New Roman"/>
      <w:b/>
      <w:bCs/>
      <w:spacing w:val="0"/>
    </w:rPr>
  </w:style>
  <w:style w:type="character" w:styleId="Emphasis">
    <w:name w:val="Emphasis"/>
    <w:basedOn w:val="DefaultParagraphFont"/>
    <w:uiPriority w:val="20"/>
    <w:qFormat/>
    <w:rsid w:val="00B512F9"/>
    <w:rPr>
      <w:b/>
      <w:i/>
      <w:color w:val="auto"/>
    </w:rPr>
  </w:style>
  <w:style w:type="paragraph" w:styleId="NoSpacing">
    <w:name w:val="No Spacing"/>
    <w:basedOn w:val="Normal"/>
    <w:link w:val="NoSpacingChar"/>
    <w:uiPriority w:val="1"/>
    <w:qFormat/>
    <w:rsid w:val="00B512F9"/>
    <w:pPr>
      <w:spacing w:after="0" w:line="240" w:lineRule="auto"/>
      <w:ind w:firstLine="0"/>
    </w:pPr>
  </w:style>
  <w:style w:type="paragraph" w:styleId="Quote">
    <w:name w:val="Quote"/>
    <w:basedOn w:val="Normal"/>
    <w:next w:val="Normal"/>
    <w:link w:val="QuoteChar"/>
    <w:uiPriority w:val="29"/>
    <w:qFormat/>
    <w:rsid w:val="00B512F9"/>
    <w:rPr>
      <w:color w:val="5A5A5A"/>
    </w:rPr>
  </w:style>
  <w:style w:type="character" w:customStyle="1" w:styleId="QuoteChar">
    <w:name w:val="Quote Char"/>
    <w:basedOn w:val="DefaultParagraphFont"/>
    <w:link w:val="Quote"/>
    <w:uiPriority w:val="29"/>
    <w:locked/>
    <w:rsid w:val="00B512F9"/>
    <w:rPr>
      <w:rFonts w:ascii="Calibri" w:cs="Times New Roman"/>
      <w:color w:val="5A5A5A"/>
    </w:rPr>
  </w:style>
  <w:style w:type="paragraph" w:styleId="IntenseQuote">
    <w:name w:val="Intense Quote"/>
    <w:basedOn w:val="Normal"/>
    <w:next w:val="Normal"/>
    <w:link w:val="IntenseQuoteChar"/>
    <w:uiPriority w:val="30"/>
    <w:qFormat/>
    <w:rsid w:val="00B512F9"/>
    <w:pPr>
      <w:spacing w:before="320" w:after="480" w:line="240" w:lineRule="auto"/>
      <w:ind w:left="720" w:right="720" w:firstLine="0"/>
      <w:jc w:val="center"/>
    </w:pPr>
    <w:rPr>
      <w:rFonts w:ascii="Cambria" w:hAnsi="Cambria"/>
      <w:i/>
      <w:iCs/>
      <w:sz w:val="20"/>
      <w:szCs w:val="20"/>
    </w:rPr>
  </w:style>
  <w:style w:type="character" w:customStyle="1" w:styleId="IntenseQuoteChar">
    <w:name w:val="Intense Quote Char"/>
    <w:basedOn w:val="DefaultParagraphFont"/>
    <w:link w:val="IntenseQuote"/>
    <w:uiPriority w:val="30"/>
    <w:locked/>
    <w:rsid w:val="00B512F9"/>
    <w:rPr>
      <w:rFonts w:ascii="Cambria" w:hAnsi="Cambria" w:cs="Times New Roman"/>
      <w:i/>
      <w:iCs/>
      <w:sz w:val="20"/>
      <w:szCs w:val="20"/>
    </w:rPr>
  </w:style>
  <w:style w:type="character" w:styleId="SubtleEmphasis">
    <w:name w:val="Subtle Emphasis"/>
    <w:basedOn w:val="DefaultParagraphFont"/>
    <w:uiPriority w:val="19"/>
    <w:qFormat/>
    <w:rsid w:val="00B512F9"/>
    <w:rPr>
      <w:i/>
      <w:color w:val="5A5A5A"/>
    </w:rPr>
  </w:style>
  <w:style w:type="character" w:styleId="IntenseEmphasis">
    <w:name w:val="Intense Emphasis"/>
    <w:basedOn w:val="DefaultParagraphFont"/>
    <w:uiPriority w:val="21"/>
    <w:qFormat/>
    <w:rsid w:val="00B512F9"/>
    <w:rPr>
      <w:b/>
      <w:i/>
      <w:color w:val="auto"/>
      <w:u w:val="single"/>
    </w:rPr>
  </w:style>
  <w:style w:type="character" w:styleId="SubtleReference">
    <w:name w:val="Subtle Reference"/>
    <w:basedOn w:val="DefaultParagraphFont"/>
    <w:uiPriority w:val="31"/>
    <w:qFormat/>
    <w:rsid w:val="00B512F9"/>
    <w:rPr>
      <w:smallCaps/>
    </w:rPr>
  </w:style>
  <w:style w:type="character" w:styleId="IntenseReference">
    <w:name w:val="Intense Reference"/>
    <w:basedOn w:val="DefaultParagraphFont"/>
    <w:uiPriority w:val="32"/>
    <w:qFormat/>
    <w:rsid w:val="00B512F9"/>
    <w:rPr>
      <w:b/>
      <w:smallCaps/>
      <w:color w:val="auto"/>
    </w:rPr>
  </w:style>
  <w:style w:type="character" w:styleId="BookTitle">
    <w:name w:val="Book Title"/>
    <w:basedOn w:val="DefaultParagraphFont"/>
    <w:uiPriority w:val="33"/>
    <w:qFormat/>
    <w:rsid w:val="00B512F9"/>
    <w:rPr>
      <w:rFonts w:ascii="Cambria" w:hAnsi="Cambria"/>
      <w:b/>
      <w:smallCaps/>
      <w:color w:val="auto"/>
      <w:u w:val="single"/>
    </w:rPr>
  </w:style>
  <w:style w:type="paragraph" w:styleId="TOCHeading">
    <w:name w:val="TOC Heading"/>
    <w:basedOn w:val="Heading1"/>
    <w:next w:val="Normal"/>
    <w:uiPriority w:val="39"/>
    <w:qFormat/>
    <w:rsid w:val="00B512F9"/>
    <w:pPr>
      <w:outlineLvl w:val="9"/>
    </w:pPr>
  </w:style>
  <w:style w:type="character" w:customStyle="1" w:styleId="NoSpacingChar">
    <w:name w:val="No Spacing Char"/>
    <w:basedOn w:val="DefaultParagraphFont"/>
    <w:link w:val="NoSpacing"/>
    <w:uiPriority w:val="1"/>
    <w:locked/>
    <w:rsid w:val="00B512F9"/>
    <w:rPr>
      <w:rFonts w:cs="Times New Roman"/>
    </w:rPr>
  </w:style>
  <w:style w:type="table" w:styleId="TableGrid">
    <w:name w:val="Table Grid"/>
    <w:basedOn w:val="TableNormal"/>
    <w:uiPriority w:val="59"/>
    <w:rsid w:val="0035327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BlockText"/>
    <w:link w:val="BodyChar"/>
    <w:qFormat/>
    <w:rsid w:val="003D332C"/>
    <w:pPr>
      <w:pBdr>
        <w:top w:val="none" w:sz="0" w:space="0" w:color="auto"/>
        <w:left w:val="none" w:sz="0" w:space="0" w:color="auto"/>
        <w:bottom w:val="none" w:sz="0" w:space="0" w:color="auto"/>
        <w:right w:val="none" w:sz="0" w:space="0" w:color="auto"/>
      </w:pBdr>
      <w:spacing w:after="0" w:line="360" w:lineRule="auto"/>
      <w:ind w:left="0" w:right="0" w:firstLine="0"/>
      <w:jc w:val="both"/>
    </w:pPr>
    <w:rPr>
      <w:rFonts w:ascii="Times New Roman" w:hAnsi="Times New Roman"/>
      <w:i w:val="0"/>
      <w:iCs w:val="0"/>
      <w:color w:val="auto"/>
      <w:sz w:val="24"/>
      <w:szCs w:val="24"/>
      <w:lang w:val="en-GB" w:eastAsia="en-GB"/>
    </w:rPr>
  </w:style>
  <w:style w:type="character" w:customStyle="1" w:styleId="BodyChar">
    <w:name w:val="Body Char"/>
    <w:basedOn w:val="DefaultParagraphFont"/>
    <w:link w:val="Body"/>
    <w:locked/>
    <w:rsid w:val="003D332C"/>
    <w:rPr>
      <w:rFonts w:ascii="Times New Roman" w:hAnsi="Times New Roman" w:cs="Times New Roman"/>
      <w:sz w:val="24"/>
      <w:szCs w:val="24"/>
      <w:lang w:val="en-GB" w:eastAsia="en-GB" w:bidi="ar-SA"/>
    </w:rPr>
  </w:style>
  <w:style w:type="paragraph" w:styleId="BlockText">
    <w:name w:val="Block Text"/>
    <w:basedOn w:val="Normal"/>
    <w:uiPriority w:val="99"/>
    <w:semiHidden/>
    <w:unhideWhenUsed/>
    <w:rsid w:val="003D332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rPr>
  </w:style>
  <w:style w:type="table" w:customStyle="1" w:styleId="LightGrid-Accent11">
    <w:name w:val="Light Grid - Accent 11"/>
    <w:basedOn w:val="TableNormal"/>
    <w:uiPriority w:val="62"/>
    <w:rsid w:val="00C05BCF"/>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Hyperlink">
    <w:name w:val="Hyperlink"/>
    <w:basedOn w:val="DefaultParagraphFont"/>
    <w:uiPriority w:val="99"/>
    <w:unhideWhenUsed/>
    <w:rsid w:val="00D10B60"/>
    <w:rPr>
      <w:rFonts w:cs="Times New Roman"/>
      <w:color w:val="0000FF"/>
      <w:u w:val="single"/>
    </w:rPr>
  </w:style>
  <w:style w:type="paragraph" w:styleId="Header">
    <w:name w:val="header"/>
    <w:basedOn w:val="Normal"/>
    <w:link w:val="HeaderChar"/>
    <w:uiPriority w:val="99"/>
    <w:semiHidden/>
    <w:unhideWhenUsed/>
    <w:rsid w:val="001F15F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F15F6"/>
    <w:rPr>
      <w:rFonts w:cs="Times New Roman"/>
    </w:rPr>
  </w:style>
  <w:style w:type="paragraph" w:styleId="Footer">
    <w:name w:val="footer"/>
    <w:basedOn w:val="Normal"/>
    <w:link w:val="FooterChar"/>
    <w:uiPriority w:val="99"/>
    <w:unhideWhenUsed/>
    <w:rsid w:val="001F15F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F15F6"/>
    <w:rPr>
      <w:rFonts w:cs="Times New Roman"/>
    </w:rPr>
  </w:style>
  <w:style w:type="character" w:styleId="FollowedHyperlink">
    <w:name w:val="FollowedHyperlink"/>
    <w:basedOn w:val="DefaultParagraphFont"/>
    <w:uiPriority w:val="99"/>
    <w:semiHidden/>
    <w:unhideWhenUsed/>
    <w:rsid w:val="006A253C"/>
    <w:rPr>
      <w:color w:val="800080" w:themeColor="followedHyperlink"/>
      <w:u w:val="single"/>
    </w:rPr>
  </w:style>
  <w:style w:type="character" w:customStyle="1" w:styleId="UnresolvedMention1">
    <w:name w:val="Unresolved Mention1"/>
    <w:basedOn w:val="DefaultParagraphFont"/>
    <w:uiPriority w:val="99"/>
    <w:semiHidden/>
    <w:unhideWhenUsed/>
    <w:rsid w:val="005C76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89967">
      <w:bodyDiv w:val="1"/>
      <w:marLeft w:val="0"/>
      <w:marRight w:val="0"/>
      <w:marTop w:val="0"/>
      <w:marBottom w:val="0"/>
      <w:divBdr>
        <w:top w:val="none" w:sz="0" w:space="0" w:color="auto"/>
        <w:left w:val="none" w:sz="0" w:space="0" w:color="auto"/>
        <w:bottom w:val="none" w:sz="0" w:space="0" w:color="auto"/>
        <w:right w:val="none" w:sz="0" w:space="0" w:color="auto"/>
      </w:divBdr>
    </w:div>
    <w:div w:id="20662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channelmorenergy.eu/wp-content/uploads/2015/04/channel_mre_opportunity_analysis.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file:///C:\Users\DRobins\AppData\Local\Microsoft\Windows\Temporary%20Internet%20Files\Michel\Desktop\Offshore%20wind%20papers\WP3%20journal%20pub\Regional%20Transitions\www.ictsd.org\i\publications\165193" TargetMode="Externa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jpeg"/><Relationship Id="rId22" Type="http://schemas.openxmlformats.org/officeDocument/2006/relationships/hyperlink" Target="https://www.gov.uk/government/uploads/system/uploads/attachment_data/file/340033/Supply_chain_plan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B512C-F20A-44E6-BD5A-98E03FA9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7523</Words>
  <Characters>42882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Mapping the Strategic Challenges of Offshore Renewable Energy Regional Transitions</vt:lpstr>
    </vt:vector>
  </TitlesOfParts>
  <Company>University of Portsmouth</Company>
  <LinksUpToDate>false</LinksUpToDate>
  <CharactersWithSpaces>50305</CharactersWithSpaces>
  <SharedDoc>false</SharedDoc>
  <HLinks>
    <vt:vector size="24" baseType="variant">
      <vt:variant>
        <vt:i4>7995491</vt:i4>
      </vt:variant>
      <vt:variant>
        <vt:i4>21</vt:i4>
      </vt:variant>
      <vt:variant>
        <vt:i4>0</vt:i4>
      </vt:variant>
      <vt:variant>
        <vt:i4>5</vt:i4>
      </vt:variant>
      <vt:variant>
        <vt:lpwstr>../../Michel/Desktop/Offshore wind papers/WP3 journal pub/Regional Transitions/www.ictsd.org/i/publications/165193</vt:lpwstr>
      </vt:variant>
      <vt:variant>
        <vt:lpwstr/>
      </vt:variant>
      <vt:variant>
        <vt:i4>3080220</vt:i4>
      </vt:variant>
      <vt:variant>
        <vt:i4>18</vt:i4>
      </vt:variant>
      <vt:variant>
        <vt:i4>0</vt:i4>
      </vt:variant>
      <vt:variant>
        <vt:i4>5</vt:i4>
      </vt:variant>
      <vt:variant>
        <vt:lpwstr>http://www.iea.org/publications/freepublications/publication/Sweden2013_free.pdf</vt:lpwstr>
      </vt:variant>
      <vt:variant>
        <vt:lpwstr/>
      </vt:variant>
      <vt:variant>
        <vt:i4>917586</vt:i4>
      </vt:variant>
      <vt:variant>
        <vt:i4>15</vt:i4>
      </vt:variant>
      <vt:variant>
        <vt:i4>0</vt:i4>
      </vt:variant>
      <vt:variant>
        <vt:i4>5</vt:i4>
      </vt:variant>
      <vt:variant>
        <vt:lpwstr>http://www.kebmin.dk/</vt:lpwstr>
      </vt:variant>
      <vt:variant>
        <vt:lpwstr/>
      </vt:variant>
      <vt:variant>
        <vt:i4>1966147</vt:i4>
      </vt:variant>
      <vt:variant>
        <vt:i4>12</vt:i4>
      </vt:variant>
      <vt:variant>
        <vt:i4>0</vt:i4>
      </vt:variant>
      <vt:variant>
        <vt:i4>5</vt:i4>
      </vt:variant>
      <vt:variant>
        <vt:lpwstr>https://ore.exeter.ac.uk/repository/bitstream/handle/10871/17733/MERIFIC-Report-4-1-2-submitted-final.pdf?sequence=2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the Strategic Challenges of Offshore Renewable Energy Regional Transitions</dc:title>
  <dc:creator>Michel</dc:creator>
  <cp:lastModifiedBy>Michel Leseure</cp:lastModifiedBy>
  <cp:revision>2</cp:revision>
  <cp:lastPrinted>2015-10-14T09:58:00Z</cp:lastPrinted>
  <dcterms:created xsi:type="dcterms:W3CDTF">2018-09-24T19:20:00Z</dcterms:created>
  <dcterms:modified xsi:type="dcterms:W3CDTF">2018-09-24T19:20:00Z</dcterms:modified>
</cp:coreProperties>
</file>