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04B" w:rsidRPr="00D8046E" w:rsidRDefault="00ED0415" w:rsidP="003B504B">
      <w:pPr>
        <w:spacing w:line="480" w:lineRule="auto"/>
      </w:pPr>
      <w:bookmarkStart w:id="0" w:name="OLE_LINK1"/>
      <w:bookmarkStart w:id="1" w:name="OLE_LINK2"/>
      <w:bookmarkStart w:id="2" w:name="_GoBack"/>
      <w:bookmarkEnd w:id="2"/>
      <w:r w:rsidRPr="00D8046E">
        <w:t xml:space="preserve">Running head: </w:t>
      </w:r>
      <w:r w:rsidR="00C607D1" w:rsidRPr="00D8046E">
        <w:t xml:space="preserve">CULTURE AND </w:t>
      </w:r>
      <w:r w:rsidR="00AA09C3">
        <w:t>REPRESENTATIVENESS HEURISTIC</w:t>
      </w:r>
    </w:p>
    <w:p w:rsidR="00692040" w:rsidRPr="00D8046E" w:rsidRDefault="00692040" w:rsidP="0057007F">
      <w:pPr>
        <w:spacing w:line="480" w:lineRule="auto"/>
      </w:pPr>
    </w:p>
    <w:p w:rsidR="00F3624F" w:rsidRDefault="00440109" w:rsidP="0057007F">
      <w:pPr>
        <w:spacing w:line="480" w:lineRule="auto"/>
        <w:jc w:val="center"/>
      </w:pPr>
      <w:r w:rsidRPr="00D8046E">
        <w:t>Cultural D</w:t>
      </w:r>
      <w:r w:rsidR="0057007F" w:rsidRPr="00D8046E">
        <w:t xml:space="preserve">ifferences in </w:t>
      </w:r>
      <w:r w:rsidR="00F3624F">
        <w:t>the Representativeness Heuristic:</w:t>
      </w:r>
    </w:p>
    <w:p w:rsidR="0057007F" w:rsidRPr="00D8046E" w:rsidRDefault="0077543A" w:rsidP="0057007F">
      <w:pPr>
        <w:spacing w:line="480" w:lineRule="auto"/>
        <w:jc w:val="center"/>
      </w:pPr>
      <w:r w:rsidRPr="00D8046E">
        <w:t>Expecting</w:t>
      </w:r>
      <w:r w:rsidR="00440109" w:rsidRPr="00D8046E">
        <w:t xml:space="preserve"> </w:t>
      </w:r>
      <w:r w:rsidR="0059603A" w:rsidRPr="00D8046E">
        <w:t xml:space="preserve">a </w:t>
      </w:r>
      <w:r w:rsidR="00440109" w:rsidRPr="00D8046E">
        <w:t>C</w:t>
      </w:r>
      <w:r w:rsidR="0057007F" w:rsidRPr="00D8046E">
        <w:t xml:space="preserve">orrespondence in </w:t>
      </w:r>
      <w:r w:rsidR="00440109" w:rsidRPr="00D8046E">
        <w:t>M</w:t>
      </w:r>
      <w:r w:rsidR="0057007F" w:rsidRPr="00D8046E">
        <w:t xml:space="preserve">agnitude </w:t>
      </w:r>
      <w:r w:rsidR="006209D3" w:rsidRPr="00D8046E">
        <w:t>between</w:t>
      </w:r>
      <w:r w:rsidR="00F13EE5" w:rsidRPr="00D8046E">
        <w:t xml:space="preserve"> </w:t>
      </w:r>
      <w:r w:rsidR="00440109" w:rsidRPr="00D8046E">
        <w:t>C</w:t>
      </w:r>
      <w:r w:rsidR="008E2A9F" w:rsidRPr="00D8046E">
        <w:t xml:space="preserve">ause and </w:t>
      </w:r>
      <w:r w:rsidR="00440109" w:rsidRPr="00D8046E">
        <w:t>E</w:t>
      </w:r>
      <w:r w:rsidR="008E2A9F" w:rsidRPr="00D8046E">
        <w:t>ffect</w:t>
      </w:r>
      <w:r w:rsidR="00F3624F">
        <w:t xml:space="preserve"> </w:t>
      </w:r>
    </w:p>
    <w:p w:rsidR="0027072C" w:rsidRDefault="0027072C" w:rsidP="0027072C">
      <w:pPr>
        <w:spacing w:line="480" w:lineRule="auto"/>
        <w:jc w:val="center"/>
        <w:rPr>
          <w:color w:val="000000"/>
          <w:lang w:val="es-ES"/>
        </w:rPr>
      </w:pPr>
      <w:r>
        <w:rPr>
          <w:color w:val="000000"/>
          <w:lang w:val="es-ES"/>
        </w:rPr>
        <w:t xml:space="preserve">Roy R. Spina, </w:t>
      </w:r>
      <w:r w:rsidRPr="00775048">
        <w:rPr>
          <w:color w:val="000000"/>
          <w:lang w:val="es-ES"/>
        </w:rPr>
        <w:t>Li-Jun Ji</w:t>
      </w:r>
      <w:r>
        <w:rPr>
          <w:color w:val="000000"/>
          <w:lang w:val="es-ES"/>
        </w:rPr>
        <w:t>, and Tieyuan Guo</w:t>
      </w:r>
    </w:p>
    <w:p w:rsidR="0027072C" w:rsidRDefault="0027072C" w:rsidP="0027072C">
      <w:pPr>
        <w:spacing w:line="480" w:lineRule="auto"/>
        <w:jc w:val="center"/>
        <w:rPr>
          <w:color w:val="000000"/>
          <w:lang w:val="es-ES"/>
        </w:rPr>
      </w:pPr>
      <w:r w:rsidRPr="00775048">
        <w:rPr>
          <w:color w:val="000000"/>
          <w:lang w:val="es-ES"/>
        </w:rPr>
        <w:t>Queen’s University</w:t>
      </w:r>
    </w:p>
    <w:p w:rsidR="0027072C" w:rsidRDefault="0027072C" w:rsidP="0027072C">
      <w:pPr>
        <w:spacing w:line="480" w:lineRule="auto"/>
        <w:jc w:val="center"/>
        <w:rPr>
          <w:color w:val="000000"/>
        </w:rPr>
      </w:pPr>
      <w:r>
        <w:rPr>
          <w:color w:val="000000"/>
        </w:rPr>
        <w:t>Zhiyong Zhang</w:t>
      </w:r>
    </w:p>
    <w:p w:rsidR="0027072C" w:rsidRDefault="0027072C" w:rsidP="0027072C">
      <w:pPr>
        <w:spacing w:line="480" w:lineRule="auto"/>
        <w:jc w:val="center"/>
        <w:rPr>
          <w:color w:val="000000"/>
          <w:lang w:val="es-ES"/>
        </w:rPr>
      </w:pPr>
      <w:smartTag w:uri="urn:schemas-microsoft-com:office:smarttags" w:element="place">
        <w:smartTag w:uri="urn:schemas-microsoft-com:office:smarttags" w:element="PlaceName">
          <w:r>
            <w:rPr>
              <w:color w:val="000000"/>
            </w:rPr>
            <w:t>Beijing</w:t>
          </w:r>
        </w:smartTag>
        <w:r>
          <w:rPr>
            <w:color w:val="000000"/>
          </w:rPr>
          <w:t xml:space="preserve"> </w:t>
        </w:r>
        <w:smartTag w:uri="urn:schemas-microsoft-com:office:smarttags" w:element="PlaceType">
          <w:r>
            <w:rPr>
              <w:color w:val="000000"/>
            </w:rPr>
            <w:t>University</w:t>
          </w:r>
        </w:smartTag>
      </w:smartTag>
    </w:p>
    <w:p w:rsidR="0027072C" w:rsidRDefault="0027072C" w:rsidP="0027072C">
      <w:pPr>
        <w:spacing w:line="480" w:lineRule="auto"/>
        <w:jc w:val="center"/>
        <w:rPr>
          <w:color w:val="000000"/>
          <w:lang w:val="es-ES"/>
        </w:rPr>
      </w:pPr>
      <w:r>
        <w:rPr>
          <w:color w:val="000000"/>
          <w:lang w:val="es-ES"/>
        </w:rPr>
        <w:t>Ye Li</w:t>
      </w:r>
    </w:p>
    <w:p w:rsidR="000164C7" w:rsidRDefault="000164C7" w:rsidP="0027072C">
      <w:pPr>
        <w:spacing w:line="480" w:lineRule="auto"/>
        <w:jc w:val="center"/>
        <w:rPr>
          <w:color w:val="000000"/>
          <w:lang w:val="es-ES"/>
        </w:rPr>
      </w:pPr>
      <w:r w:rsidRPr="000164C7">
        <w:rPr>
          <w:color w:val="000000"/>
          <w:lang w:val="es-ES"/>
        </w:rPr>
        <w:t>Huazhong Normal University</w:t>
      </w:r>
    </w:p>
    <w:p w:rsidR="0027072C" w:rsidRDefault="0027072C" w:rsidP="0027072C">
      <w:pPr>
        <w:spacing w:line="480" w:lineRule="auto"/>
        <w:jc w:val="center"/>
      </w:pPr>
      <w:r>
        <w:t>Leandre Fabrigar</w:t>
      </w:r>
    </w:p>
    <w:p w:rsidR="0027072C" w:rsidRDefault="0027072C" w:rsidP="0027072C">
      <w:pPr>
        <w:spacing w:line="480" w:lineRule="auto"/>
        <w:jc w:val="center"/>
      </w:pPr>
      <w:r>
        <w:t>Queen’s University</w:t>
      </w:r>
    </w:p>
    <w:p w:rsidR="003B504B" w:rsidRPr="00D8046E" w:rsidRDefault="00F13EE5" w:rsidP="003B504B">
      <w:pPr>
        <w:spacing w:line="480" w:lineRule="auto"/>
      </w:pPr>
      <w:r w:rsidRPr="00D8046E">
        <w:t xml:space="preserve">Abstract: </w:t>
      </w:r>
      <w:r w:rsidR="0049670A" w:rsidRPr="00D8046E">
        <w:t>1</w:t>
      </w:r>
      <w:r w:rsidR="0049670A">
        <w:t>1</w:t>
      </w:r>
      <w:r w:rsidR="0049670A" w:rsidRPr="00D8046E">
        <w:t xml:space="preserve">6 </w:t>
      </w:r>
      <w:r w:rsidRPr="00D8046E">
        <w:t>words</w:t>
      </w:r>
      <w:r w:rsidR="003B504B" w:rsidRPr="00D8046E">
        <w:t xml:space="preserve"> </w:t>
      </w:r>
    </w:p>
    <w:p w:rsidR="003B504B" w:rsidRPr="00D8046E" w:rsidRDefault="003B504B" w:rsidP="003B504B">
      <w:pPr>
        <w:spacing w:line="480" w:lineRule="auto"/>
      </w:pPr>
      <w:r w:rsidRPr="00D8046E">
        <w:t xml:space="preserve">Text: </w:t>
      </w:r>
      <w:r w:rsidR="0095744D">
        <w:t>9099</w:t>
      </w:r>
      <w:r w:rsidR="0041780D" w:rsidRPr="00D8046E">
        <w:t xml:space="preserve"> </w:t>
      </w:r>
      <w:r w:rsidRPr="00D8046E">
        <w:t>words</w:t>
      </w:r>
    </w:p>
    <w:p w:rsidR="0027072C" w:rsidRDefault="0027072C" w:rsidP="005172EA">
      <w:pPr>
        <w:spacing w:line="360" w:lineRule="auto"/>
      </w:pPr>
      <w:r>
        <w:t>Authors’ note:</w:t>
      </w:r>
    </w:p>
    <w:p w:rsidR="00692040" w:rsidRDefault="00692040" w:rsidP="005172EA">
      <w:pPr>
        <w:spacing w:line="360" w:lineRule="auto"/>
      </w:pPr>
      <w:r>
        <w:tab/>
      </w:r>
      <w:r w:rsidR="0027072C">
        <w:t xml:space="preserve">This paper is based on Roy Spina’s PhD dissertation under the guidance of Li-Jun Ji. </w:t>
      </w:r>
      <w:r w:rsidR="001A7550">
        <w:t xml:space="preserve">The research was supported by a grant from Social Science and Humanities Research Council of Canada (SSHRC) and the </w:t>
      </w:r>
      <w:r w:rsidR="001A7550" w:rsidRPr="00624483">
        <w:rPr>
          <w:iCs/>
        </w:rPr>
        <w:t>Principal's Development Fund</w:t>
      </w:r>
      <w:r w:rsidR="001A7550" w:rsidRPr="00417407">
        <w:t xml:space="preserve"> </w:t>
      </w:r>
      <w:r w:rsidR="001A7550">
        <w:t>from Queen’s University</w:t>
      </w:r>
      <w:r w:rsidR="000164C7">
        <w:t xml:space="preserve"> </w:t>
      </w:r>
      <w:r w:rsidR="0027072C">
        <w:t xml:space="preserve">to the second author. The authors would like to thank Stephanie Heard, Christopher Humphries, Chloe Lei, </w:t>
      </w:r>
      <w:r w:rsidR="0027072C" w:rsidRPr="004029BA">
        <w:t>Matt McAdam</w:t>
      </w:r>
      <w:r w:rsidR="0027072C">
        <w:t>,</w:t>
      </w:r>
      <w:r w:rsidR="0027072C" w:rsidRPr="004029BA">
        <w:t xml:space="preserve"> </w:t>
      </w:r>
      <w:r>
        <w:t xml:space="preserve">and </w:t>
      </w:r>
      <w:r w:rsidR="0027072C">
        <w:t xml:space="preserve">Claudia Tsui for their help with data collection, and Jill Jacobson for her comments on a previous draft. English </w:t>
      </w:r>
      <w:r w:rsidR="00701824">
        <w:t>c</w:t>
      </w:r>
      <w:r w:rsidR="0027072C" w:rsidRPr="002C791C">
        <w:t xml:space="preserve">orrespondence should be addressed to </w:t>
      </w:r>
      <w:r w:rsidR="0027072C">
        <w:t>Roy R. Spina</w:t>
      </w:r>
      <w:r w:rsidR="0027072C" w:rsidRPr="002C791C">
        <w:t xml:space="preserve">, Department of Psychology, Queen’s University, </w:t>
      </w:r>
      <w:smartTag w:uri="urn:schemas-microsoft-com:office:smarttags" w:element="place">
        <w:smartTag w:uri="urn:schemas-microsoft-com:office:smarttags" w:element="City">
          <w:r w:rsidR="0027072C" w:rsidRPr="002C791C">
            <w:t>Kingston</w:t>
          </w:r>
        </w:smartTag>
        <w:r w:rsidR="0027072C" w:rsidRPr="002C791C">
          <w:t xml:space="preserve">, </w:t>
        </w:r>
        <w:smartTag w:uri="urn:schemas-microsoft-com:office:smarttags" w:element="State">
          <w:r w:rsidRPr="002C791C">
            <w:t>O</w:t>
          </w:r>
          <w:r>
            <w:t>N</w:t>
          </w:r>
        </w:smartTag>
        <w:r w:rsidR="0027072C" w:rsidRPr="002C791C">
          <w:t xml:space="preserve">, </w:t>
        </w:r>
        <w:smartTag w:uri="urn:schemas-microsoft-com:office:smarttags" w:element="country-region">
          <w:r w:rsidR="0027072C" w:rsidRPr="002C791C">
            <w:t>Canada</w:t>
          </w:r>
        </w:smartTag>
      </w:smartTag>
      <w:r w:rsidR="0027072C" w:rsidRPr="002C791C">
        <w:t>, K7L3N6. Email:</w:t>
      </w:r>
      <w:r w:rsidR="00843770">
        <w:t xml:space="preserve"> </w:t>
      </w:r>
      <w:hyperlink r:id="rId11" w:history="1">
        <w:r w:rsidR="00701824">
          <w:rPr>
            <w:rStyle w:val="Hyperlink"/>
            <w:color w:val="auto"/>
            <w:u w:val="none"/>
          </w:rPr>
          <w:t>roy.spina</w:t>
        </w:r>
        <w:r w:rsidR="00701824" w:rsidRPr="00E1082B">
          <w:rPr>
            <w:rStyle w:val="Hyperlink"/>
            <w:color w:val="auto"/>
            <w:u w:val="none"/>
          </w:rPr>
          <w:t>@queensu.ca</w:t>
        </w:r>
      </w:hyperlink>
      <w:r w:rsidR="0027072C" w:rsidRPr="00E1082B">
        <w:t>.</w:t>
      </w:r>
      <w:r w:rsidR="0027072C">
        <w:t xml:space="preserve"> Chinese correspondence should be addressed to Zhiyong Zhang, </w:t>
      </w:r>
      <w:smartTag w:uri="urn:schemas-microsoft-com:office:smarttags" w:element="place">
        <w:smartTag w:uri="urn:schemas-microsoft-com:office:smarttags" w:element="City">
          <w:r>
            <w:t>Beijing University</w:t>
          </w:r>
        </w:smartTag>
        <w:r>
          <w:t xml:space="preserve">, </w:t>
        </w:r>
        <w:smartTag w:uri="urn:schemas-microsoft-com:office:smarttags" w:element="country-region">
          <w:r>
            <w:t>China</w:t>
          </w:r>
        </w:smartTag>
      </w:smartTag>
      <w:r w:rsidR="00843770">
        <w:t xml:space="preserve">. Email: </w:t>
      </w:r>
      <w:r w:rsidRPr="00692040">
        <w:t>zzhang@pku.edu.cn</w:t>
      </w:r>
      <w:r>
        <w:t>.</w:t>
      </w:r>
    </w:p>
    <w:p w:rsidR="00D0598C" w:rsidRPr="00D8046E" w:rsidRDefault="00692040" w:rsidP="00692040">
      <w:pPr>
        <w:spacing w:line="480" w:lineRule="auto"/>
        <w:jc w:val="center"/>
      </w:pPr>
      <w:r>
        <w:br w:type="page"/>
      </w:r>
      <w:r w:rsidR="00D0598C" w:rsidRPr="0049670A">
        <w:lastRenderedPageBreak/>
        <w:t>Abstract</w:t>
      </w:r>
    </w:p>
    <w:p w:rsidR="00D0598C" w:rsidRPr="00D8046E" w:rsidRDefault="00CF5D11" w:rsidP="00D0598C">
      <w:pPr>
        <w:spacing w:line="480" w:lineRule="auto"/>
      </w:pPr>
      <w:r w:rsidRPr="00D8046E">
        <w:rPr>
          <w:color w:val="000000"/>
        </w:rPr>
        <w:t xml:space="preserve">Based on previous research on cultural differences in </w:t>
      </w:r>
      <w:r w:rsidR="00740BE0" w:rsidRPr="00D8046E">
        <w:rPr>
          <w:color w:val="000000"/>
        </w:rPr>
        <w:t xml:space="preserve">analytic </w:t>
      </w:r>
      <w:r w:rsidRPr="00D8046E">
        <w:rPr>
          <w:color w:val="000000"/>
        </w:rPr>
        <w:t xml:space="preserve">and </w:t>
      </w:r>
      <w:r w:rsidR="00740BE0" w:rsidRPr="00D8046E">
        <w:rPr>
          <w:color w:val="000000"/>
        </w:rPr>
        <w:t xml:space="preserve">holistic </w:t>
      </w:r>
      <w:r w:rsidRPr="00D8046E">
        <w:rPr>
          <w:color w:val="000000"/>
        </w:rPr>
        <w:t xml:space="preserve">reasoning, we </w:t>
      </w:r>
      <w:r w:rsidR="0077543A" w:rsidRPr="00D8046E">
        <w:rPr>
          <w:color w:val="000000"/>
        </w:rPr>
        <w:t xml:space="preserve">hypothesized that when explaining events, North Americans would be more likely than </w:t>
      </w:r>
      <w:r w:rsidR="00533D52" w:rsidRPr="00D8046E">
        <w:rPr>
          <w:color w:val="000000"/>
        </w:rPr>
        <w:t>East Asians</w:t>
      </w:r>
      <w:r w:rsidR="0077543A" w:rsidRPr="00D8046E">
        <w:rPr>
          <w:color w:val="000000"/>
        </w:rPr>
        <w:t xml:space="preserve"> to </w:t>
      </w:r>
      <w:r w:rsidR="00311366" w:rsidRPr="00D8046E">
        <w:rPr>
          <w:color w:val="000000"/>
        </w:rPr>
        <w:t>expect</w:t>
      </w:r>
      <w:r w:rsidR="0077543A" w:rsidRPr="00D8046E">
        <w:rPr>
          <w:color w:val="000000"/>
        </w:rPr>
        <w:t xml:space="preserve"> causes </w:t>
      </w:r>
      <w:r w:rsidR="00311366" w:rsidRPr="00D8046E">
        <w:rPr>
          <w:color w:val="000000"/>
        </w:rPr>
        <w:t>to</w:t>
      </w:r>
      <w:r w:rsidR="0077543A" w:rsidRPr="00D8046E">
        <w:rPr>
          <w:color w:val="000000"/>
        </w:rPr>
        <w:t xml:space="preserve"> correspond in magnitude with those </w:t>
      </w:r>
      <w:r w:rsidR="0077543A" w:rsidRPr="00D8046E">
        <w:t xml:space="preserve">events </w:t>
      </w:r>
      <w:r w:rsidR="00311366" w:rsidRPr="00D8046E">
        <w:t>(i.e</w:t>
      </w:r>
      <w:r w:rsidR="007C6E45">
        <w:t>.</w:t>
      </w:r>
      <w:r w:rsidR="0077543A" w:rsidRPr="00D8046E">
        <w:t>,</w:t>
      </w:r>
      <w:r w:rsidR="00E44A69" w:rsidRPr="00D8046E">
        <w:t xml:space="preserve"> </w:t>
      </w:r>
      <w:r w:rsidR="0077543A" w:rsidRPr="00D8046E">
        <w:rPr>
          <w:color w:val="000000"/>
        </w:rPr>
        <w:t>b</w:t>
      </w:r>
      <w:r w:rsidR="00675669" w:rsidRPr="00D8046E">
        <w:rPr>
          <w:color w:val="000000"/>
        </w:rPr>
        <w:t>ig events stem from big causes and small events stem from small causes</w:t>
      </w:r>
      <w:r w:rsidR="00311366" w:rsidRPr="00D8046E">
        <w:rPr>
          <w:color w:val="000000"/>
        </w:rPr>
        <w:t>)</w:t>
      </w:r>
      <w:r w:rsidR="00675669" w:rsidRPr="00D8046E">
        <w:rPr>
          <w:color w:val="000000"/>
        </w:rPr>
        <w:t xml:space="preserve">. </w:t>
      </w:r>
      <w:r w:rsidR="00040E27" w:rsidRPr="00D8046E">
        <w:rPr>
          <w:color w:val="000000"/>
        </w:rPr>
        <w:t xml:space="preserve">In a series of studies, </w:t>
      </w:r>
      <w:r w:rsidR="008E2A9F" w:rsidRPr="00D8046E">
        <w:t xml:space="preserve">Canadian and </w:t>
      </w:r>
      <w:r w:rsidR="00D0598C" w:rsidRPr="00D8046E">
        <w:t xml:space="preserve">Chinese participants judged the likelihood that high or low magnitude events were caused by high or low magnitude causes. Overall, </w:t>
      </w:r>
      <w:r w:rsidR="00CC2FF5" w:rsidRPr="00D8046E">
        <w:t xml:space="preserve">Canadians expected events and their causes to correspond in magnitude to a greater degree than did Chinese. </w:t>
      </w:r>
      <w:r w:rsidR="00CD1D93">
        <w:t>We also showed</w:t>
      </w:r>
      <w:r w:rsidR="008350C9" w:rsidRPr="00D8046E">
        <w:t xml:space="preserve"> </w:t>
      </w:r>
      <w:r w:rsidR="0077543A" w:rsidRPr="00D8046E">
        <w:t xml:space="preserve">that </w:t>
      </w:r>
      <w:r w:rsidR="00555108" w:rsidRPr="00D8046E">
        <w:t xml:space="preserve">Canadians </w:t>
      </w:r>
      <w:r w:rsidR="00555108" w:rsidRPr="006A64C4">
        <w:t xml:space="preserve">primed to </w:t>
      </w:r>
      <w:r w:rsidR="00DD15BD" w:rsidRPr="006A64C4">
        <w:t>reason</w:t>
      </w:r>
      <w:r w:rsidR="00040E27" w:rsidRPr="006A64C4">
        <w:t xml:space="preserve"> </w:t>
      </w:r>
      <w:r w:rsidR="0077543A" w:rsidRPr="006A64C4">
        <w:t xml:space="preserve">holistically </w:t>
      </w:r>
      <w:r w:rsidR="004D2B83" w:rsidRPr="006A64C4">
        <w:t>expected less cause-effect magnitude correspondence</w:t>
      </w:r>
      <w:r w:rsidR="00555108" w:rsidRPr="006A64C4">
        <w:t xml:space="preserve"> than </w:t>
      </w:r>
      <w:r w:rsidR="008350C9" w:rsidRPr="006A64C4">
        <w:t xml:space="preserve">did </w:t>
      </w:r>
      <w:r w:rsidR="00555108" w:rsidRPr="006A64C4">
        <w:t xml:space="preserve">those primed to </w:t>
      </w:r>
      <w:r w:rsidR="00DD15BD" w:rsidRPr="006A64C4">
        <w:t>reason</w:t>
      </w:r>
      <w:r w:rsidR="00555108" w:rsidRPr="006A64C4">
        <w:t xml:space="preserve"> </w:t>
      </w:r>
      <w:r w:rsidR="0077543A" w:rsidRPr="006A64C4">
        <w:t>analytically.</w:t>
      </w:r>
      <w:r w:rsidR="00D0598C" w:rsidRPr="00D8046E">
        <w:t xml:space="preserve"> </w:t>
      </w:r>
    </w:p>
    <w:p w:rsidR="00AC139E" w:rsidRPr="00D8046E" w:rsidRDefault="00AC139E" w:rsidP="00D0598C">
      <w:pPr>
        <w:spacing w:line="480" w:lineRule="auto"/>
      </w:pPr>
    </w:p>
    <w:p w:rsidR="00132AA0" w:rsidRPr="00D8046E" w:rsidRDefault="00132AA0" w:rsidP="00D0598C">
      <w:pPr>
        <w:spacing w:line="480" w:lineRule="auto"/>
      </w:pPr>
      <w:r w:rsidRPr="00D8046E">
        <w:t xml:space="preserve">Key words: culture, attribution, </w:t>
      </w:r>
      <w:r w:rsidR="000E3FF9" w:rsidRPr="00D8046E">
        <w:t>heuristics</w:t>
      </w:r>
      <w:r w:rsidR="00933194" w:rsidRPr="00D8046E">
        <w:t>, representativeness</w:t>
      </w:r>
      <w:r w:rsidR="00AA09C3">
        <w:t>,</w:t>
      </w:r>
      <w:r w:rsidR="00AA09C3" w:rsidRPr="00AA09C3">
        <w:t xml:space="preserve"> </w:t>
      </w:r>
      <w:r w:rsidR="00AA09C3" w:rsidRPr="00D8046E">
        <w:t>holism,</w:t>
      </w:r>
    </w:p>
    <w:p w:rsidR="00D0598C" w:rsidRPr="00D8046E" w:rsidRDefault="00D0598C" w:rsidP="00D0598C">
      <w:pPr>
        <w:spacing w:line="480" w:lineRule="auto"/>
      </w:pPr>
      <w:r w:rsidRPr="00D8046E">
        <w:br/>
      </w:r>
    </w:p>
    <w:p w:rsidR="00C03BD6" w:rsidRDefault="003801A2" w:rsidP="00C03BD6">
      <w:pPr>
        <w:spacing w:line="480" w:lineRule="auto"/>
        <w:jc w:val="center"/>
      </w:pPr>
      <w:r w:rsidRPr="00D8046E">
        <w:br w:type="page"/>
      </w:r>
      <w:r w:rsidR="00C03BD6" w:rsidRPr="00D8046E">
        <w:lastRenderedPageBreak/>
        <w:t xml:space="preserve">Cultural Differences in </w:t>
      </w:r>
      <w:r w:rsidR="00C03BD6">
        <w:t>the Representativeness Heuristic:</w:t>
      </w:r>
    </w:p>
    <w:p w:rsidR="00C03BD6" w:rsidRPr="00D8046E" w:rsidRDefault="00C03BD6" w:rsidP="00C03BD6">
      <w:pPr>
        <w:spacing w:line="480" w:lineRule="auto"/>
        <w:jc w:val="center"/>
      </w:pPr>
      <w:r w:rsidRPr="00D8046E">
        <w:t>Expecting a Correspondence in Magnitude between Cause and Effect</w:t>
      </w:r>
      <w:r>
        <w:t xml:space="preserve"> </w:t>
      </w:r>
    </w:p>
    <w:p w:rsidR="00980079" w:rsidRPr="00D8046E" w:rsidRDefault="00E17846" w:rsidP="00915E71">
      <w:pPr>
        <w:pStyle w:val="NormalWeb"/>
        <w:spacing w:before="0" w:beforeAutospacing="0" w:after="0" w:afterAutospacing="0" w:line="480" w:lineRule="auto"/>
        <w:ind w:firstLine="720"/>
      </w:pPr>
      <w:r w:rsidRPr="00D8046E">
        <w:t>In the 1960</w:t>
      </w:r>
      <w:r w:rsidR="00A5101E" w:rsidRPr="00D8046E">
        <w:t>s, mathematician and meteorologist Edward Lorenz created a computer simulation of hydrodynamic flow (Lorenz, 196</w:t>
      </w:r>
      <w:r w:rsidR="00983D6A" w:rsidRPr="00D8046E">
        <w:t>3).</w:t>
      </w:r>
      <w:r w:rsidR="00A5101E" w:rsidRPr="00D8046E">
        <w:t xml:space="preserve"> Allegedly, while using the </w:t>
      </w:r>
      <w:r w:rsidR="00E44A80">
        <w:t>program</w:t>
      </w:r>
      <w:r w:rsidR="00A5101E" w:rsidRPr="00D8046E">
        <w:t xml:space="preserve"> to model weather patterns, Lorenz entered the value .506 rather than the actual value .506127. He </w:t>
      </w:r>
      <w:r w:rsidR="00481045">
        <w:t>was surp</w:t>
      </w:r>
      <w:r w:rsidR="00B631EF">
        <w:t>r</w:t>
      </w:r>
      <w:r w:rsidR="00481045">
        <w:t xml:space="preserve">ised </w:t>
      </w:r>
      <w:r w:rsidR="00E44A80">
        <w:t>to find</w:t>
      </w:r>
      <w:r w:rsidR="00A5101E" w:rsidRPr="00D8046E">
        <w:t xml:space="preserve"> that the outcomes stemming from the two ostensibly similar initial values varied substantially. Upon publishing </w:t>
      </w:r>
      <w:r w:rsidR="00E44A80">
        <w:t>the</w:t>
      </w:r>
      <w:r w:rsidR="00E44A80" w:rsidRPr="00D8046E">
        <w:t xml:space="preserve"> </w:t>
      </w:r>
      <w:r w:rsidR="00A5101E" w:rsidRPr="00D8046E">
        <w:t xml:space="preserve">findings, </w:t>
      </w:r>
      <w:r w:rsidR="00A5101E" w:rsidRPr="00D8046E">
        <w:rPr>
          <w:lang w:val="en"/>
        </w:rPr>
        <w:t xml:space="preserve">one meteorologist remarked that if the theory were correct, one flap of a </w:t>
      </w:r>
      <w:hyperlink r:id="rId12" w:tooltip="Gull" w:history="1">
        <w:r w:rsidR="00A5101E" w:rsidRPr="00D8046E">
          <w:rPr>
            <w:rStyle w:val="Hyperlink"/>
            <w:color w:val="auto"/>
            <w:u w:val="none"/>
            <w:lang w:val="en"/>
          </w:rPr>
          <w:t>seagull</w:t>
        </w:r>
      </w:hyperlink>
      <w:r w:rsidR="00A5101E" w:rsidRPr="00D8046E">
        <w:rPr>
          <w:lang w:val="en"/>
        </w:rPr>
        <w:t xml:space="preserve">'s wings could change global weather patterns forever. Over time, through some form of cultural metamorphosis, the ungainly seagull transformed into </w:t>
      </w:r>
      <w:r w:rsidR="00533D52" w:rsidRPr="00D8046E">
        <w:rPr>
          <w:lang w:val="en"/>
        </w:rPr>
        <w:t>a</w:t>
      </w:r>
      <w:r w:rsidR="00A5101E" w:rsidRPr="00D8046E">
        <w:rPr>
          <w:lang w:val="en"/>
        </w:rPr>
        <w:t xml:space="preserve"> delicate butterfly and </w:t>
      </w:r>
      <w:r w:rsidR="00C617D8" w:rsidRPr="00D8046E">
        <w:rPr>
          <w:lang w:val="en"/>
        </w:rPr>
        <w:t>the term ‘butterfly e</w:t>
      </w:r>
      <w:r w:rsidR="00A5101E" w:rsidRPr="00D8046E">
        <w:rPr>
          <w:lang w:val="en"/>
        </w:rPr>
        <w:t xml:space="preserve">ffect’ was born. Regardless of whether </w:t>
      </w:r>
      <w:r w:rsidR="00A11884" w:rsidRPr="00D8046E">
        <w:rPr>
          <w:lang w:val="en"/>
        </w:rPr>
        <w:t xml:space="preserve">or not </w:t>
      </w:r>
      <w:r w:rsidR="00A5101E" w:rsidRPr="00D8046E">
        <w:rPr>
          <w:lang w:val="en"/>
        </w:rPr>
        <w:t>this amusing a</w:t>
      </w:r>
      <w:r w:rsidR="00A11884" w:rsidRPr="00D8046E">
        <w:rPr>
          <w:lang w:val="en"/>
        </w:rPr>
        <w:t>necdote is true</w:t>
      </w:r>
      <w:r w:rsidR="00A5101E" w:rsidRPr="00D8046E">
        <w:rPr>
          <w:lang w:val="en"/>
        </w:rPr>
        <w:t>, Lorenz</w:t>
      </w:r>
      <w:r w:rsidR="00A5101E" w:rsidRPr="00D8046E">
        <w:t xml:space="preserve"> found that seemingly negligible variations in initial conditions led to dramatic divergences in outcome patterns. </w:t>
      </w:r>
    </w:p>
    <w:p w:rsidR="00980079" w:rsidRPr="00D8046E" w:rsidRDefault="00AA2014" w:rsidP="001D1FE2">
      <w:pPr>
        <w:pStyle w:val="Heading2"/>
        <w:ind w:firstLine="720"/>
        <w:jc w:val="left"/>
        <w:rPr>
          <w:i w:val="0"/>
          <w:u w:val="none"/>
        </w:rPr>
      </w:pPr>
      <w:r>
        <w:rPr>
          <w:i w:val="0"/>
          <w:u w:val="none"/>
        </w:rPr>
        <w:t>The butterfly effect has</w:t>
      </w:r>
      <w:r w:rsidR="00E35417" w:rsidRPr="00D8046E">
        <w:rPr>
          <w:i w:val="0"/>
          <w:u w:val="none"/>
        </w:rPr>
        <w:t xml:space="preserve"> </w:t>
      </w:r>
      <w:r w:rsidRPr="00D8046E">
        <w:rPr>
          <w:i w:val="0"/>
          <w:u w:val="none"/>
        </w:rPr>
        <w:t>surpris</w:t>
      </w:r>
      <w:r>
        <w:rPr>
          <w:i w:val="0"/>
          <w:u w:val="none"/>
        </w:rPr>
        <w:t>ed</w:t>
      </w:r>
      <w:r w:rsidRPr="00D8046E">
        <w:rPr>
          <w:i w:val="0"/>
          <w:u w:val="none"/>
        </w:rPr>
        <w:t xml:space="preserve"> </w:t>
      </w:r>
      <w:r w:rsidR="00E35417" w:rsidRPr="00D8046E">
        <w:rPr>
          <w:i w:val="0"/>
          <w:u w:val="none"/>
        </w:rPr>
        <w:t xml:space="preserve">many of us because it </w:t>
      </w:r>
      <w:r w:rsidRPr="00D8046E">
        <w:rPr>
          <w:i w:val="0"/>
          <w:u w:val="none"/>
        </w:rPr>
        <w:t>violate</w:t>
      </w:r>
      <w:r>
        <w:rPr>
          <w:i w:val="0"/>
          <w:u w:val="none"/>
        </w:rPr>
        <w:t>s</w:t>
      </w:r>
      <w:r w:rsidRPr="00D8046E">
        <w:rPr>
          <w:i w:val="0"/>
          <w:u w:val="none"/>
        </w:rPr>
        <w:t xml:space="preserve"> </w:t>
      </w:r>
      <w:r w:rsidR="00E35417" w:rsidRPr="00D8046E">
        <w:rPr>
          <w:i w:val="0"/>
          <w:u w:val="none"/>
        </w:rPr>
        <w:t>our expectations of cause</w:t>
      </w:r>
      <w:r w:rsidR="00AD10A8" w:rsidRPr="00D8046E">
        <w:rPr>
          <w:i w:val="0"/>
          <w:u w:val="none"/>
        </w:rPr>
        <w:t>-</w:t>
      </w:r>
      <w:r w:rsidR="00E35417" w:rsidRPr="00D8046E">
        <w:rPr>
          <w:i w:val="0"/>
          <w:u w:val="none"/>
        </w:rPr>
        <w:t>effect</w:t>
      </w:r>
      <w:r w:rsidR="00AD10A8" w:rsidRPr="00D8046E">
        <w:rPr>
          <w:i w:val="0"/>
          <w:u w:val="none"/>
        </w:rPr>
        <w:t xml:space="preserve"> magnitude correspondence</w:t>
      </w:r>
      <w:r w:rsidR="00E35417" w:rsidRPr="00D8046E">
        <w:rPr>
          <w:i w:val="0"/>
          <w:u w:val="none"/>
        </w:rPr>
        <w:t xml:space="preserve">. </w:t>
      </w:r>
      <w:r w:rsidR="009B31A1" w:rsidRPr="00D8046E">
        <w:rPr>
          <w:i w:val="0"/>
          <w:u w:val="none"/>
        </w:rPr>
        <w:t xml:space="preserve">Why do we expect </w:t>
      </w:r>
      <w:r w:rsidR="009D727A" w:rsidRPr="00D8046E">
        <w:rPr>
          <w:i w:val="0"/>
          <w:u w:val="none"/>
        </w:rPr>
        <w:t>big</w:t>
      </w:r>
      <w:r w:rsidR="009B31A1" w:rsidRPr="00D8046E">
        <w:rPr>
          <w:i w:val="0"/>
          <w:u w:val="none"/>
        </w:rPr>
        <w:t xml:space="preserve"> causes to lead to </w:t>
      </w:r>
      <w:r w:rsidR="009D727A" w:rsidRPr="00D8046E">
        <w:rPr>
          <w:i w:val="0"/>
          <w:u w:val="none"/>
        </w:rPr>
        <w:t>big</w:t>
      </w:r>
      <w:r w:rsidR="009B31A1" w:rsidRPr="00D8046E">
        <w:rPr>
          <w:i w:val="0"/>
          <w:u w:val="none"/>
        </w:rPr>
        <w:t xml:space="preserve"> effects and small causes to lead to small effects? </w:t>
      </w:r>
      <w:r w:rsidR="001E251B" w:rsidRPr="00D8046E">
        <w:rPr>
          <w:i w:val="0"/>
          <w:u w:val="none"/>
        </w:rPr>
        <w:t>Is it simply</w:t>
      </w:r>
      <w:r w:rsidR="00E35417" w:rsidRPr="00D8046E">
        <w:rPr>
          <w:i w:val="0"/>
          <w:u w:val="none"/>
        </w:rPr>
        <w:t xml:space="preserve"> because</w:t>
      </w:r>
      <w:r w:rsidR="001E251B" w:rsidRPr="00D8046E">
        <w:rPr>
          <w:i w:val="0"/>
          <w:u w:val="none"/>
        </w:rPr>
        <w:t xml:space="preserve"> </w:t>
      </w:r>
      <w:r w:rsidR="00980079" w:rsidRPr="00D8046E">
        <w:rPr>
          <w:i w:val="0"/>
          <w:u w:val="none"/>
        </w:rPr>
        <w:t xml:space="preserve">we </w:t>
      </w:r>
      <w:r w:rsidR="003F7C62" w:rsidRPr="00D8046E">
        <w:rPr>
          <w:i w:val="0"/>
          <w:u w:val="none"/>
        </w:rPr>
        <w:t xml:space="preserve">seldom </w:t>
      </w:r>
      <w:r w:rsidR="00980079" w:rsidRPr="00D8046E">
        <w:rPr>
          <w:i w:val="0"/>
          <w:u w:val="none"/>
        </w:rPr>
        <w:t xml:space="preserve">observe </w:t>
      </w:r>
      <w:r w:rsidR="003F7C62" w:rsidRPr="00D8046E">
        <w:rPr>
          <w:i w:val="0"/>
          <w:u w:val="none"/>
        </w:rPr>
        <w:t xml:space="preserve">violations of </w:t>
      </w:r>
      <w:r w:rsidR="001E251B" w:rsidRPr="00D8046E">
        <w:rPr>
          <w:i w:val="0"/>
          <w:u w:val="none"/>
        </w:rPr>
        <w:t xml:space="preserve">this association and thus have </w:t>
      </w:r>
      <w:r w:rsidR="00A36898" w:rsidRPr="00D8046E">
        <w:rPr>
          <w:i w:val="0"/>
          <w:u w:val="none"/>
        </w:rPr>
        <w:t>developed</w:t>
      </w:r>
      <w:r w:rsidR="001E251B" w:rsidRPr="00D8046E">
        <w:rPr>
          <w:i w:val="0"/>
          <w:u w:val="none"/>
        </w:rPr>
        <w:t xml:space="preserve"> a heuristic that serves us well most of the </w:t>
      </w:r>
      <w:r w:rsidR="00340CEF" w:rsidRPr="00D8046E">
        <w:rPr>
          <w:i w:val="0"/>
          <w:u w:val="none"/>
        </w:rPr>
        <w:t>time?</w:t>
      </w:r>
      <w:r w:rsidR="00980079" w:rsidRPr="00D8046E">
        <w:rPr>
          <w:i w:val="0"/>
          <w:u w:val="none"/>
        </w:rPr>
        <w:t xml:space="preserve"> The present research indicates that the explanation is </w:t>
      </w:r>
      <w:r w:rsidR="00F803E4" w:rsidRPr="00D8046E">
        <w:rPr>
          <w:i w:val="0"/>
          <w:u w:val="none"/>
        </w:rPr>
        <w:t xml:space="preserve">far </w:t>
      </w:r>
      <w:r w:rsidR="00980079" w:rsidRPr="00D8046E">
        <w:rPr>
          <w:i w:val="0"/>
          <w:u w:val="none"/>
        </w:rPr>
        <w:t xml:space="preserve">more interesting </w:t>
      </w:r>
      <w:r w:rsidR="00FE63C1" w:rsidRPr="00D8046E">
        <w:rPr>
          <w:i w:val="0"/>
          <w:u w:val="none"/>
        </w:rPr>
        <w:t xml:space="preserve">and </w:t>
      </w:r>
      <w:r w:rsidR="00603F72" w:rsidRPr="00D8046E">
        <w:rPr>
          <w:i w:val="0"/>
          <w:u w:val="none"/>
        </w:rPr>
        <w:t>complex</w:t>
      </w:r>
      <w:r w:rsidR="00980079" w:rsidRPr="00D8046E">
        <w:rPr>
          <w:i w:val="0"/>
          <w:u w:val="none"/>
        </w:rPr>
        <w:t>.</w:t>
      </w:r>
    </w:p>
    <w:p w:rsidR="001D1FE2" w:rsidRPr="00D8046E" w:rsidRDefault="00B334F5" w:rsidP="001D1FE2">
      <w:pPr>
        <w:spacing w:line="480" w:lineRule="auto"/>
        <w:rPr>
          <w:i/>
        </w:rPr>
      </w:pPr>
      <w:r w:rsidRPr="00D8046E">
        <w:rPr>
          <w:i/>
        </w:rPr>
        <w:t>The Representativeness Heuristic</w:t>
      </w:r>
      <w:r w:rsidR="004D6E7C" w:rsidRPr="00D8046E">
        <w:rPr>
          <w:i/>
        </w:rPr>
        <w:t xml:space="preserve"> </w:t>
      </w:r>
    </w:p>
    <w:p w:rsidR="000A09D2" w:rsidRPr="00D8046E" w:rsidRDefault="00F23941" w:rsidP="001D1FE2">
      <w:pPr>
        <w:spacing w:line="480" w:lineRule="auto"/>
        <w:ind w:firstLine="720"/>
      </w:pPr>
      <w:r w:rsidRPr="00F23941">
        <w:rPr>
          <w:i/>
        </w:rPr>
        <w:t>Categorization</w:t>
      </w:r>
      <w:r>
        <w:t xml:space="preserve">. </w:t>
      </w:r>
      <w:r w:rsidR="00325F2D" w:rsidRPr="00D8046E">
        <w:t xml:space="preserve">Kahneman and Tversky (1973) </w:t>
      </w:r>
      <w:r w:rsidR="00B631EF">
        <w:t>demonstrated</w:t>
      </w:r>
      <w:r w:rsidR="00B631EF" w:rsidRPr="00D8046E">
        <w:t xml:space="preserve"> </w:t>
      </w:r>
      <w:r w:rsidR="00325F2D" w:rsidRPr="00D8046E">
        <w:t xml:space="preserve">that </w:t>
      </w:r>
      <w:r w:rsidR="007B3F15" w:rsidRPr="00D8046E">
        <w:t>when</w:t>
      </w:r>
      <w:r w:rsidR="00E35417" w:rsidRPr="00D8046E">
        <w:t xml:space="preserve"> </w:t>
      </w:r>
      <w:r w:rsidR="00B631EF">
        <w:t>categorizing targets into groups</w:t>
      </w:r>
      <w:r w:rsidR="00E35417" w:rsidRPr="00D8046E">
        <w:t xml:space="preserve">, </w:t>
      </w:r>
      <w:r w:rsidR="00325F2D" w:rsidRPr="00D8046E">
        <w:t>people rel</w:t>
      </w:r>
      <w:r w:rsidR="0077354E" w:rsidRPr="00D8046E">
        <w:t>ied</w:t>
      </w:r>
      <w:r w:rsidR="00325F2D" w:rsidRPr="00D8046E">
        <w:t xml:space="preserve"> </w:t>
      </w:r>
      <w:r w:rsidR="00EB73D5" w:rsidRPr="00D8046E">
        <w:t xml:space="preserve">mostly </w:t>
      </w:r>
      <w:r w:rsidR="00325F2D" w:rsidRPr="00D8046E">
        <w:t xml:space="preserve">on </w:t>
      </w:r>
      <w:r w:rsidR="0077354E" w:rsidRPr="00D8046E">
        <w:t xml:space="preserve">the </w:t>
      </w:r>
      <w:r w:rsidR="00EA56FD" w:rsidRPr="00D8046E">
        <w:t>degree of similarity</w:t>
      </w:r>
      <w:r w:rsidR="0077354E" w:rsidRPr="00D8046E">
        <w:t xml:space="preserve"> between</w:t>
      </w:r>
      <w:r w:rsidR="00325F2D" w:rsidRPr="00D8046E">
        <w:t xml:space="preserve"> </w:t>
      </w:r>
      <w:r w:rsidR="00B631EF">
        <w:t>the target</w:t>
      </w:r>
      <w:r w:rsidR="00B631EF" w:rsidRPr="00D8046E">
        <w:t xml:space="preserve"> </w:t>
      </w:r>
      <w:r w:rsidR="0077354E" w:rsidRPr="00D8046E">
        <w:t>and</w:t>
      </w:r>
      <w:r w:rsidR="00325F2D" w:rsidRPr="00D8046E">
        <w:t xml:space="preserve"> a pr</w:t>
      </w:r>
      <w:r w:rsidR="00A743E8" w:rsidRPr="00D8046E">
        <w:t xml:space="preserve">ototypical member of each </w:t>
      </w:r>
      <w:r w:rsidR="00B631EF">
        <w:t>group</w:t>
      </w:r>
      <w:r w:rsidR="00FF08E0" w:rsidRPr="00D8046E">
        <w:t xml:space="preserve">. </w:t>
      </w:r>
      <w:r w:rsidR="00B631EF">
        <w:t xml:space="preserve">For example, when judging </w:t>
      </w:r>
      <w:r w:rsidR="003A036C">
        <w:t>a fictional student’s</w:t>
      </w:r>
      <w:r w:rsidR="00B631EF">
        <w:t xml:space="preserve"> academic discipline based on his personality, people relied on the personalities of typical </w:t>
      </w:r>
      <w:r w:rsidR="003A036C">
        <w:t>students</w:t>
      </w:r>
      <w:r w:rsidR="00B631EF">
        <w:t xml:space="preserve"> from each discipline. </w:t>
      </w:r>
      <w:r w:rsidR="004450FF" w:rsidRPr="00D8046E">
        <w:t xml:space="preserve">Furthermore, </w:t>
      </w:r>
      <w:r w:rsidR="00900698" w:rsidRPr="00D8046E">
        <w:t xml:space="preserve">the authors demonstrated that </w:t>
      </w:r>
      <w:r w:rsidR="004450FF" w:rsidRPr="00D8046E">
        <w:t>t</w:t>
      </w:r>
      <w:r w:rsidR="00FF08E0" w:rsidRPr="00D8046E">
        <w:t>h</w:t>
      </w:r>
      <w:r w:rsidR="00885ECF" w:rsidRPr="00D8046E">
        <w:t>is</w:t>
      </w:r>
      <w:r w:rsidR="00FF08E0" w:rsidRPr="00D8046E">
        <w:t xml:space="preserve"> </w:t>
      </w:r>
      <w:r w:rsidR="004450FF" w:rsidRPr="00D8046E">
        <w:t xml:space="preserve">strong </w:t>
      </w:r>
      <w:r w:rsidR="00FF08E0" w:rsidRPr="00D8046E">
        <w:t xml:space="preserve">tendency to rely on the </w:t>
      </w:r>
      <w:r w:rsidR="00FF08E0" w:rsidRPr="00D8046E">
        <w:lastRenderedPageBreak/>
        <w:t xml:space="preserve">degree of similarity </w:t>
      </w:r>
      <w:r w:rsidR="00885ECF" w:rsidRPr="00D8046E">
        <w:t>cause</w:t>
      </w:r>
      <w:r w:rsidR="004450FF" w:rsidRPr="00D8046E">
        <w:t>d</w:t>
      </w:r>
      <w:r w:rsidR="00FF08E0" w:rsidRPr="00D8046E">
        <w:t xml:space="preserve"> errors in judgment </w:t>
      </w:r>
      <w:r w:rsidR="004450FF" w:rsidRPr="00D8046E">
        <w:t>because</w:t>
      </w:r>
      <w:r w:rsidR="00FF08E0" w:rsidRPr="00D8046E">
        <w:t xml:space="preserve"> </w:t>
      </w:r>
      <w:r w:rsidR="003A036C">
        <w:t>people</w:t>
      </w:r>
      <w:r w:rsidR="003A036C" w:rsidRPr="00D8046E">
        <w:t xml:space="preserve"> </w:t>
      </w:r>
      <w:r w:rsidR="00FF08E0" w:rsidRPr="00D8046E">
        <w:t xml:space="preserve">ignored </w:t>
      </w:r>
      <w:r w:rsidR="00A61838" w:rsidRPr="00D8046E">
        <w:t xml:space="preserve">the percentages of students </w:t>
      </w:r>
      <w:r w:rsidR="00F062D6" w:rsidRPr="00D8046E">
        <w:t>enrolled in</w:t>
      </w:r>
      <w:r w:rsidR="00A61838" w:rsidRPr="00D8046E">
        <w:t xml:space="preserve"> each discipline, the </w:t>
      </w:r>
      <w:r w:rsidR="00113F12" w:rsidRPr="00D8046E">
        <w:t>base rates</w:t>
      </w:r>
      <w:r w:rsidR="00C81DC3" w:rsidRPr="00D8046E">
        <w:t xml:space="preserve">. </w:t>
      </w:r>
      <w:r w:rsidR="00325F2D" w:rsidRPr="00D8046E">
        <w:t xml:space="preserve">Kahneman and Tversky (1972) referred to this type of judgment as </w:t>
      </w:r>
      <w:r w:rsidR="00F9097C" w:rsidRPr="00D8046E">
        <w:t>t</w:t>
      </w:r>
      <w:r w:rsidR="006A5D0D" w:rsidRPr="00D8046E">
        <w:t>he representativeness heuristic</w:t>
      </w:r>
      <w:r w:rsidR="00325F2D" w:rsidRPr="00D8046E">
        <w:t>.</w:t>
      </w:r>
      <w:r w:rsidR="006A5D0D" w:rsidRPr="00D8046E">
        <w:t xml:space="preserve"> </w:t>
      </w:r>
    </w:p>
    <w:p w:rsidR="00CC6FDE" w:rsidRPr="00D8046E" w:rsidRDefault="001D1FE2" w:rsidP="004D6E7C">
      <w:pPr>
        <w:spacing w:line="480" w:lineRule="auto"/>
        <w:ind w:firstLine="720"/>
      </w:pPr>
      <w:r w:rsidRPr="00D8046E">
        <w:rPr>
          <w:i/>
        </w:rPr>
        <w:t xml:space="preserve">Causal Judgments. </w:t>
      </w:r>
      <w:r w:rsidR="00CC6FDE" w:rsidRPr="00D8046E">
        <w:t xml:space="preserve">Most of the research conducted on the representativeness heuristic has focused on judgments </w:t>
      </w:r>
      <w:r w:rsidR="00C74997" w:rsidRPr="00D8046E">
        <w:t xml:space="preserve">people make </w:t>
      </w:r>
      <w:r w:rsidR="002B64EF">
        <w:t>in</w:t>
      </w:r>
      <w:r w:rsidR="002B64EF" w:rsidRPr="00D8046E">
        <w:t xml:space="preserve"> categoriz</w:t>
      </w:r>
      <w:r w:rsidR="002B64EF">
        <w:t xml:space="preserve">ation </w:t>
      </w:r>
      <w:r w:rsidR="00B87C8E">
        <w:t>contexts</w:t>
      </w:r>
      <w:r w:rsidR="002B64EF" w:rsidRPr="00D8046E">
        <w:t xml:space="preserve"> </w:t>
      </w:r>
      <w:r w:rsidR="008507ED">
        <w:t>(Gilovi</w:t>
      </w:r>
      <w:r w:rsidR="00CC6FDE" w:rsidRPr="00D8046E">
        <w:t xml:space="preserve">ch </w:t>
      </w:r>
      <w:r w:rsidR="00A11884" w:rsidRPr="00D8046E">
        <w:t>&amp;</w:t>
      </w:r>
      <w:r w:rsidR="00CC6FDE" w:rsidRPr="00D8046E">
        <w:t xml:space="preserve"> Savitsky, 2002). However, the representativeness heuristic is not limited to</w:t>
      </w:r>
      <w:r w:rsidR="007F545A" w:rsidRPr="00D8046E">
        <w:t xml:space="preserve"> categorization</w:t>
      </w:r>
      <w:r w:rsidR="00CC6FDE" w:rsidRPr="00D8046E">
        <w:t>. People also use th</w:t>
      </w:r>
      <w:r w:rsidR="00FD0E30" w:rsidRPr="00D8046E">
        <w:t>is</w:t>
      </w:r>
      <w:r w:rsidR="00CC6FDE" w:rsidRPr="00D8046E">
        <w:t xml:space="preserve"> heuristic when making causal judgments, </w:t>
      </w:r>
      <w:r w:rsidR="00FD0E30" w:rsidRPr="00D8046E">
        <w:t>such as when</w:t>
      </w:r>
      <w:r w:rsidR="00CC6FDE" w:rsidRPr="00D8046E">
        <w:t xml:space="preserve"> searching for causes that are similar to an effect. </w:t>
      </w:r>
      <w:r w:rsidR="0067685E">
        <w:t>R</w:t>
      </w:r>
      <w:r w:rsidR="00A61838" w:rsidRPr="00D8046E">
        <w:t>elatively little research has been conducted on the representativeness heuristic in the domain of causal judgments</w:t>
      </w:r>
      <w:r w:rsidR="0067685E">
        <w:t>.</w:t>
      </w:r>
      <w:r w:rsidR="00A61838" w:rsidRPr="00D8046E">
        <w:t xml:space="preserve"> </w:t>
      </w:r>
      <w:r w:rsidR="002C5FC2" w:rsidRPr="00D8046E">
        <w:t>Nonetheless, across a variety of domains including medicine, pseudoscientific systems, and psychoanalysis, people employ the representativeness heuristic when making causal judgments by relying on similarities between causes and effects</w:t>
      </w:r>
      <w:r w:rsidR="002C5FC2">
        <w:t xml:space="preserve"> (Gilovi</w:t>
      </w:r>
      <w:r w:rsidR="002C5FC2" w:rsidRPr="00D8046E">
        <w:t xml:space="preserve">ch &amp; Savitsky). </w:t>
      </w:r>
    </w:p>
    <w:p w:rsidR="00AD356F" w:rsidRPr="00D8046E" w:rsidRDefault="007D682A" w:rsidP="009010B2">
      <w:pPr>
        <w:spacing w:line="480" w:lineRule="auto"/>
        <w:ind w:firstLine="720"/>
      </w:pPr>
      <w:r w:rsidRPr="00D8046E">
        <w:t xml:space="preserve">Einhorn and Hogarth (1986) divided </w:t>
      </w:r>
      <w:r w:rsidR="00181A72" w:rsidRPr="00D8046E">
        <w:t>such similarities</w:t>
      </w:r>
      <w:r w:rsidR="00ED0154" w:rsidRPr="00D8046E">
        <w:t xml:space="preserve"> </w:t>
      </w:r>
      <w:r w:rsidRPr="00D8046E">
        <w:t xml:space="preserve">into two </w:t>
      </w:r>
      <w:r w:rsidR="00A85F8F" w:rsidRPr="00D8046E">
        <w:t>categories</w:t>
      </w:r>
      <w:r w:rsidRPr="00D8046E">
        <w:t xml:space="preserve">, physical resemblance and congruity of strength. </w:t>
      </w:r>
      <w:r w:rsidR="00C50073">
        <w:t xml:space="preserve">Beliefs that </w:t>
      </w:r>
      <w:r w:rsidR="001606E1" w:rsidRPr="00D8046E">
        <w:t>causes physically resemble effects</w:t>
      </w:r>
      <w:r w:rsidR="00C50073">
        <w:t xml:space="preserve"> </w:t>
      </w:r>
      <w:r w:rsidR="00821D2C">
        <w:t>a</w:t>
      </w:r>
      <w:r w:rsidR="00C50073">
        <w:t>re</w:t>
      </w:r>
      <w:r w:rsidR="00551C1E">
        <w:t xml:space="preserve"> prevalent in traditional medicine</w:t>
      </w:r>
      <w:r w:rsidR="005D2D04">
        <w:t>,</w:t>
      </w:r>
      <w:r w:rsidR="00551C1E">
        <w:t xml:space="preserve"> f</w:t>
      </w:r>
      <w:r w:rsidR="006A5D0D" w:rsidRPr="00D8046E">
        <w:t xml:space="preserve">or example, </w:t>
      </w:r>
      <w:r w:rsidR="00551C1E">
        <w:t xml:space="preserve">when cures </w:t>
      </w:r>
      <w:r w:rsidR="00C50073">
        <w:t xml:space="preserve">that </w:t>
      </w:r>
      <w:r w:rsidR="00551C1E">
        <w:t xml:space="preserve">resemble diseases </w:t>
      </w:r>
      <w:r w:rsidR="00821D2C">
        <w:t>a</w:t>
      </w:r>
      <w:r w:rsidR="00C50073">
        <w:t>re sought</w:t>
      </w:r>
      <w:r w:rsidR="005D2D04">
        <w:t xml:space="preserve"> (Gilovi</w:t>
      </w:r>
      <w:r w:rsidR="005D2D04" w:rsidRPr="00D8046E">
        <w:t>ch &amp; Savitsky, 2002)</w:t>
      </w:r>
      <w:r w:rsidR="00C50073">
        <w:t xml:space="preserve">. The </w:t>
      </w:r>
      <w:r w:rsidR="004535EC" w:rsidRPr="00B31924">
        <w:t>second category, t</w:t>
      </w:r>
      <w:r w:rsidR="00B60F91" w:rsidRPr="00B31924">
        <w:t xml:space="preserve">he </w:t>
      </w:r>
      <w:r w:rsidR="00F419AD" w:rsidRPr="00B31924">
        <w:t xml:space="preserve">tendency to </w:t>
      </w:r>
      <w:r w:rsidR="00B60F91" w:rsidRPr="00B31924">
        <w:t>s</w:t>
      </w:r>
      <w:r w:rsidR="00556174" w:rsidRPr="00B31924">
        <w:t xml:space="preserve">earch for causes that resemble </w:t>
      </w:r>
      <w:r w:rsidR="00281BBC" w:rsidRPr="00B31924">
        <w:t>effects</w:t>
      </w:r>
      <w:r w:rsidR="00556174" w:rsidRPr="00B31924">
        <w:t xml:space="preserve"> </w:t>
      </w:r>
      <w:r w:rsidR="003E1A66" w:rsidRPr="00B31924">
        <w:t xml:space="preserve">in congruity of strength </w:t>
      </w:r>
      <w:r w:rsidR="00556174" w:rsidRPr="00B31924">
        <w:t xml:space="preserve">is </w:t>
      </w:r>
      <w:r w:rsidR="00D705CF" w:rsidRPr="00B31924">
        <w:t xml:space="preserve">especially interesting because strength has been identified as one of the fundamental meaningful dimensions people use when </w:t>
      </w:r>
      <w:r w:rsidR="009C5A82">
        <w:t>judg</w:t>
      </w:r>
      <w:r w:rsidR="007012A3">
        <w:t>ing</w:t>
      </w:r>
      <w:r w:rsidR="00D705CF" w:rsidRPr="00B31924">
        <w:t xml:space="preserve"> </w:t>
      </w:r>
      <w:r w:rsidR="00774769" w:rsidRPr="00B31924">
        <w:t>entities</w:t>
      </w:r>
      <w:r w:rsidR="00D705CF" w:rsidRPr="00B31924">
        <w:t xml:space="preserve"> (Osgood, 1957</w:t>
      </w:r>
      <w:r w:rsidR="00745E38" w:rsidRPr="00B31924">
        <w:t>, referred to as potency and included adjective pairs such as large-small and strong-weak</w:t>
      </w:r>
      <w:r w:rsidR="00D705CF" w:rsidRPr="00B31924">
        <w:t xml:space="preserve">). </w:t>
      </w:r>
      <w:r w:rsidR="005D1D0E" w:rsidRPr="00D8046E">
        <w:t xml:space="preserve">Nisbett and Ross (1980) </w:t>
      </w:r>
      <w:r w:rsidR="00821D2C">
        <w:t>also</w:t>
      </w:r>
      <w:r w:rsidR="009010B2">
        <w:t xml:space="preserve"> </w:t>
      </w:r>
      <w:r w:rsidR="005D1D0E" w:rsidRPr="00D8046E">
        <w:t xml:space="preserve">proposed that people may </w:t>
      </w:r>
      <w:r w:rsidR="00381EEB" w:rsidRPr="00D8046E">
        <w:t>seek</w:t>
      </w:r>
      <w:r w:rsidR="005D1D0E" w:rsidRPr="00D8046E">
        <w:t xml:space="preserve"> causes that correspond in magnitude with event</w:t>
      </w:r>
      <w:r w:rsidR="00A91A76" w:rsidRPr="00D8046E">
        <w:t>s they are trying to explain</w:t>
      </w:r>
      <w:r w:rsidR="005D1D0E" w:rsidRPr="00D8046E">
        <w:t xml:space="preserve">. </w:t>
      </w:r>
      <w:r w:rsidR="0067685E">
        <w:t>However</w:t>
      </w:r>
      <w:r w:rsidR="007C3F58" w:rsidRPr="00D8046E">
        <w:t>, f</w:t>
      </w:r>
      <w:r w:rsidR="0072594B" w:rsidRPr="00D8046E">
        <w:t xml:space="preserve">ew studies have </w:t>
      </w:r>
      <w:r w:rsidR="00FB1ECD" w:rsidRPr="00D8046E">
        <w:t xml:space="preserve">empirically </w:t>
      </w:r>
      <w:r w:rsidR="0072594B" w:rsidRPr="00D8046E">
        <w:t>tested</w:t>
      </w:r>
      <w:r w:rsidR="0093766B" w:rsidRPr="00D8046E">
        <w:t xml:space="preserve"> people’s expectations of </w:t>
      </w:r>
      <w:r w:rsidR="00FB1ECD" w:rsidRPr="00D8046E">
        <w:t xml:space="preserve">a </w:t>
      </w:r>
      <w:r w:rsidR="0093766B" w:rsidRPr="00D8046E">
        <w:t>correspondence in magnitude between causes and effects</w:t>
      </w:r>
      <w:r w:rsidR="0072594B" w:rsidRPr="00D8046E">
        <w:t>.</w:t>
      </w:r>
      <w:r w:rsidR="006D5857" w:rsidRPr="00D8046E">
        <w:t xml:space="preserve"> </w:t>
      </w:r>
    </w:p>
    <w:p w:rsidR="00FD3112" w:rsidRPr="00D8046E" w:rsidRDefault="0093766B" w:rsidP="00FD3112">
      <w:pPr>
        <w:rPr>
          <w:i/>
        </w:rPr>
      </w:pPr>
      <w:r w:rsidRPr="00D8046E">
        <w:rPr>
          <w:i/>
        </w:rPr>
        <w:lastRenderedPageBreak/>
        <w:t xml:space="preserve">Empirical Research </w:t>
      </w:r>
      <w:r w:rsidR="009830DD" w:rsidRPr="00D8046E">
        <w:rPr>
          <w:i/>
        </w:rPr>
        <w:t>on</w:t>
      </w:r>
      <w:r w:rsidR="00FD3112" w:rsidRPr="00D8046E">
        <w:rPr>
          <w:i/>
        </w:rPr>
        <w:t xml:space="preserve"> </w:t>
      </w:r>
      <w:r w:rsidRPr="00D8046E">
        <w:rPr>
          <w:i/>
        </w:rPr>
        <w:t>Expectations of</w:t>
      </w:r>
      <w:r w:rsidR="00FD3112" w:rsidRPr="00D8046E">
        <w:rPr>
          <w:i/>
        </w:rPr>
        <w:t xml:space="preserve"> </w:t>
      </w:r>
      <w:r w:rsidR="00702AA6" w:rsidRPr="00D8046E">
        <w:rPr>
          <w:i/>
        </w:rPr>
        <w:t>C</w:t>
      </w:r>
      <w:r w:rsidR="00235D2D" w:rsidRPr="00D8046E">
        <w:rPr>
          <w:i/>
        </w:rPr>
        <w:t>ause-</w:t>
      </w:r>
      <w:r w:rsidR="00702AA6" w:rsidRPr="00D8046E">
        <w:rPr>
          <w:i/>
        </w:rPr>
        <w:t>E</w:t>
      </w:r>
      <w:r w:rsidR="00235D2D" w:rsidRPr="00D8046E">
        <w:rPr>
          <w:i/>
        </w:rPr>
        <w:t xml:space="preserve">ffect </w:t>
      </w:r>
      <w:r w:rsidR="00702AA6" w:rsidRPr="00D8046E">
        <w:rPr>
          <w:i/>
        </w:rPr>
        <w:t>M</w:t>
      </w:r>
      <w:r w:rsidR="00FD3112" w:rsidRPr="00D8046E">
        <w:rPr>
          <w:i/>
        </w:rPr>
        <w:t xml:space="preserve">agnitude </w:t>
      </w:r>
      <w:r w:rsidR="00702AA6" w:rsidRPr="00D8046E">
        <w:rPr>
          <w:i/>
        </w:rPr>
        <w:t xml:space="preserve">Correspondence </w:t>
      </w:r>
    </w:p>
    <w:p w:rsidR="00FD3112" w:rsidRPr="00D8046E" w:rsidRDefault="00FD3112" w:rsidP="00FD3112"/>
    <w:p w:rsidR="00736ADB" w:rsidRPr="00D8046E" w:rsidRDefault="006D5857" w:rsidP="00736ADB">
      <w:pPr>
        <w:spacing w:line="480" w:lineRule="auto"/>
      </w:pPr>
      <w:r w:rsidRPr="00D8046E">
        <w:tab/>
      </w:r>
      <w:r w:rsidR="00FC03A2" w:rsidRPr="00D8046E">
        <w:t xml:space="preserve">In one of the first studies </w:t>
      </w:r>
      <w:r w:rsidR="009D42E2" w:rsidRPr="00D8046E">
        <w:t xml:space="preserve">that </w:t>
      </w:r>
      <w:r w:rsidR="00FC03A2" w:rsidRPr="00D8046E">
        <w:t xml:space="preserve">indirectly </w:t>
      </w:r>
      <w:r w:rsidRPr="00D8046E">
        <w:t xml:space="preserve">provided </w:t>
      </w:r>
      <w:r w:rsidR="007C3F58" w:rsidRPr="00D8046E">
        <w:t xml:space="preserve">supporting </w:t>
      </w:r>
      <w:r w:rsidRPr="00D8046E">
        <w:t>evidence</w:t>
      </w:r>
      <w:r w:rsidR="000660EB" w:rsidRPr="00D8046E">
        <w:t xml:space="preserve"> </w:t>
      </w:r>
      <w:r w:rsidR="0093766B" w:rsidRPr="00D8046E">
        <w:t xml:space="preserve">that people expect </w:t>
      </w:r>
      <w:r w:rsidR="00DF6295" w:rsidRPr="00D8046E">
        <w:t>cause-effect magnitude correspondence</w:t>
      </w:r>
      <w:r w:rsidR="00FC03A2" w:rsidRPr="00D8046E">
        <w:t xml:space="preserve">, Shultz and Ravinsky (1977) </w:t>
      </w:r>
      <w:r w:rsidR="007C3F58" w:rsidRPr="00D8046E">
        <w:t>demonstrated</w:t>
      </w:r>
      <w:r w:rsidR="00FC03A2" w:rsidRPr="00D8046E">
        <w:t xml:space="preserve"> that </w:t>
      </w:r>
      <w:r w:rsidR="00340811" w:rsidRPr="00D8046E">
        <w:t>French-Canadian school</w:t>
      </w:r>
      <w:r w:rsidR="00FC03A2" w:rsidRPr="00D8046E">
        <w:t>children</w:t>
      </w:r>
      <w:r w:rsidR="00340811" w:rsidRPr="00D8046E">
        <w:t xml:space="preserve"> </w:t>
      </w:r>
      <w:r w:rsidR="00A11884" w:rsidRPr="00D8046E">
        <w:t>typically</w:t>
      </w:r>
      <w:r w:rsidR="008D0CD0" w:rsidRPr="00D8046E">
        <w:t xml:space="preserve"> </w:t>
      </w:r>
      <w:r w:rsidR="000D33F9" w:rsidRPr="00D8046E">
        <w:t>cho</w:t>
      </w:r>
      <w:r w:rsidR="000D7779" w:rsidRPr="00D8046E">
        <w:t>se</w:t>
      </w:r>
      <w:r w:rsidR="008D0CD0" w:rsidRPr="00D8046E">
        <w:t xml:space="preserve"> causes that </w:t>
      </w:r>
      <w:r w:rsidR="00A86DFE" w:rsidRPr="00D8046E">
        <w:t xml:space="preserve">were similar to </w:t>
      </w:r>
      <w:r w:rsidR="00281BBC" w:rsidRPr="00D8046E">
        <w:t>effects</w:t>
      </w:r>
      <w:r w:rsidR="008D0CD0" w:rsidRPr="00D8046E">
        <w:t>.</w:t>
      </w:r>
      <w:r w:rsidR="00FC03A2" w:rsidRPr="00D8046E">
        <w:t xml:space="preserve"> For example, </w:t>
      </w:r>
      <w:r w:rsidR="00850217" w:rsidRPr="00D8046E">
        <w:t>in one scenario</w:t>
      </w:r>
      <w:r w:rsidR="0071397D" w:rsidRPr="00D8046E">
        <w:t>,</w:t>
      </w:r>
      <w:r w:rsidR="00850217" w:rsidRPr="00D8046E">
        <w:t xml:space="preserve"> </w:t>
      </w:r>
      <w:r w:rsidR="00FC03A2" w:rsidRPr="00D8046E">
        <w:t xml:space="preserve">they attributed a loud noise to a heavy rather than </w:t>
      </w:r>
      <w:r w:rsidR="002E2C23" w:rsidRPr="00D8046E">
        <w:t xml:space="preserve">a </w:t>
      </w:r>
      <w:r w:rsidR="00FC03A2" w:rsidRPr="00D8046E">
        <w:t>delicate lever.</w:t>
      </w:r>
      <w:r w:rsidR="00850217" w:rsidRPr="00D8046E">
        <w:t xml:space="preserve"> However</w:t>
      </w:r>
      <w:r w:rsidR="002E2C23" w:rsidRPr="00D8046E">
        <w:t>,</w:t>
      </w:r>
      <w:r w:rsidR="00850217" w:rsidRPr="00D8046E">
        <w:t xml:space="preserve"> the other scenarios used would fall under </w:t>
      </w:r>
      <w:r w:rsidR="008D0CD0" w:rsidRPr="00D8046E">
        <w:t>Einhorn and Hogarth’s</w:t>
      </w:r>
      <w:r w:rsidR="00850217" w:rsidRPr="00D8046E">
        <w:t xml:space="preserve"> physical resemblance category</w:t>
      </w:r>
      <w:r w:rsidR="006F7723">
        <w:t>, such as attributing</w:t>
      </w:r>
      <w:r w:rsidR="00850217" w:rsidRPr="00D8046E">
        <w:t xml:space="preserve"> p</w:t>
      </w:r>
      <w:r w:rsidR="0071397D" w:rsidRPr="00D8046E">
        <w:t>hysical retaliation to physical</w:t>
      </w:r>
      <w:r w:rsidR="00850217" w:rsidRPr="00D8046E">
        <w:t xml:space="preserve"> rather than verbal aggression. </w:t>
      </w:r>
    </w:p>
    <w:p w:rsidR="004637A6" w:rsidRDefault="00611873" w:rsidP="004637A6">
      <w:pPr>
        <w:spacing w:line="480" w:lineRule="auto"/>
        <w:ind w:firstLine="720"/>
      </w:pPr>
      <w:r w:rsidRPr="00D8046E">
        <w:t xml:space="preserve">McCauley and Jacques (1979) also provided indirect </w:t>
      </w:r>
      <w:r w:rsidR="00516440" w:rsidRPr="00D8046E">
        <w:t>supporting e</w:t>
      </w:r>
      <w:r w:rsidRPr="00D8046E">
        <w:t xml:space="preserve">vidence </w:t>
      </w:r>
      <w:r w:rsidR="00AB5B5B" w:rsidRPr="00D8046E">
        <w:t>of</w:t>
      </w:r>
      <w:r w:rsidR="00B51F86" w:rsidRPr="00D8046E">
        <w:t xml:space="preserve"> </w:t>
      </w:r>
      <w:r w:rsidR="00AB5B5B" w:rsidRPr="00D8046E">
        <w:t>an</w:t>
      </w:r>
      <w:r w:rsidR="00B51F86" w:rsidRPr="00D8046E">
        <w:t xml:space="preserve"> </w:t>
      </w:r>
      <w:r w:rsidR="0093766B" w:rsidRPr="00D8046E">
        <w:t>e</w:t>
      </w:r>
      <w:r w:rsidR="00F219ED" w:rsidRPr="00D8046E">
        <w:t>xpectation</w:t>
      </w:r>
      <w:r w:rsidR="0093766B" w:rsidRPr="00D8046E">
        <w:t xml:space="preserve"> of </w:t>
      </w:r>
      <w:r w:rsidR="001D45AC" w:rsidRPr="00D8046E">
        <w:t xml:space="preserve">cause-effect </w:t>
      </w:r>
      <w:r w:rsidR="0044216E" w:rsidRPr="00D8046E">
        <w:t xml:space="preserve">magnitude </w:t>
      </w:r>
      <w:r w:rsidR="0093766B" w:rsidRPr="00D8046E">
        <w:t>correspondence</w:t>
      </w:r>
      <w:r w:rsidR="008A2AC3" w:rsidRPr="00D8046E">
        <w:t>. In their study,</w:t>
      </w:r>
      <w:r w:rsidR="0093766B" w:rsidRPr="00D8046E">
        <w:t xml:space="preserve"> </w:t>
      </w:r>
      <w:r w:rsidR="0046564E" w:rsidRPr="00D8046E">
        <w:t xml:space="preserve">American </w:t>
      </w:r>
      <w:r w:rsidR="00340811" w:rsidRPr="00D8046E">
        <w:t>p</w:t>
      </w:r>
      <w:r w:rsidR="00A674C3" w:rsidRPr="00D8046E">
        <w:t xml:space="preserve">articipants </w:t>
      </w:r>
      <w:r w:rsidR="00703752" w:rsidRPr="00D8046E">
        <w:t xml:space="preserve">read </w:t>
      </w:r>
      <w:r w:rsidR="00A674C3" w:rsidRPr="00D8046E">
        <w:t xml:space="preserve">one of two headlines, “A </w:t>
      </w:r>
      <w:r w:rsidR="0002657C" w:rsidRPr="00D8046E">
        <w:t>man shoots at the president and misses</w:t>
      </w:r>
      <w:r w:rsidR="00A674C3" w:rsidRPr="00D8046E">
        <w:t xml:space="preserve">” or “A </w:t>
      </w:r>
      <w:r w:rsidR="0002657C" w:rsidRPr="00D8046E">
        <w:t>man</w:t>
      </w:r>
      <w:r w:rsidR="008C2C14" w:rsidRPr="00D8046E">
        <w:t xml:space="preserve"> shoots at </w:t>
      </w:r>
      <w:r w:rsidR="0002657C" w:rsidRPr="00D8046E">
        <w:t>the</w:t>
      </w:r>
      <w:r w:rsidR="008C2C14" w:rsidRPr="00D8046E">
        <w:t xml:space="preserve"> president and kills him.</w:t>
      </w:r>
      <w:r w:rsidR="00A674C3" w:rsidRPr="00D8046E">
        <w:t xml:space="preserve">” </w:t>
      </w:r>
      <w:r w:rsidR="002E2C23" w:rsidRPr="00D8046E">
        <w:t>P</w:t>
      </w:r>
      <w:r w:rsidR="00A674C3" w:rsidRPr="00D8046E">
        <w:t xml:space="preserve">articipants </w:t>
      </w:r>
      <w:r w:rsidR="002E2C23" w:rsidRPr="00D8046E">
        <w:t xml:space="preserve">then </w:t>
      </w:r>
      <w:r w:rsidR="00703752" w:rsidRPr="00D8046E">
        <w:t>estimated</w:t>
      </w:r>
      <w:r w:rsidR="00A674C3" w:rsidRPr="00D8046E">
        <w:t xml:space="preserve"> the </w:t>
      </w:r>
      <w:r w:rsidR="004637A6" w:rsidRPr="00D8046E">
        <w:t>probabilit</w:t>
      </w:r>
      <w:r w:rsidR="004637A6">
        <w:t>ies</w:t>
      </w:r>
      <w:r w:rsidR="004637A6" w:rsidRPr="00D8046E">
        <w:t xml:space="preserve"> </w:t>
      </w:r>
      <w:r w:rsidR="00A674C3" w:rsidRPr="00D8046E">
        <w:t xml:space="preserve">that the man was acting alone and as a member of a group. </w:t>
      </w:r>
      <w:r w:rsidR="00496866" w:rsidRPr="00D8046E">
        <w:t>T</w:t>
      </w:r>
      <w:r w:rsidR="002E2C23" w:rsidRPr="00D8046E">
        <w:t>he author</w:t>
      </w:r>
      <w:r w:rsidR="00876476" w:rsidRPr="00D8046E">
        <w:t xml:space="preserve">s </w:t>
      </w:r>
      <w:r w:rsidR="00496866" w:rsidRPr="00D8046E">
        <w:t xml:space="preserve">found that </w:t>
      </w:r>
      <w:r w:rsidR="00A674C3" w:rsidRPr="00D8046E">
        <w:t>participants attribute</w:t>
      </w:r>
      <w:r w:rsidR="008506A1">
        <w:t>d</w:t>
      </w:r>
      <w:r w:rsidR="00A674C3" w:rsidRPr="00D8046E">
        <w:t xml:space="preserve"> the </w:t>
      </w:r>
      <w:r w:rsidR="00057876" w:rsidRPr="00D8046E">
        <w:t xml:space="preserve">more consequential </w:t>
      </w:r>
      <w:r w:rsidR="00281BBC" w:rsidRPr="00D8046E">
        <w:t>effect</w:t>
      </w:r>
      <w:r w:rsidR="00057876" w:rsidRPr="00D8046E">
        <w:t xml:space="preserve">, the </w:t>
      </w:r>
      <w:r w:rsidR="00A674C3" w:rsidRPr="00D8046E">
        <w:t>successful assassination</w:t>
      </w:r>
      <w:r w:rsidR="00057876" w:rsidRPr="00D8046E">
        <w:t>,</w:t>
      </w:r>
      <w:r w:rsidR="00A674C3" w:rsidRPr="00D8046E">
        <w:t xml:space="preserve"> to the group and the </w:t>
      </w:r>
      <w:r w:rsidR="00057876" w:rsidRPr="00D8046E">
        <w:t xml:space="preserve">less consequential </w:t>
      </w:r>
      <w:r w:rsidR="00281BBC" w:rsidRPr="00D8046E">
        <w:t>effect</w:t>
      </w:r>
      <w:r w:rsidR="00057876" w:rsidRPr="00D8046E">
        <w:t xml:space="preserve">, the </w:t>
      </w:r>
      <w:r w:rsidR="00A674C3" w:rsidRPr="00D8046E">
        <w:t xml:space="preserve">unsuccessful </w:t>
      </w:r>
      <w:r w:rsidR="00057876" w:rsidRPr="00D8046E">
        <w:t>assassination,</w:t>
      </w:r>
      <w:r w:rsidR="00A674C3" w:rsidRPr="00D8046E">
        <w:t xml:space="preserve"> to the individual.</w:t>
      </w:r>
      <w:r w:rsidR="00876476" w:rsidRPr="00D8046E">
        <w:t xml:space="preserve"> </w:t>
      </w:r>
      <w:r w:rsidR="00AC4D66" w:rsidRPr="00D8046E">
        <w:t>However, t</w:t>
      </w:r>
      <w:r w:rsidR="00A00E40" w:rsidRPr="00D8046E">
        <w:t xml:space="preserve">his study does not provide strong evidence supporting </w:t>
      </w:r>
      <w:r w:rsidR="001C491A" w:rsidRPr="00D8046E">
        <w:t xml:space="preserve">an expectation of </w:t>
      </w:r>
      <w:r w:rsidR="001D45AC" w:rsidRPr="00D8046E">
        <w:t xml:space="preserve">cause-effect </w:t>
      </w:r>
      <w:r w:rsidR="001C491A" w:rsidRPr="00D8046E">
        <w:t xml:space="preserve">magnitude correspondence </w:t>
      </w:r>
      <w:r w:rsidR="00A00E40" w:rsidRPr="00D8046E">
        <w:t xml:space="preserve">because participants could be attributing the more consequential </w:t>
      </w:r>
      <w:r w:rsidR="00281BBC" w:rsidRPr="00D8046E">
        <w:t>effect</w:t>
      </w:r>
      <w:r w:rsidR="00A00E40" w:rsidRPr="00D8046E">
        <w:t xml:space="preserve"> to a conjunction of causes, a group, more than a single cause, a lone gunman.</w:t>
      </w:r>
    </w:p>
    <w:p w:rsidR="00A91B6A" w:rsidRPr="00D8046E" w:rsidRDefault="00A91B6A" w:rsidP="004637A6">
      <w:pPr>
        <w:spacing w:line="480" w:lineRule="auto"/>
        <w:ind w:firstLine="720"/>
      </w:pPr>
      <w:r w:rsidRPr="00D8046E">
        <w:t>McClure</w:t>
      </w:r>
      <w:r w:rsidR="00014A0C" w:rsidRPr="00D8046E">
        <w:t>, Lalljee, and Jaspars</w:t>
      </w:r>
      <w:r w:rsidRPr="00D8046E">
        <w:t xml:space="preserve"> (1991) </w:t>
      </w:r>
      <w:r w:rsidR="00AB3883" w:rsidRPr="00D8046E">
        <w:t>examined</w:t>
      </w:r>
      <w:r w:rsidR="00014A0C" w:rsidRPr="00D8046E">
        <w:t xml:space="preserve"> </w:t>
      </w:r>
      <w:r w:rsidR="00A11884" w:rsidRPr="00D8046E">
        <w:t>if</w:t>
      </w:r>
      <w:r w:rsidR="00014A0C" w:rsidRPr="00D8046E">
        <w:t xml:space="preserve"> people explained extreme and moderate </w:t>
      </w:r>
      <w:r w:rsidR="00281BBC" w:rsidRPr="00D8046E">
        <w:t>effects</w:t>
      </w:r>
      <w:r w:rsidR="00014A0C" w:rsidRPr="00D8046E">
        <w:t xml:space="preserve"> </w:t>
      </w:r>
      <w:r w:rsidR="0031409E" w:rsidRPr="00D8046E">
        <w:t>by using</w:t>
      </w:r>
      <w:r w:rsidR="00014A0C" w:rsidRPr="00D8046E">
        <w:t xml:space="preserve"> </w:t>
      </w:r>
      <w:r w:rsidR="00F80A28" w:rsidRPr="00D8046E">
        <w:t xml:space="preserve">a conjunction of causes or </w:t>
      </w:r>
      <w:r w:rsidR="003C0578" w:rsidRPr="00D8046E">
        <w:t xml:space="preserve">a </w:t>
      </w:r>
      <w:r w:rsidR="00376481" w:rsidRPr="00D8046E">
        <w:t xml:space="preserve">single </w:t>
      </w:r>
      <w:r w:rsidR="00014A0C" w:rsidRPr="00D8046E">
        <w:t xml:space="preserve">cause. For example, </w:t>
      </w:r>
      <w:r w:rsidR="00D04279" w:rsidRPr="00D8046E">
        <w:t xml:space="preserve">British </w:t>
      </w:r>
      <w:r w:rsidR="00DC133C">
        <w:t>participants</w:t>
      </w:r>
      <w:r w:rsidR="00DC133C" w:rsidRPr="00D8046E">
        <w:t xml:space="preserve"> </w:t>
      </w:r>
      <w:r w:rsidR="00014A0C" w:rsidRPr="00D8046E">
        <w:t>read</w:t>
      </w:r>
      <w:r w:rsidR="00730A21">
        <w:t xml:space="preserve"> an extreme crime involving multiple murders and mutilation of bodies, and a moderate crime involving hitting people with a bottle at a football match. </w:t>
      </w:r>
      <w:r w:rsidR="003E6DAC">
        <w:t>Most p</w:t>
      </w:r>
      <w:r w:rsidR="00014A0C" w:rsidRPr="00D8046E">
        <w:t xml:space="preserve">articipants explained </w:t>
      </w:r>
      <w:r w:rsidR="00730A21">
        <w:t xml:space="preserve">the </w:t>
      </w:r>
      <w:r w:rsidR="00F6705B">
        <w:t>extreme</w:t>
      </w:r>
      <w:r w:rsidR="00F6705B" w:rsidRPr="00D8046E">
        <w:t xml:space="preserve"> </w:t>
      </w:r>
      <w:r w:rsidR="00730A21">
        <w:t>crime</w:t>
      </w:r>
      <w:r w:rsidR="00014A0C" w:rsidRPr="00D8046E">
        <w:t xml:space="preserve"> </w:t>
      </w:r>
      <w:r w:rsidR="003E6DAC">
        <w:t>by</w:t>
      </w:r>
      <w:r w:rsidR="00E51FC8" w:rsidRPr="00D8046E">
        <w:t xml:space="preserve"> generat</w:t>
      </w:r>
      <w:r w:rsidR="003E6DAC">
        <w:t>ing</w:t>
      </w:r>
      <w:r w:rsidR="00E51FC8" w:rsidRPr="00D8046E">
        <w:t xml:space="preserve"> single</w:t>
      </w:r>
      <w:r w:rsidR="003E6DAC">
        <w:t>-</w:t>
      </w:r>
      <w:r w:rsidR="00E51FC8" w:rsidRPr="00D8046E">
        <w:t>cause explanations</w:t>
      </w:r>
      <w:r w:rsidR="00DC133C">
        <w:t xml:space="preserve"> that tended to </w:t>
      </w:r>
      <w:r w:rsidR="00E51FC8" w:rsidRPr="00D8046E">
        <w:t xml:space="preserve">correspond in magnitude with </w:t>
      </w:r>
      <w:r w:rsidR="00F6705B">
        <w:t>the</w:t>
      </w:r>
      <w:r w:rsidR="00F6705B" w:rsidRPr="00D8046E">
        <w:t xml:space="preserve"> </w:t>
      </w:r>
      <w:r w:rsidR="00E51FC8" w:rsidRPr="00D8046E">
        <w:t>effect</w:t>
      </w:r>
      <w:r w:rsidR="00F6705B">
        <w:t>s</w:t>
      </w:r>
      <w:r w:rsidR="00E51FC8" w:rsidRPr="00D8046E">
        <w:t xml:space="preserve">. </w:t>
      </w:r>
    </w:p>
    <w:p w:rsidR="0031276A" w:rsidRPr="00D8046E" w:rsidRDefault="003F7946" w:rsidP="00647028">
      <w:pPr>
        <w:spacing w:line="480" w:lineRule="auto"/>
        <w:ind w:firstLine="720"/>
      </w:pPr>
      <w:r w:rsidRPr="00D8046E">
        <w:lastRenderedPageBreak/>
        <w:t>A recent</w:t>
      </w:r>
      <w:r w:rsidR="0031276A" w:rsidRPr="00D8046E">
        <w:t xml:space="preserve"> set of</w:t>
      </w:r>
      <w:r w:rsidRPr="00D8046E">
        <w:t xml:space="preserve"> stud</w:t>
      </w:r>
      <w:r w:rsidR="0031276A" w:rsidRPr="00D8046E">
        <w:t>ies</w:t>
      </w:r>
      <w:r w:rsidRPr="00D8046E">
        <w:t xml:space="preserve"> by Ebel-Lam, Fabrigar, MacDonald, and Jones (</w:t>
      </w:r>
      <w:r w:rsidR="00522C1E" w:rsidRPr="00D8046E">
        <w:t>2008</w:t>
      </w:r>
      <w:r w:rsidRPr="00D8046E">
        <w:t xml:space="preserve">) provided </w:t>
      </w:r>
      <w:r w:rsidR="002669C0" w:rsidRPr="00D8046E">
        <w:t xml:space="preserve">more direct </w:t>
      </w:r>
      <w:r w:rsidRPr="00D8046E">
        <w:t xml:space="preserve">support </w:t>
      </w:r>
      <w:r w:rsidR="00DF46BE" w:rsidRPr="00D8046E">
        <w:t>for</w:t>
      </w:r>
      <w:r w:rsidR="002A3ECC" w:rsidRPr="00D8046E">
        <w:t xml:space="preserve"> an expectation of </w:t>
      </w:r>
      <w:r w:rsidR="00E03F03" w:rsidRPr="00D8046E">
        <w:t xml:space="preserve">cause-effect </w:t>
      </w:r>
      <w:r w:rsidR="002A3ECC" w:rsidRPr="00D8046E">
        <w:t>magnitude correspondence</w:t>
      </w:r>
      <w:r w:rsidRPr="00D8046E">
        <w:t>.</w:t>
      </w:r>
      <w:r w:rsidR="0031276A" w:rsidRPr="00D8046E">
        <w:t xml:space="preserve"> </w:t>
      </w:r>
      <w:r w:rsidR="002E6434" w:rsidRPr="00D8046E">
        <w:t xml:space="preserve">Canadian </w:t>
      </w:r>
      <w:r w:rsidR="004F149E">
        <w:t>participants</w:t>
      </w:r>
      <w:r w:rsidR="002E6434" w:rsidRPr="00D8046E">
        <w:t xml:space="preserve"> </w:t>
      </w:r>
      <w:r w:rsidR="00C80173" w:rsidRPr="00D8046E">
        <w:t xml:space="preserve">read a scenario describing either a high or moderate magnitude </w:t>
      </w:r>
      <w:r w:rsidR="00281BBC" w:rsidRPr="00D8046E">
        <w:t>effect</w:t>
      </w:r>
      <w:r w:rsidR="005F414C" w:rsidRPr="00D8046E">
        <w:t xml:space="preserve">. For example, participants read that either a </w:t>
      </w:r>
      <w:r w:rsidR="0031276A" w:rsidRPr="00D8046E">
        <w:t xml:space="preserve">plane crashed </w:t>
      </w:r>
      <w:r w:rsidR="005F414C" w:rsidRPr="00D8046E">
        <w:t>killing</w:t>
      </w:r>
      <w:r w:rsidR="0031276A" w:rsidRPr="00D8046E">
        <w:t xml:space="preserve"> everybody onboard (high magnitude) or</w:t>
      </w:r>
      <w:r w:rsidR="005F414C" w:rsidRPr="00D8046E">
        <w:t xml:space="preserve"> that</w:t>
      </w:r>
      <w:r w:rsidR="0031276A" w:rsidRPr="00D8046E">
        <w:t xml:space="preserve"> </w:t>
      </w:r>
      <w:r w:rsidR="0046564E" w:rsidRPr="00D8046E">
        <w:t>with difficulty</w:t>
      </w:r>
      <w:r w:rsidR="005F414C" w:rsidRPr="00D8046E">
        <w:t xml:space="preserve"> </w:t>
      </w:r>
      <w:r w:rsidR="007714BC" w:rsidRPr="00D8046E">
        <w:t>the pilot</w:t>
      </w:r>
      <w:r w:rsidR="0031276A" w:rsidRPr="00D8046E">
        <w:t xml:space="preserve"> successfully landed the plane (moderate magnitude).</w:t>
      </w:r>
      <w:r w:rsidR="00647028" w:rsidRPr="00D8046E">
        <w:t xml:space="preserve"> Participants </w:t>
      </w:r>
      <w:r w:rsidR="00C80173" w:rsidRPr="00D8046E">
        <w:t>estimated</w:t>
      </w:r>
      <w:r w:rsidR="00647028" w:rsidRPr="00D8046E">
        <w:t xml:space="preserve"> the likelihood </w:t>
      </w:r>
      <w:r w:rsidR="002E6434" w:rsidRPr="00D8046E">
        <w:t xml:space="preserve">that </w:t>
      </w:r>
      <w:r w:rsidR="00C80173" w:rsidRPr="00D8046E">
        <w:t xml:space="preserve">a number of high and moderate magnitude causes had </w:t>
      </w:r>
      <w:r w:rsidR="00221339" w:rsidRPr="00D8046E">
        <w:t>led to</w:t>
      </w:r>
      <w:r w:rsidR="00C80173" w:rsidRPr="00D8046E">
        <w:t xml:space="preserve"> the </w:t>
      </w:r>
      <w:r w:rsidR="00281BBC" w:rsidRPr="00D8046E">
        <w:t>effect</w:t>
      </w:r>
      <w:r w:rsidR="00647028" w:rsidRPr="00D8046E">
        <w:t xml:space="preserve">. </w:t>
      </w:r>
      <w:r w:rsidR="00C80173" w:rsidRPr="00D8046E">
        <w:t>P</w:t>
      </w:r>
      <w:r w:rsidR="00521EF8" w:rsidRPr="00D8046E">
        <w:t>articipants attribute</w:t>
      </w:r>
      <w:r w:rsidR="00F661E9" w:rsidRPr="00D8046E">
        <w:t>d</w:t>
      </w:r>
      <w:r w:rsidR="00521EF8" w:rsidRPr="00D8046E">
        <w:t xml:space="preserve"> </w:t>
      </w:r>
      <w:r w:rsidR="00A722CF" w:rsidRPr="00D8046E">
        <w:t>high magnitude</w:t>
      </w:r>
      <w:r w:rsidR="00521EF8" w:rsidRPr="00D8046E">
        <w:t xml:space="preserve"> </w:t>
      </w:r>
      <w:r w:rsidR="00281BBC" w:rsidRPr="00D8046E">
        <w:t>effects</w:t>
      </w:r>
      <w:r w:rsidR="00521EF8" w:rsidRPr="00D8046E">
        <w:t xml:space="preserve"> to </w:t>
      </w:r>
      <w:r w:rsidR="00A722CF" w:rsidRPr="00D8046E">
        <w:t>high magnitude</w:t>
      </w:r>
      <w:r w:rsidR="00521EF8" w:rsidRPr="00D8046E">
        <w:t xml:space="preserve"> causes and </w:t>
      </w:r>
      <w:r w:rsidR="00A722CF" w:rsidRPr="00D8046E">
        <w:t>low magnitude</w:t>
      </w:r>
      <w:r w:rsidR="00521EF8" w:rsidRPr="00D8046E">
        <w:t xml:space="preserve"> </w:t>
      </w:r>
      <w:r w:rsidR="00281BBC" w:rsidRPr="00D8046E">
        <w:t>effects</w:t>
      </w:r>
      <w:r w:rsidR="00521EF8" w:rsidRPr="00D8046E">
        <w:t xml:space="preserve"> to </w:t>
      </w:r>
      <w:r w:rsidR="00A722CF" w:rsidRPr="00D8046E">
        <w:t>low magnitude</w:t>
      </w:r>
      <w:r w:rsidR="00521EF8" w:rsidRPr="00D8046E">
        <w:t xml:space="preserve"> causes.</w:t>
      </w:r>
    </w:p>
    <w:p w:rsidR="00D84743" w:rsidRPr="00D8046E" w:rsidRDefault="005302B6" w:rsidP="00337E19">
      <w:pPr>
        <w:spacing w:line="480" w:lineRule="auto"/>
        <w:ind w:firstLine="720"/>
      </w:pPr>
      <w:r w:rsidRPr="00D8046E">
        <w:t>Either directly or</w:t>
      </w:r>
      <w:r w:rsidR="000C4845" w:rsidRPr="00D8046E">
        <w:t xml:space="preserve"> indirect</w:t>
      </w:r>
      <w:r w:rsidR="00151DF6" w:rsidRPr="00D8046E">
        <w:t>ly</w:t>
      </w:r>
      <w:r w:rsidR="000C4845" w:rsidRPr="00D8046E">
        <w:t>, t</w:t>
      </w:r>
      <w:r w:rsidR="00DB7B06" w:rsidRPr="00D8046E">
        <w:t xml:space="preserve">he aforementioned </w:t>
      </w:r>
      <w:r w:rsidR="000C4845" w:rsidRPr="00D8046E">
        <w:t>studies</w:t>
      </w:r>
      <w:r w:rsidR="00DB7B06" w:rsidRPr="00D8046E">
        <w:t xml:space="preserve"> provide</w:t>
      </w:r>
      <w:r w:rsidRPr="00D8046E">
        <w:t>d</w:t>
      </w:r>
      <w:r w:rsidR="00DB7B06" w:rsidRPr="00D8046E">
        <w:t xml:space="preserve"> consistent evidence that people </w:t>
      </w:r>
      <w:r w:rsidR="0056375F" w:rsidRPr="00D8046E">
        <w:t>(</w:t>
      </w:r>
      <w:r w:rsidR="00F661E9" w:rsidRPr="00D8046E">
        <w:t xml:space="preserve">at least, </w:t>
      </w:r>
      <w:r w:rsidR="0056375F" w:rsidRPr="00D8046E">
        <w:t xml:space="preserve">Americans, British, and Canadians) </w:t>
      </w:r>
      <w:r w:rsidR="00F661E9" w:rsidRPr="00D8046E">
        <w:t>typically</w:t>
      </w:r>
      <w:r w:rsidR="00DB7B06" w:rsidRPr="00D8046E">
        <w:t xml:space="preserve"> expect a correspondence in magnitude between </w:t>
      </w:r>
      <w:r w:rsidR="00B35A8D" w:rsidRPr="00D8046E">
        <w:t xml:space="preserve">an </w:t>
      </w:r>
      <w:r w:rsidR="00281BBC" w:rsidRPr="00D8046E">
        <w:t>effect</w:t>
      </w:r>
      <w:r w:rsidR="00DB7B06" w:rsidRPr="00D8046E">
        <w:t xml:space="preserve"> and </w:t>
      </w:r>
      <w:r w:rsidR="00B35A8D" w:rsidRPr="00D8046E">
        <w:t>its</w:t>
      </w:r>
      <w:r w:rsidR="00DB7B06" w:rsidRPr="00D8046E">
        <w:t xml:space="preserve"> cause.</w:t>
      </w:r>
      <w:r w:rsidR="005D219D">
        <w:t xml:space="preserve"> </w:t>
      </w:r>
      <w:r w:rsidR="0023613D" w:rsidRPr="00D8046E">
        <w:t>Why is this so</w:t>
      </w:r>
      <w:r w:rsidR="00F10000" w:rsidRPr="00D8046E">
        <w:t xml:space="preserve"> and is it true across cultures</w:t>
      </w:r>
      <w:r w:rsidR="00362C88" w:rsidRPr="00D8046E">
        <w:t>?</w:t>
      </w:r>
      <w:r w:rsidR="002461E4" w:rsidRPr="00D8046E">
        <w:t xml:space="preserve"> </w:t>
      </w:r>
      <w:r w:rsidR="00D84743" w:rsidRPr="00D8046E">
        <w:t xml:space="preserve">Research from the cultural psychology literature </w:t>
      </w:r>
      <w:r w:rsidR="000A526A">
        <w:t>may provide some clues</w:t>
      </w:r>
      <w:r w:rsidR="00D84743" w:rsidRPr="00D8046E">
        <w:t>.</w:t>
      </w:r>
    </w:p>
    <w:p w:rsidR="00D84743" w:rsidRPr="00D8046E" w:rsidRDefault="00D84743" w:rsidP="00D84743">
      <w:pPr>
        <w:spacing w:line="480" w:lineRule="auto"/>
        <w:rPr>
          <w:i/>
        </w:rPr>
      </w:pPr>
      <w:r w:rsidRPr="00D8046E">
        <w:rPr>
          <w:i/>
        </w:rPr>
        <w:t xml:space="preserve">Cultural </w:t>
      </w:r>
      <w:r w:rsidR="00702AA6" w:rsidRPr="00D8046E">
        <w:rPr>
          <w:i/>
        </w:rPr>
        <w:t>D</w:t>
      </w:r>
      <w:r w:rsidRPr="00D8046E">
        <w:rPr>
          <w:i/>
        </w:rPr>
        <w:t xml:space="preserve">ifferences in </w:t>
      </w:r>
      <w:r w:rsidR="00AB7664" w:rsidRPr="00D8046E">
        <w:rPr>
          <w:i/>
        </w:rPr>
        <w:t xml:space="preserve">Analytic and Holistic </w:t>
      </w:r>
      <w:r w:rsidR="00702AA6" w:rsidRPr="00D8046E">
        <w:rPr>
          <w:i/>
        </w:rPr>
        <w:t>R</w:t>
      </w:r>
      <w:r w:rsidRPr="00D8046E">
        <w:rPr>
          <w:i/>
        </w:rPr>
        <w:t xml:space="preserve">easoning </w:t>
      </w:r>
    </w:p>
    <w:p w:rsidR="00890AF3" w:rsidRPr="00D8046E" w:rsidRDefault="001B6C48" w:rsidP="00532E56">
      <w:pPr>
        <w:spacing w:line="480" w:lineRule="auto"/>
        <w:ind w:firstLine="720"/>
      </w:pPr>
      <w:r w:rsidRPr="00D8046E">
        <w:t xml:space="preserve">Contrary to </w:t>
      </w:r>
      <w:r w:rsidR="00641682">
        <w:t>a</w:t>
      </w:r>
      <w:r w:rsidR="00641682" w:rsidRPr="00D8046E">
        <w:t xml:space="preserve"> </w:t>
      </w:r>
      <w:smartTag w:uri="urn:schemas-microsoft-com:office:smarttags" w:element="place">
        <w:smartTag w:uri="urn:schemas-microsoft-com:office:smarttags" w:element="State">
          <w:r w:rsidRPr="00D8046E">
            <w:t>Washington</w:t>
          </w:r>
        </w:smartTag>
      </w:smartTag>
      <w:r w:rsidRPr="00D8046E">
        <w:t xml:space="preserve"> newspaper </w:t>
      </w:r>
      <w:r w:rsidR="00A36764" w:rsidRPr="00D8046E">
        <w:t xml:space="preserve">article </w:t>
      </w:r>
      <w:r w:rsidRPr="00D8046E">
        <w:t>mocking Walter Reed’s suggestion that yellow fever</w:t>
      </w:r>
      <w:r w:rsidR="007B5B57">
        <w:t xml:space="preserve"> with all of its devastating effects</w:t>
      </w:r>
      <w:r w:rsidRPr="00D8046E">
        <w:t xml:space="preserve"> was caused by </w:t>
      </w:r>
      <w:r w:rsidR="002B4908" w:rsidRPr="00D8046E">
        <w:t>a</w:t>
      </w:r>
      <w:r w:rsidRPr="00D8046E">
        <w:t xml:space="preserve"> </w:t>
      </w:r>
      <w:r w:rsidR="00D54F22" w:rsidRPr="00D8046E">
        <w:t xml:space="preserve">tiny </w:t>
      </w:r>
      <w:r w:rsidRPr="00D8046E">
        <w:t>mosquito</w:t>
      </w:r>
      <w:r w:rsidR="00641682">
        <w:t xml:space="preserve"> (</w:t>
      </w:r>
      <w:r w:rsidR="007B5B57">
        <w:t>Nisbett &amp; Ross, 1980)</w:t>
      </w:r>
      <w:r w:rsidRPr="00D8046E">
        <w:t xml:space="preserve">, </w:t>
      </w:r>
      <w:r w:rsidR="00151DF6" w:rsidRPr="00D8046E">
        <w:t xml:space="preserve">Asian folk wisdom states, “One tiny insect may be enough to destroy a nation.” </w:t>
      </w:r>
      <w:r w:rsidR="00806B13" w:rsidRPr="00D8046E">
        <w:t xml:space="preserve">Research indicates that compared with </w:t>
      </w:r>
      <w:r w:rsidR="00081561" w:rsidRPr="00D8046E">
        <w:t>North Americans</w:t>
      </w:r>
      <w:r w:rsidR="00EC1713" w:rsidRPr="00D8046E">
        <w:t xml:space="preserve"> (including Americans and Canadians)</w:t>
      </w:r>
      <w:r w:rsidR="00806B13" w:rsidRPr="00D8046E">
        <w:t xml:space="preserve">, </w:t>
      </w:r>
      <w:r w:rsidR="00081561" w:rsidRPr="00D8046E">
        <w:t>East Asians (including Chinese, Japanese</w:t>
      </w:r>
      <w:r w:rsidR="00EC1713" w:rsidRPr="00D8046E">
        <w:t>,</w:t>
      </w:r>
      <w:r w:rsidR="00081561" w:rsidRPr="00D8046E">
        <w:t xml:space="preserve"> and Koreans) </w:t>
      </w:r>
      <w:r w:rsidR="00806B13" w:rsidRPr="00D8046E">
        <w:t xml:space="preserve">differ in their </w:t>
      </w:r>
      <w:r w:rsidR="00221339" w:rsidRPr="00D8046E">
        <w:t>reasoning about</w:t>
      </w:r>
      <w:r w:rsidR="00806B13" w:rsidRPr="00D8046E">
        <w:t xml:space="preserve"> </w:t>
      </w:r>
      <w:r w:rsidR="00B85FCF" w:rsidRPr="00D8046E">
        <w:t>cause</w:t>
      </w:r>
      <w:r w:rsidR="00F661E9" w:rsidRPr="00D8046E">
        <w:t>-</w:t>
      </w:r>
      <w:r w:rsidR="00B85FCF" w:rsidRPr="00D8046E">
        <w:t>and</w:t>
      </w:r>
      <w:r w:rsidR="00F661E9" w:rsidRPr="00D8046E">
        <w:t>-</w:t>
      </w:r>
      <w:r w:rsidR="00B85FCF" w:rsidRPr="00D8046E">
        <w:t>effect relationships</w:t>
      </w:r>
      <w:r w:rsidR="00806B13" w:rsidRPr="00D8046E">
        <w:t xml:space="preserve"> (</w:t>
      </w:r>
      <w:r w:rsidR="003E0C01" w:rsidRPr="00D8046E">
        <w:rPr>
          <w:rFonts w:cs="Arial"/>
        </w:rPr>
        <w:t xml:space="preserve">Choi, Dalal, Kim-Prieto, &amp; Park, 2003; </w:t>
      </w:r>
      <w:r w:rsidR="00747075" w:rsidRPr="00D8046E">
        <w:t>Nisbett, Peng, Choi, &amp; Norenzayan, 2001</w:t>
      </w:r>
      <w:r w:rsidR="00806B13" w:rsidRPr="00D8046E">
        <w:t>)</w:t>
      </w:r>
      <w:r w:rsidR="00203E2E" w:rsidRPr="00D8046E">
        <w:t xml:space="preserve">. </w:t>
      </w:r>
      <w:r w:rsidR="00F661E9" w:rsidRPr="00D8046E">
        <w:t xml:space="preserve">That is, </w:t>
      </w:r>
      <w:r w:rsidR="00C924DF" w:rsidRPr="00D8046E">
        <w:t xml:space="preserve">East Asians </w:t>
      </w:r>
      <w:r w:rsidR="001927B1" w:rsidRPr="00D8046E">
        <w:t xml:space="preserve">tend to reason holistically, whereas </w:t>
      </w:r>
      <w:r w:rsidR="00C924DF" w:rsidRPr="00D8046E">
        <w:t xml:space="preserve">North Americans </w:t>
      </w:r>
      <w:r w:rsidR="001927B1" w:rsidRPr="00D8046E">
        <w:t xml:space="preserve">tend to reason analytically (Nisbett et al., 2001). </w:t>
      </w:r>
    </w:p>
    <w:p w:rsidR="003E0C01" w:rsidRPr="00D8046E" w:rsidRDefault="003E0C01" w:rsidP="003E0C01">
      <w:pPr>
        <w:spacing w:line="480" w:lineRule="auto"/>
        <w:rPr>
          <w:rFonts w:cs="Arial"/>
        </w:rPr>
      </w:pPr>
      <w:r w:rsidRPr="00D8046E">
        <w:rPr>
          <w:rFonts w:cs="Arial"/>
          <w:i/>
        </w:rPr>
        <w:tab/>
      </w:r>
      <w:r w:rsidR="00CC3D92" w:rsidRPr="00D8046E">
        <w:rPr>
          <w:rFonts w:cs="Arial"/>
        </w:rPr>
        <w:t>Across a variety of domains</w:t>
      </w:r>
      <w:r w:rsidR="00B84EF1" w:rsidRPr="00D8046E">
        <w:rPr>
          <w:rFonts w:cs="Arial"/>
        </w:rPr>
        <w:t xml:space="preserve">, </w:t>
      </w:r>
      <w:r w:rsidR="00E82B06" w:rsidRPr="00D8046E">
        <w:t>East Asians</w:t>
      </w:r>
      <w:r w:rsidR="00E82B06" w:rsidRPr="00D8046E">
        <w:rPr>
          <w:rFonts w:cs="Arial"/>
        </w:rPr>
        <w:t xml:space="preserve"> </w:t>
      </w:r>
      <w:r w:rsidR="00B84EF1" w:rsidRPr="00D8046E">
        <w:rPr>
          <w:rFonts w:cs="Arial"/>
        </w:rPr>
        <w:t xml:space="preserve">attend to </w:t>
      </w:r>
      <w:r w:rsidR="00221339" w:rsidRPr="00D8046E">
        <w:rPr>
          <w:rFonts w:cs="Arial"/>
        </w:rPr>
        <w:t>situational factors</w:t>
      </w:r>
      <w:r w:rsidR="00CC3D92" w:rsidRPr="00D8046E">
        <w:rPr>
          <w:rFonts w:cs="Arial"/>
        </w:rPr>
        <w:t xml:space="preserve"> or </w:t>
      </w:r>
      <w:r w:rsidR="00B84EF1" w:rsidRPr="00D8046E">
        <w:rPr>
          <w:rFonts w:cs="Arial"/>
        </w:rPr>
        <w:t>contexts</w:t>
      </w:r>
      <w:r w:rsidR="00CC3D92" w:rsidRPr="00D8046E">
        <w:rPr>
          <w:rFonts w:cs="Arial"/>
        </w:rPr>
        <w:t xml:space="preserve"> </w:t>
      </w:r>
      <w:r w:rsidR="00B84EF1" w:rsidRPr="00D8046E">
        <w:rPr>
          <w:rFonts w:cs="Arial"/>
        </w:rPr>
        <w:t xml:space="preserve">more than </w:t>
      </w:r>
      <w:r w:rsidR="00E82B06" w:rsidRPr="00D8046E">
        <w:t>North Americans</w:t>
      </w:r>
      <w:r w:rsidR="00E82B06" w:rsidRPr="00D8046E">
        <w:rPr>
          <w:rFonts w:cs="Arial"/>
        </w:rPr>
        <w:t xml:space="preserve"> </w:t>
      </w:r>
      <w:r w:rsidR="00B84EF1" w:rsidRPr="00D8046E">
        <w:rPr>
          <w:rFonts w:cs="Arial"/>
        </w:rPr>
        <w:t xml:space="preserve">do, and </w:t>
      </w:r>
      <w:r w:rsidR="00E82B06" w:rsidRPr="00D8046E">
        <w:t>North Americans</w:t>
      </w:r>
      <w:r w:rsidR="00E82B06" w:rsidRPr="00D8046E">
        <w:rPr>
          <w:rFonts w:cs="Arial"/>
        </w:rPr>
        <w:t xml:space="preserve"> </w:t>
      </w:r>
      <w:r w:rsidR="00B84EF1" w:rsidRPr="00D8046E">
        <w:rPr>
          <w:rFonts w:cs="Arial"/>
        </w:rPr>
        <w:t xml:space="preserve">attend to </w:t>
      </w:r>
      <w:r w:rsidR="00CC3D92" w:rsidRPr="00D8046E">
        <w:rPr>
          <w:rFonts w:cs="Arial"/>
        </w:rPr>
        <w:t xml:space="preserve">focal people or </w:t>
      </w:r>
      <w:r w:rsidR="00B84EF1" w:rsidRPr="00D8046E">
        <w:rPr>
          <w:rFonts w:cs="Arial"/>
        </w:rPr>
        <w:t>objects more than East</w:t>
      </w:r>
      <w:r w:rsidR="004D4974" w:rsidRPr="00D8046E">
        <w:rPr>
          <w:rFonts w:cs="Arial"/>
        </w:rPr>
        <w:t xml:space="preserve"> </w:t>
      </w:r>
      <w:r w:rsidR="004D4974" w:rsidRPr="00D8046E">
        <w:rPr>
          <w:rFonts w:cs="Arial"/>
        </w:rPr>
        <w:lastRenderedPageBreak/>
        <w:t xml:space="preserve">Asians </w:t>
      </w:r>
      <w:r w:rsidR="00B84EF1" w:rsidRPr="00D8046E">
        <w:rPr>
          <w:rFonts w:cs="Arial"/>
        </w:rPr>
        <w:t>do</w:t>
      </w:r>
      <w:r w:rsidR="00617340" w:rsidRPr="00D8046E">
        <w:rPr>
          <w:rFonts w:cs="Arial"/>
        </w:rPr>
        <w:t xml:space="preserve"> (Miller, 1984; Morris &amp; Peng, 1994)</w:t>
      </w:r>
      <w:r w:rsidR="00B84EF1" w:rsidRPr="00D8046E">
        <w:rPr>
          <w:rFonts w:cs="Arial"/>
        </w:rPr>
        <w:t>.</w:t>
      </w:r>
      <w:r w:rsidR="008D1B77" w:rsidRPr="00D8046E">
        <w:rPr>
          <w:rFonts w:cs="Arial"/>
        </w:rPr>
        <w:t xml:space="preserve"> </w:t>
      </w:r>
      <w:r w:rsidR="006E06D9" w:rsidRPr="00D8046E">
        <w:rPr>
          <w:rFonts w:cs="Arial"/>
        </w:rPr>
        <w:t xml:space="preserve">For example, </w:t>
      </w:r>
      <w:r w:rsidR="005E4B9A" w:rsidRPr="00D8046E">
        <w:rPr>
          <w:rFonts w:cs="Arial"/>
        </w:rPr>
        <w:t xml:space="preserve">one set of studies found that </w:t>
      </w:r>
      <w:r w:rsidR="006E06D9" w:rsidRPr="00D8046E">
        <w:rPr>
          <w:rFonts w:cs="Arial"/>
        </w:rPr>
        <w:t>w</w:t>
      </w:r>
      <w:r w:rsidR="008D1B77" w:rsidRPr="00D8046E">
        <w:rPr>
          <w:rFonts w:cs="Arial"/>
        </w:rPr>
        <w:t xml:space="preserve">hen describing an underwater scene, </w:t>
      </w:r>
      <w:r w:rsidR="00D468CF" w:rsidRPr="00D8046E">
        <w:rPr>
          <w:rFonts w:cs="Arial"/>
        </w:rPr>
        <w:t xml:space="preserve">the first element Americans </w:t>
      </w:r>
      <w:r w:rsidR="00F661E9" w:rsidRPr="00D8046E">
        <w:rPr>
          <w:rFonts w:cs="Arial"/>
        </w:rPr>
        <w:t xml:space="preserve">typically </w:t>
      </w:r>
      <w:r w:rsidR="005E4B9A" w:rsidRPr="00D8046E">
        <w:rPr>
          <w:rFonts w:cs="Arial"/>
        </w:rPr>
        <w:t xml:space="preserve">mentioned </w:t>
      </w:r>
      <w:r w:rsidR="00F661E9" w:rsidRPr="00D8046E">
        <w:rPr>
          <w:rFonts w:cs="Arial"/>
        </w:rPr>
        <w:t>was</w:t>
      </w:r>
      <w:r w:rsidR="00D468CF" w:rsidRPr="00D8046E">
        <w:rPr>
          <w:rFonts w:cs="Arial"/>
        </w:rPr>
        <w:t xml:space="preserve"> </w:t>
      </w:r>
      <w:r w:rsidR="00F661E9" w:rsidRPr="00D8046E">
        <w:rPr>
          <w:rFonts w:cs="Arial"/>
        </w:rPr>
        <w:t xml:space="preserve">a </w:t>
      </w:r>
      <w:r w:rsidR="00D468CF" w:rsidRPr="00D8046E">
        <w:rPr>
          <w:rFonts w:cs="Arial"/>
        </w:rPr>
        <w:t xml:space="preserve">focal element, such as a large fish in the center of the picture. In contrast, </w:t>
      </w:r>
      <w:r w:rsidR="00BB1E5D" w:rsidRPr="00D8046E">
        <w:rPr>
          <w:rFonts w:cs="Arial"/>
        </w:rPr>
        <w:t xml:space="preserve">the first element Japanese </w:t>
      </w:r>
      <w:r w:rsidR="00F661E9" w:rsidRPr="00D8046E">
        <w:rPr>
          <w:rFonts w:cs="Arial"/>
        </w:rPr>
        <w:t xml:space="preserve">typically </w:t>
      </w:r>
      <w:r w:rsidR="0036662A" w:rsidRPr="00D8046E">
        <w:rPr>
          <w:rFonts w:cs="Arial"/>
        </w:rPr>
        <w:t xml:space="preserve">mentioned </w:t>
      </w:r>
      <w:r w:rsidR="00F661E9" w:rsidRPr="00D8046E">
        <w:rPr>
          <w:rFonts w:cs="Arial"/>
        </w:rPr>
        <w:t>was</w:t>
      </w:r>
      <w:r w:rsidR="00BB1E5D" w:rsidRPr="00D8046E">
        <w:rPr>
          <w:rFonts w:cs="Arial"/>
        </w:rPr>
        <w:t xml:space="preserve"> a context</w:t>
      </w:r>
      <w:r w:rsidR="001B5F58" w:rsidRPr="00D8046E">
        <w:rPr>
          <w:rFonts w:cs="Arial"/>
        </w:rPr>
        <w:t>ual</w:t>
      </w:r>
      <w:r w:rsidR="00BB1E5D" w:rsidRPr="00D8046E">
        <w:rPr>
          <w:rFonts w:cs="Arial"/>
        </w:rPr>
        <w:t xml:space="preserve"> element, such as </w:t>
      </w:r>
      <w:r w:rsidR="00D468CF" w:rsidRPr="00D8046E">
        <w:rPr>
          <w:rFonts w:cs="Arial"/>
        </w:rPr>
        <w:t xml:space="preserve">seaweed </w:t>
      </w:r>
      <w:r w:rsidR="00700C8E" w:rsidRPr="00D8046E">
        <w:rPr>
          <w:rFonts w:cs="Arial"/>
        </w:rPr>
        <w:t>(Masuda &amp; Nisbett, 2001)</w:t>
      </w:r>
      <w:r w:rsidR="00BB1E5D" w:rsidRPr="00D8046E">
        <w:rPr>
          <w:rFonts w:cs="Arial"/>
        </w:rPr>
        <w:t xml:space="preserve">. </w:t>
      </w:r>
      <w:r w:rsidR="00D468CF" w:rsidRPr="00D8046E">
        <w:rPr>
          <w:rFonts w:cs="Arial"/>
        </w:rPr>
        <w:t xml:space="preserve">In addition, </w:t>
      </w:r>
      <w:r w:rsidR="006E06D9" w:rsidRPr="00D8046E">
        <w:rPr>
          <w:rFonts w:cs="Arial"/>
        </w:rPr>
        <w:t xml:space="preserve">Japanese </w:t>
      </w:r>
      <w:r w:rsidR="00803ADE" w:rsidRPr="00D8046E">
        <w:rPr>
          <w:rFonts w:cs="Arial"/>
        </w:rPr>
        <w:t>focused on</w:t>
      </w:r>
      <w:r w:rsidR="006E06D9" w:rsidRPr="00D8046E">
        <w:rPr>
          <w:rFonts w:cs="Arial"/>
        </w:rPr>
        <w:t xml:space="preserve"> the entire scene as a unit </w:t>
      </w:r>
      <w:r w:rsidR="00514725" w:rsidRPr="00D8046E">
        <w:rPr>
          <w:rFonts w:cs="Arial"/>
        </w:rPr>
        <w:t xml:space="preserve">and their ability to recall a focal object from the scene was impaired when the </w:t>
      </w:r>
      <w:r w:rsidR="00D468CF" w:rsidRPr="00D8046E">
        <w:rPr>
          <w:rFonts w:cs="Arial"/>
        </w:rPr>
        <w:t xml:space="preserve">background </w:t>
      </w:r>
      <w:r w:rsidR="008C4872" w:rsidRPr="00D8046E">
        <w:rPr>
          <w:rFonts w:cs="Arial"/>
        </w:rPr>
        <w:t>was altered.</w:t>
      </w:r>
      <w:r w:rsidR="00514725" w:rsidRPr="00D8046E">
        <w:rPr>
          <w:rFonts w:cs="Arial"/>
        </w:rPr>
        <w:t xml:space="preserve"> </w:t>
      </w:r>
      <w:r w:rsidR="0090258E" w:rsidRPr="00D8046E">
        <w:rPr>
          <w:rFonts w:cs="Arial"/>
        </w:rPr>
        <w:t xml:space="preserve">Alternatively, </w:t>
      </w:r>
      <w:r w:rsidR="006E06D9" w:rsidRPr="00D8046E">
        <w:rPr>
          <w:rFonts w:cs="Arial"/>
        </w:rPr>
        <w:t xml:space="preserve">Americans </w:t>
      </w:r>
      <w:r w:rsidR="00803ADE" w:rsidRPr="00D8046E">
        <w:rPr>
          <w:rFonts w:cs="Arial"/>
        </w:rPr>
        <w:t>focused on the focal objects independent of the background</w:t>
      </w:r>
      <w:r w:rsidR="00514725" w:rsidRPr="00D8046E">
        <w:rPr>
          <w:rFonts w:cs="Arial"/>
        </w:rPr>
        <w:t xml:space="preserve"> and changing the </w:t>
      </w:r>
      <w:r w:rsidR="00D468CF" w:rsidRPr="00D8046E">
        <w:rPr>
          <w:rFonts w:cs="Arial"/>
        </w:rPr>
        <w:t xml:space="preserve">background </w:t>
      </w:r>
      <w:r w:rsidR="00514725" w:rsidRPr="00D8046E">
        <w:rPr>
          <w:rFonts w:cs="Arial"/>
        </w:rPr>
        <w:t>had little or no effect on their ability to recall a focal object</w:t>
      </w:r>
      <w:r w:rsidR="00803ADE" w:rsidRPr="00D8046E">
        <w:rPr>
          <w:rFonts w:cs="Arial"/>
        </w:rPr>
        <w:t xml:space="preserve">. </w:t>
      </w:r>
    </w:p>
    <w:p w:rsidR="001C5DD2" w:rsidRPr="00D8046E" w:rsidRDefault="001C5DD2" w:rsidP="003E0C01">
      <w:pPr>
        <w:spacing w:line="480" w:lineRule="auto"/>
        <w:rPr>
          <w:rFonts w:cs="Arial"/>
        </w:rPr>
      </w:pPr>
      <w:r w:rsidRPr="00D8046E">
        <w:rPr>
          <w:rFonts w:cs="Arial"/>
        </w:rPr>
        <w:tab/>
        <w:t xml:space="preserve">Focusing relatively different amounts of attention </w:t>
      </w:r>
      <w:r w:rsidR="00B07FBB" w:rsidRPr="00D8046E">
        <w:rPr>
          <w:rFonts w:cs="Arial"/>
        </w:rPr>
        <w:t>on</w:t>
      </w:r>
      <w:r w:rsidRPr="00D8046E">
        <w:rPr>
          <w:rFonts w:cs="Arial"/>
        </w:rPr>
        <w:t xml:space="preserve"> focal objects and contexts has implications for </w:t>
      </w:r>
      <w:r w:rsidR="00985181" w:rsidRPr="00D8046E">
        <w:rPr>
          <w:rFonts w:cs="Arial"/>
        </w:rPr>
        <w:t xml:space="preserve">other aspects of cognition, such as </w:t>
      </w:r>
      <w:r w:rsidR="00B07FBB" w:rsidRPr="00D8046E">
        <w:rPr>
          <w:rFonts w:cs="Arial"/>
        </w:rPr>
        <w:t xml:space="preserve">the ability to detect </w:t>
      </w:r>
      <w:r w:rsidRPr="00D8046E">
        <w:rPr>
          <w:rFonts w:cs="Arial"/>
        </w:rPr>
        <w:t>covariation</w:t>
      </w:r>
      <w:r w:rsidR="00B07FBB" w:rsidRPr="00D8046E">
        <w:rPr>
          <w:rFonts w:cs="Arial"/>
        </w:rPr>
        <w:t xml:space="preserve"> among stimuli</w:t>
      </w:r>
      <w:r w:rsidRPr="00D8046E">
        <w:rPr>
          <w:rFonts w:cs="Arial"/>
        </w:rPr>
        <w:t xml:space="preserve">. </w:t>
      </w:r>
      <w:r w:rsidR="00BB1E5D" w:rsidRPr="00D8046E">
        <w:rPr>
          <w:rFonts w:cs="Arial"/>
        </w:rPr>
        <w:t xml:space="preserve">People who focus on focal objects </w:t>
      </w:r>
      <w:r w:rsidR="000C737C" w:rsidRPr="00D8046E">
        <w:rPr>
          <w:rFonts w:cs="Arial"/>
        </w:rPr>
        <w:t xml:space="preserve">more than contexts </w:t>
      </w:r>
      <w:r w:rsidR="00BB1E5D" w:rsidRPr="00D8046E">
        <w:rPr>
          <w:rFonts w:cs="Arial"/>
        </w:rPr>
        <w:t xml:space="preserve">should be less likely to detect covariation between elements in a scene compared with people who attend to </w:t>
      </w:r>
      <w:r w:rsidR="000C737C" w:rsidRPr="00D8046E">
        <w:rPr>
          <w:rFonts w:cs="Arial"/>
        </w:rPr>
        <w:t xml:space="preserve">both focal objects and </w:t>
      </w:r>
      <w:r w:rsidR="00BB1E5D" w:rsidRPr="00D8046E">
        <w:rPr>
          <w:rFonts w:cs="Arial"/>
        </w:rPr>
        <w:t xml:space="preserve">contexts. </w:t>
      </w:r>
      <w:r w:rsidR="00765CC7" w:rsidRPr="00D8046E">
        <w:rPr>
          <w:rFonts w:cs="Arial"/>
        </w:rPr>
        <w:t xml:space="preserve">Ji, Peng, and Nisbett (2000) </w:t>
      </w:r>
      <w:r w:rsidR="001B4471" w:rsidRPr="00D8046E">
        <w:rPr>
          <w:rFonts w:cs="Arial"/>
        </w:rPr>
        <w:t>asked participants to estimate the degree of covariation between images on a computer screen</w:t>
      </w:r>
      <w:r w:rsidR="00F17644" w:rsidRPr="00D8046E">
        <w:rPr>
          <w:rFonts w:cs="Arial"/>
        </w:rPr>
        <w:t xml:space="preserve"> and </w:t>
      </w:r>
      <w:r w:rsidR="00B479EE" w:rsidRPr="00D8046E">
        <w:rPr>
          <w:rFonts w:cs="Arial"/>
        </w:rPr>
        <w:t xml:space="preserve">this is exactly what they </w:t>
      </w:r>
      <w:r w:rsidR="00F17644" w:rsidRPr="00D8046E">
        <w:rPr>
          <w:rFonts w:cs="Arial"/>
        </w:rPr>
        <w:t>found</w:t>
      </w:r>
      <w:r w:rsidR="00F661E9" w:rsidRPr="00D8046E">
        <w:rPr>
          <w:rFonts w:cs="Arial"/>
        </w:rPr>
        <w:t>. That is,</w:t>
      </w:r>
      <w:r w:rsidR="00B479EE" w:rsidRPr="00D8046E">
        <w:rPr>
          <w:rFonts w:cs="Arial"/>
        </w:rPr>
        <w:t xml:space="preserve"> </w:t>
      </w:r>
      <w:r w:rsidR="00F661E9" w:rsidRPr="00D8046E">
        <w:rPr>
          <w:rFonts w:cs="Arial"/>
        </w:rPr>
        <w:t>c</w:t>
      </w:r>
      <w:r w:rsidR="00692FAC" w:rsidRPr="00D8046E">
        <w:rPr>
          <w:rFonts w:cs="Arial"/>
        </w:rPr>
        <w:t xml:space="preserve">ompared with American estimates, </w:t>
      </w:r>
      <w:r w:rsidR="001B4471" w:rsidRPr="00D8046E">
        <w:rPr>
          <w:rFonts w:cs="Arial"/>
        </w:rPr>
        <w:t xml:space="preserve">Chinese estimates were </w:t>
      </w:r>
      <w:r w:rsidR="00C82B66" w:rsidRPr="00D8046E">
        <w:rPr>
          <w:rFonts w:cs="Arial"/>
        </w:rPr>
        <w:t>better calibrated</w:t>
      </w:r>
      <w:r w:rsidR="005C1226" w:rsidRPr="00D8046E">
        <w:rPr>
          <w:rFonts w:cs="Arial"/>
        </w:rPr>
        <w:t xml:space="preserve"> with actual levels</w:t>
      </w:r>
      <w:r w:rsidR="001B4471" w:rsidRPr="00D8046E">
        <w:rPr>
          <w:rFonts w:cs="Arial"/>
        </w:rPr>
        <w:t xml:space="preserve"> </w:t>
      </w:r>
      <w:r w:rsidR="00692FAC" w:rsidRPr="00D8046E">
        <w:rPr>
          <w:rFonts w:cs="Arial"/>
        </w:rPr>
        <w:t>of covariation</w:t>
      </w:r>
      <w:r w:rsidR="001B4471" w:rsidRPr="00D8046E">
        <w:rPr>
          <w:rFonts w:cs="Arial"/>
        </w:rPr>
        <w:t>.</w:t>
      </w:r>
    </w:p>
    <w:p w:rsidR="00203E2E" w:rsidRPr="00D8046E" w:rsidRDefault="005C5A41" w:rsidP="00532E56">
      <w:pPr>
        <w:spacing w:line="480" w:lineRule="auto"/>
        <w:ind w:firstLine="720"/>
        <w:rPr>
          <w:rFonts w:cs="Arial"/>
        </w:rPr>
      </w:pPr>
      <w:r w:rsidRPr="00D8046E">
        <w:rPr>
          <w:rFonts w:cs="Arial"/>
        </w:rPr>
        <w:t xml:space="preserve">If Easterners attend more to contextual elements and notice </w:t>
      </w:r>
      <w:r w:rsidR="00C3772D" w:rsidRPr="00D8046E">
        <w:rPr>
          <w:rFonts w:cs="Arial"/>
        </w:rPr>
        <w:t>a greater degree of</w:t>
      </w:r>
      <w:r w:rsidRPr="00D8046E">
        <w:rPr>
          <w:rFonts w:cs="Arial"/>
        </w:rPr>
        <w:t xml:space="preserve"> covariation between elements</w:t>
      </w:r>
      <w:r w:rsidR="00066CFC" w:rsidRPr="00D8046E">
        <w:rPr>
          <w:rFonts w:cs="Arial"/>
        </w:rPr>
        <w:t xml:space="preserve"> than do North Americans</w:t>
      </w:r>
      <w:r w:rsidRPr="00D8046E">
        <w:rPr>
          <w:rFonts w:cs="Arial"/>
        </w:rPr>
        <w:t xml:space="preserve">, then they should explain </w:t>
      </w:r>
      <w:r w:rsidR="00281BBC" w:rsidRPr="00D8046E">
        <w:rPr>
          <w:rFonts w:cs="Arial"/>
        </w:rPr>
        <w:t>effects</w:t>
      </w:r>
      <w:r w:rsidRPr="00D8046E">
        <w:rPr>
          <w:rFonts w:cs="Arial"/>
        </w:rPr>
        <w:t xml:space="preserve"> differently. T</w:t>
      </w:r>
      <w:r w:rsidR="00203E2E" w:rsidRPr="00D8046E">
        <w:rPr>
          <w:rFonts w:cs="Arial"/>
        </w:rPr>
        <w:t xml:space="preserve">his pattern </w:t>
      </w:r>
      <w:r w:rsidRPr="00D8046E">
        <w:rPr>
          <w:rFonts w:cs="Arial"/>
        </w:rPr>
        <w:t>h</w:t>
      </w:r>
      <w:r w:rsidR="00203E2E" w:rsidRPr="00D8046E">
        <w:rPr>
          <w:rFonts w:cs="Arial"/>
        </w:rPr>
        <w:t>a</w:t>
      </w:r>
      <w:r w:rsidRPr="00D8046E">
        <w:rPr>
          <w:rFonts w:cs="Arial"/>
        </w:rPr>
        <w:t>s been found when people make attributions. When pe</w:t>
      </w:r>
      <w:r w:rsidR="00F661E9" w:rsidRPr="00D8046E">
        <w:rPr>
          <w:rFonts w:cs="Arial"/>
        </w:rPr>
        <w:t>ople observe a person’s behavio</w:t>
      </w:r>
      <w:r w:rsidRPr="00D8046E">
        <w:rPr>
          <w:rFonts w:cs="Arial"/>
        </w:rPr>
        <w:t>r in a social situation, a number of elements</w:t>
      </w:r>
      <w:r w:rsidR="00F661E9" w:rsidRPr="00D8046E">
        <w:rPr>
          <w:rFonts w:cs="Arial"/>
        </w:rPr>
        <w:t xml:space="preserve"> are</w:t>
      </w:r>
      <w:r w:rsidRPr="00D8046E">
        <w:rPr>
          <w:rFonts w:cs="Arial"/>
        </w:rPr>
        <w:t xml:space="preserve"> present other than the person. </w:t>
      </w:r>
      <w:r w:rsidR="00F661E9" w:rsidRPr="00D8046E">
        <w:rPr>
          <w:rFonts w:cs="Arial"/>
        </w:rPr>
        <w:t xml:space="preserve">That is, </w:t>
      </w:r>
      <w:r w:rsidRPr="00D8046E">
        <w:rPr>
          <w:rFonts w:cs="Arial"/>
        </w:rPr>
        <w:t xml:space="preserve">other people </w:t>
      </w:r>
      <w:r w:rsidR="00F661E9" w:rsidRPr="00D8046E">
        <w:rPr>
          <w:rFonts w:cs="Arial"/>
        </w:rPr>
        <w:t xml:space="preserve">are often </w:t>
      </w:r>
      <w:r w:rsidRPr="00D8046E">
        <w:rPr>
          <w:rFonts w:cs="Arial"/>
        </w:rPr>
        <w:t xml:space="preserve">involved and there is a surrounding context </w:t>
      </w:r>
      <w:r w:rsidR="007362C0" w:rsidRPr="00D8046E">
        <w:rPr>
          <w:rFonts w:cs="Arial"/>
        </w:rPr>
        <w:t xml:space="preserve">or situation </w:t>
      </w:r>
      <w:r w:rsidRPr="00D8046E">
        <w:rPr>
          <w:rFonts w:cs="Arial"/>
        </w:rPr>
        <w:t xml:space="preserve">in which the person is acting. </w:t>
      </w:r>
      <w:r w:rsidR="00FA7DB7" w:rsidRPr="00D8046E">
        <w:rPr>
          <w:rFonts w:cs="Arial"/>
        </w:rPr>
        <w:t xml:space="preserve">If an observer focuses relatively more attention on the situation, then she should be more likely to attribute causality to that situation. Alternatively, if an observer focuses </w:t>
      </w:r>
      <w:r w:rsidR="00FA7DB7" w:rsidRPr="00D8046E">
        <w:rPr>
          <w:rFonts w:cs="Arial"/>
        </w:rPr>
        <w:lastRenderedPageBreak/>
        <w:t>relatively more attention on the focal person, then she should attribute causality to that person. Consistent with this reasoning, p</w:t>
      </w:r>
      <w:r w:rsidR="00CA1573" w:rsidRPr="00D8046E">
        <w:rPr>
          <w:rFonts w:cs="Arial"/>
        </w:rPr>
        <w:t xml:space="preserve">ast research has shown that Asians </w:t>
      </w:r>
      <w:r w:rsidRPr="00D8046E">
        <w:rPr>
          <w:rFonts w:cs="Arial"/>
        </w:rPr>
        <w:t xml:space="preserve">tend to make more situational attributions whereas </w:t>
      </w:r>
      <w:r w:rsidR="00543468" w:rsidRPr="00D8046E">
        <w:rPr>
          <w:rFonts w:cs="Arial"/>
        </w:rPr>
        <w:t>Americans</w:t>
      </w:r>
      <w:r w:rsidRPr="00D8046E">
        <w:rPr>
          <w:rFonts w:cs="Arial"/>
        </w:rPr>
        <w:t xml:space="preserve"> tend to make more dispositional attributions (</w:t>
      </w:r>
      <w:r w:rsidR="00CA1573" w:rsidRPr="00D8046E">
        <w:rPr>
          <w:rFonts w:cs="Arial"/>
        </w:rPr>
        <w:t xml:space="preserve">e.g., </w:t>
      </w:r>
      <w:r w:rsidRPr="00D8046E">
        <w:rPr>
          <w:rFonts w:cs="Arial"/>
        </w:rPr>
        <w:t>Miller, 1984</w:t>
      </w:r>
      <w:r w:rsidR="00CA1573" w:rsidRPr="00D8046E">
        <w:rPr>
          <w:rFonts w:cs="Arial"/>
        </w:rPr>
        <w:t xml:space="preserve"> with Indian participants</w:t>
      </w:r>
      <w:r w:rsidR="0041507C" w:rsidRPr="00D8046E">
        <w:rPr>
          <w:rFonts w:cs="Arial"/>
        </w:rPr>
        <w:t xml:space="preserve">; </w:t>
      </w:r>
      <w:r w:rsidRPr="00D8046E">
        <w:rPr>
          <w:rFonts w:cs="Arial"/>
        </w:rPr>
        <w:t>Morris &amp; Peng, 1994</w:t>
      </w:r>
      <w:r w:rsidR="00CA1573" w:rsidRPr="00D8046E">
        <w:rPr>
          <w:rFonts w:cs="Arial"/>
        </w:rPr>
        <w:t xml:space="preserve"> with Chinese participants</w:t>
      </w:r>
      <w:r w:rsidRPr="00D8046E">
        <w:rPr>
          <w:rFonts w:cs="Arial"/>
        </w:rPr>
        <w:t>).</w:t>
      </w:r>
    </w:p>
    <w:p w:rsidR="00992EE6" w:rsidRPr="00D8046E" w:rsidRDefault="00B96AF8" w:rsidP="00532E56">
      <w:pPr>
        <w:spacing w:line="480" w:lineRule="auto"/>
        <w:ind w:firstLine="720"/>
        <w:rPr>
          <w:rFonts w:cs="Arial"/>
        </w:rPr>
      </w:pPr>
      <w:r w:rsidRPr="00D8046E">
        <w:rPr>
          <w:rFonts w:cs="Arial"/>
        </w:rPr>
        <w:t>Choi</w:t>
      </w:r>
      <w:r w:rsidR="00532E56" w:rsidRPr="00D8046E">
        <w:rPr>
          <w:rFonts w:cs="Arial"/>
        </w:rPr>
        <w:t xml:space="preserve"> </w:t>
      </w:r>
      <w:r w:rsidR="00F661E9" w:rsidRPr="00D8046E">
        <w:rPr>
          <w:rFonts w:cs="Arial"/>
        </w:rPr>
        <w:t>et al.</w:t>
      </w:r>
      <w:r w:rsidRPr="00D8046E">
        <w:rPr>
          <w:rFonts w:cs="Arial"/>
        </w:rPr>
        <w:t xml:space="preserve"> (2003) </w:t>
      </w:r>
      <w:r w:rsidR="009B425E" w:rsidRPr="00D8046E">
        <w:rPr>
          <w:rFonts w:cs="Arial"/>
        </w:rPr>
        <w:t xml:space="preserve">further </w:t>
      </w:r>
      <w:r w:rsidR="00806B13" w:rsidRPr="00D8046E">
        <w:rPr>
          <w:rFonts w:cs="Arial"/>
        </w:rPr>
        <w:t xml:space="preserve">explicated </w:t>
      </w:r>
      <w:r w:rsidR="00425C66" w:rsidRPr="00D8046E">
        <w:rPr>
          <w:rFonts w:cs="Arial"/>
        </w:rPr>
        <w:t>the cultural</w:t>
      </w:r>
      <w:r w:rsidR="00806B13" w:rsidRPr="00D8046E">
        <w:rPr>
          <w:rFonts w:cs="Arial"/>
        </w:rPr>
        <w:t xml:space="preserve"> differences </w:t>
      </w:r>
      <w:r w:rsidR="00425C66" w:rsidRPr="00D8046E">
        <w:rPr>
          <w:rFonts w:cs="Arial"/>
        </w:rPr>
        <w:t xml:space="preserve">in reasoning </w:t>
      </w:r>
      <w:r w:rsidR="00806B13" w:rsidRPr="00D8046E">
        <w:rPr>
          <w:rFonts w:cs="Arial"/>
        </w:rPr>
        <w:t xml:space="preserve">by </w:t>
      </w:r>
      <w:r w:rsidR="00EA632F">
        <w:rPr>
          <w:rFonts w:cs="Arial"/>
        </w:rPr>
        <w:t>providing evidence</w:t>
      </w:r>
      <w:r w:rsidR="00EA632F" w:rsidRPr="00D8046E">
        <w:rPr>
          <w:rFonts w:cs="Arial"/>
        </w:rPr>
        <w:t xml:space="preserve"> </w:t>
      </w:r>
      <w:r w:rsidR="00203E2E" w:rsidRPr="00D8046E">
        <w:rPr>
          <w:rFonts w:cs="Arial"/>
        </w:rPr>
        <w:t xml:space="preserve">that </w:t>
      </w:r>
      <w:r w:rsidR="001C6757" w:rsidRPr="00D8046E">
        <w:rPr>
          <w:rFonts w:cs="Arial"/>
        </w:rPr>
        <w:t xml:space="preserve">Easterners </w:t>
      </w:r>
      <w:r w:rsidR="00EA632F">
        <w:rPr>
          <w:rFonts w:cs="Arial"/>
        </w:rPr>
        <w:t>may</w:t>
      </w:r>
      <w:r w:rsidR="00EA632F" w:rsidRPr="00D8046E">
        <w:rPr>
          <w:rFonts w:cs="Arial"/>
        </w:rPr>
        <w:t xml:space="preserve"> </w:t>
      </w:r>
      <w:r w:rsidR="001C6757" w:rsidRPr="00D8046E">
        <w:rPr>
          <w:rFonts w:cs="Arial"/>
        </w:rPr>
        <w:t>have more complex causal theories and therefore consider more causal factors in their</w:t>
      </w:r>
      <w:r w:rsidRPr="00D8046E">
        <w:rPr>
          <w:rFonts w:cs="Arial"/>
        </w:rPr>
        <w:t xml:space="preserve"> </w:t>
      </w:r>
      <w:r w:rsidR="001C6757" w:rsidRPr="00D8046E">
        <w:rPr>
          <w:rFonts w:cs="Arial"/>
        </w:rPr>
        <w:t xml:space="preserve">attributions than </w:t>
      </w:r>
      <w:r w:rsidR="008A017B" w:rsidRPr="00D8046E">
        <w:rPr>
          <w:rFonts w:cs="Arial"/>
        </w:rPr>
        <w:t xml:space="preserve">do Westerners, who </w:t>
      </w:r>
      <w:r w:rsidR="00EA632F">
        <w:rPr>
          <w:rFonts w:cs="Arial"/>
        </w:rPr>
        <w:t>may</w:t>
      </w:r>
      <w:r w:rsidR="00EA632F" w:rsidRPr="00D8046E">
        <w:rPr>
          <w:rFonts w:cs="Arial"/>
        </w:rPr>
        <w:t xml:space="preserve"> </w:t>
      </w:r>
      <w:r w:rsidR="001C6757" w:rsidRPr="00D8046E">
        <w:rPr>
          <w:rFonts w:cs="Arial"/>
        </w:rPr>
        <w:t>have relatively simple causal theories.</w:t>
      </w:r>
      <w:r w:rsidR="00532E56" w:rsidRPr="00D8046E">
        <w:rPr>
          <w:rFonts w:cs="Arial"/>
        </w:rPr>
        <w:t xml:space="preserve"> </w:t>
      </w:r>
      <w:r w:rsidR="006745B0" w:rsidRPr="00D8046E">
        <w:rPr>
          <w:rFonts w:cs="Arial"/>
        </w:rPr>
        <w:t xml:space="preserve">For example, </w:t>
      </w:r>
      <w:r w:rsidR="00702AA6" w:rsidRPr="00D8046E">
        <w:rPr>
          <w:rFonts w:cs="Arial"/>
        </w:rPr>
        <w:t xml:space="preserve">in Choi et al., </w:t>
      </w:r>
      <w:r w:rsidR="007E15B9" w:rsidRPr="00D8046E">
        <w:rPr>
          <w:rFonts w:cs="Arial"/>
        </w:rPr>
        <w:t xml:space="preserve">American and Korean </w:t>
      </w:r>
      <w:r w:rsidR="006745B0" w:rsidRPr="00D8046E">
        <w:rPr>
          <w:rFonts w:cs="Arial"/>
        </w:rPr>
        <w:t>p</w:t>
      </w:r>
      <w:r w:rsidR="00532E56" w:rsidRPr="00D8046E">
        <w:rPr>
          <w:rFonts w:cs="Arial"/>
        </w:rPr>
        <w:t>articipants read that</w:t>
      </w:r>
      <w:r w:rsidR="006D7B3D">
        <w:rPr>
          <w:rFonts w:cs="Arial"/>
        </w:rPr>
        <w:t xml:space="preserve"> a</w:t>
      </w:r>
      <w:r w:rsidR="00532E56" w:rsidRPr="00D8046E">
        <w:rPr>
          <w:rFonts w:cs="Arial"/>
        </w:rPr>
        <w:t xml:space="preserve"> graduate student killed his or her advisor</w:t>
      </w:r>
      <w:r w:rsidR="006D7B3D">
        <w:rPr>
          <w:rFonts w:cs="Arial"/>
        </w:rPr>
        <w:t xml:space="preserve">, along with </w:t>
      </w:r>
      <w:r w:rsidR="00AB6B40" w:rsidRPr="00D8046E">
        <w:rPr>
          <w:rFonts w:cs="Arial"/>
        </w:rPr>
        <w:t>97 pieces of information</w:t>
      </w:r>
      <w:r w:rsidR="006D7B3D">
        <w:rPr>
          <w:rFonts w:cs="Arial"/>
        </w:rPr>
        <w:t xml:space="preserve"> related to the student or advisor.  When </w:t>
      </w:r>
      <w:r w:rsidR="00D869F3">
        <w:rPr>
          <w:rFonts w:cs="Arial"/>
        </w:rPr>
        <w:t>asked to select</w:t>
      </w:r>
      <w:r w:rsidR="00D869F3" w:rsidRPr="00D8046E">
        <w:rPr>
          <w:rFonts w:cs="Arial"/>
        </w:rPr>
        <w:t xml:space="preserve"> </w:t>
      </w:r>
      <w:r w:rsidR="009357A6" w:rsidRPr="00D8046E">
        <w:rPr>
          <w:rFonts w:cs="Arial"/>
        </w:rPr>
        <w:t xml:space="preserve">items that were </w:t>
      </w:r>
      <w:r w:rsidR="007B5F86">
        <w:rPr>
          <w:rFonts w:cs="Arial"/>
        </w:rPr>
        <w:t>pertinent</w:t>
      </w:r>
      <w:r w:rsidR="007B5F86" w:rsidRPr="00D8046E">
        <w:rPr>
          <w:rFonts w:cs="Arial"/>
        </w:rPr>
        <w:t xml:space="preserve"> </w:t>
      </w:r>
      <w:r w:rsidR="009357A6" w:rsidRPr="00D8046E">
        <w:rPr>
          <w:rFonts w:cs="Arial"/>
        </w:rPr>
        <w:t xml:space="preserve">to establishing a motive for the </w:t>
      </w:r>
      <w:r w:rsidR="00D869F3">
        <w:rPr>
          <w:rFonts w:cs="Arial"/>
        </w:rPr>
        <w:t>murde</w:t>
      </w:r>
      <w:r w:rsidR="006D7B3D">
        <w:rPr>
          <w:rFonts w:cs="Arial"/>
        </w:rPr>
        <w:t>r</w:t>
      </w:r>
      <w:r w:rsidR="00D869F3">
        <w:rPr>
          <w:rFonts w:cs="Arial"/>
        </w:rPr>
        <w:t>,</w:t>
      </w:r>
      <w:r w:rsidR="006D7B3D">
        <w:rPr>
          <w:rFonts w:cs="Arial"/>
        </w:rPr>
        <w:t xml:space="preserve"> </w:t>
      </w:r>
      <w:r w:rsidR="00AF6E4E" w:rsidRPr="00D8046E">
        <w:rPr>
          <w:rFonts w:cs="Arial"/>
        </w:rPr>
        <w:t>Koreans</w:t>
      </w:r>
      <w:r w:rsidR="009357A6" w:rsidRPr="00D8046E">
        <w:rPr>
          <w:rFonts w:cs="Arial"/>
        </w:rPr>
        <w:t xml:space="preserve"> </w:t>
      </w:r>
      <w:r w:rsidR="00C26472" w:rsidRPr="00D8046E">
        <w:rPr>
          <w:rFonts w:cs="Arial"/>
        </w:rPr>
        <w:t>considered a greater number of</w:t>
      </w:r>
      <w:r w:rsidR="009357A6" w:rsidRPr="00D8046E">
        <w:rPr>
          <w:rFonts w:cs="Arial"/>
        </w:rPr>
        <w:t xml:space="preserve"> items </w:t>
      </w:r>
      <w:r w:rsidR="00147F3D" w:rsidRPr="00D8046E">
        <w:rPr>
          <w:rFonts w:cs="Arial"/>
        </w:rPr>
        <w:t xml:space="preserve">as relevant </w:t>
      </w:r>
      <w:r w:rsidR="00DE7526" w:rsidRPr="00D8046E">
        <w:rPr>
          <w:rFonts w:cs="Arial"/>
        </w:rPr>
        <w:t>than did</w:t>
      </w:r>
      <w:r w:rsidR="009357A6" w:rsidRPr="00D8046E">
        <w:rPr>
          <w:rFonts w:cs="Arial"/>
        </w:rPr>
        <w:t xml:space="preserve"> </w:t>
      </w:r>
      <w:r w:rsidR="00AF6E4E" w:rsidRPr="00D8046E">
        <w:rPr>
          <w:rFonts w:cs="Arial"/>
        </w:rPr>
        <w:t>Americans</w:t>
      </w:r>
      <w:r w:rsidR="009357A6" w:rsidRPr="00D8046E">
        <w:rPr>
          <w:rFonts w:cs="Arial"/>
        </w:rPr>
        <w:t xml:space="preserve">. </w:t>
      </w:r>
      <w:r w:rsidR="00733F7E" w:rsidRPr="00D8046E">
        <w:rPr>
          <w:rFonts w:cs="Arial"/>
        </w:rPr>
        <w:t>Additionally</w:t>
      </w:r>
      <w:r w:rsidR="009357A6" w:rsidRPr="00D8046E">
        <w:rPr>
          <w:rFonts w:cs="Arial"/>
        </w:rPr>
        <w:t xml:space="preserve">, Choi </w:t>
      </w:r>
      <w:r w:rsidR="00EC50E1" w:rsidRPr="00D8046E">
        <w:rPr>
          <w:rFonts w:cs="Arial"/>
        </w:rPr>
        <w:t>et al.</w:t>
      </w:r>
      <w:r w:rsidR="009357A6" w:rsidRPr="00D8046E">
        <w:rPr>
          <w:rFonts w:cs="Arial"/>
        </w:rPr>
        <w:t xml:space="preserve"> developed and</w:t>
      </w:r>
      <w:r w:rsidR="0032125E" w:rsidRPr="00D8046E">
        <w:rPr>
          <w:rFonts w:cs="Arial"/>
        </w:rPr>
        <w:t xml:space="preserve"> included a 10-item measure of h</w:t>
      </w:r>
      <w:r w:rsidR="009357A6" w:rsidRPr="00D8046E">
        <w:rPr>
          <w:rFonts w:cs="Arial"/>
        </w:rPr>
        <w:t xml:space="preserve">olistic tendency. </w:t>
      </w:r>
      <w:r w:rsidR="00733F7E" w:rsidRPr="00D8046E">
        <w:rPr>
          <w:rFonts w:cs="Arial"/>
        </w:rPr>
        <w:t xml:space="preserve">The measure included statements such as, “Any phenomenon has numerous numbers of causes, although some of the causes are not known.” </w:t>
      </w:r>
      <w:r w:rsidR="0096366C">
        <w:rPr>
          <w:rFonts w:cs="Arial"/>
        </w:rPr>
        <w:t xml:space="preserve">They found that </w:t>
      </w:r>
      <w:r w:rsidR="00AF6E4E" w:rsidRPr="00D8046E">
        <w:rPr>
          <w:rFonts w:cs="Arial"/>
        </w:rPr>
        <w:t xml:space="preserve">Koreans were more holistic than </w:t>
      </w:r>
      <w:r w:rsidR="003A590D" w:rsidRPr="00D8046E">
        <w:rPr>
          <w:rFonts w:cs="Arial"/>
        </w:rPr>
        <w:t xml:space="preserve">were </w:t>
      </w:r>
      <w:r w:rsidR="00AF6E4E" w:rsidRPr="00D8046E">
        <w:rPr>
          <w:rFonts w:cs="Arial"/>
        </w:rPr>
        <w:t>Americans, and within each culture</w:t>
      </w:r>
      <w:r w:rsidR="00147F3D" w:rsidRPr="00D8046E">
        <w:rPr>
          <w:rFonts w:cs="Arial"/>
        </w:rPr>
        <w:t>,</w:t>
      </w:r>
      <w:r w:rsidRPr="00D8046E">
        <w:rPr>
          <w:rFonts w:cs="Arial"/>
        </w:rPr>
        <w:t xml:space="preserve"> </w:t>
      </w:r>
      <w:r w:rsidR="003A590D" w:rsidRPr="00D8046E">
        <w:rPr>
          <w:rFonts w:cs="Arial"/>
        </w:rPr>
        <w:t>t</w:t>
      </w:r>
      <w:r w:rsidR="00AF6E4E" w:rsidRPr="00D8046E">
        <w:rPr>
          <w:rFonts w:cs="Arial"/>
        </w:rPr>
        <w:t xml:space="preserve">he higher a participant’s holistic tendency, the greater </w:t>
      </w:r>
      <w:r w:rsidR="00147F3D" w:rsidRPr="00D8046E">
        <w:rPr>
          <w:rFonts w:cs="Arial"/>
        </w:rPr>
        <w:t xml:space="preserve">the </w:t>
      </w:r>
      <w:r w:rsidR="00AF6E4E" w:rsidRPr="00D8046E">
        <w:rPr>
          <w:rFonts w:cs="Arial"/>
        </w:rPr>
        <w:t>number of items considered relevant</w:t>
      </w:r>
      <w:r w:rsidR="000654FE" w:rsidRPr="00D8046E">
        <w:rPr>
          <w:rFonts w:cs="Arial"/>
        </w:rPr>
        <w:t xml:space="preserve"> to establishing a motive</w:t>
      </w:r>
      <w:r w:rsidR="00AF6E4E" w:rsidRPr="00D8046E">
        <w:rPr>
          <w:rFonts w:cs="Arial"/>
        </w:rPr>
        <w:t>.</w:t>
      </w:r>
    </w:p>
    <w:p w:rsidR="005726C0" w:rsidRPr="00D8046E" w:rsidRDefault="005726C0" w:rsidP="005726C0">
      <w:pPr>
        <w:spacing w:line="480" w:lineRule="auto"/>
        <w:rPr>
          <w:rFonts w:cs="Arial"/>
        </w:rPr>
      </w:pPr>
      <w:r w:rsidRPr="00D8046E">
        <w:rPr>
          <w:rFonts w:cs="Arial"/>
          <w:i/>
        </w:rPr>
        <w:t>Present Research</w:t>
      </w:r>
    </w:p>
    <w:p w:rsidR="00326A29" w:rsidRDefault="007D4143" w:rsidP="006745B0">
      <w:pPr>
        <w:spacing w:line="480" w:lineRule="auto"/>
        <w:ind w:firstLine="720"/>
      </w:pPr>
      <w:r w:rsidRPr="00D8046E">
        <w:t>To summarize</w:t>
      </w:r>
      <w:r w:rsidR="00CE48BD" w:rsidRPr="00D8046E">
        <w:t xml:space="preserve"> the cross-cultural literature</w:t>
      </w:r>
      <w:r w:rsidRPr="00D8046E">
        <w:t xml:space="preserve">, </w:t>
      </w:r>
      <w:r w:rsidR="00911FEA" w:rsidRPr="00D8046E">
        <w:t>East Asians reason holistically whereas North Americans reason analytically</w:t>
      </w:r>
      <w:r w:rsidR="00911FEA">
        <w:t xml:space="preserve">. It is important to note that holism </w:t>
      </w:r>
      <w:r w:rsidR="00EA632F">
        <w:t>does</w:t>
      </w:r>
      <w:r w:rsidR="00911FEA">
        <w:t xml:space="preserve"> not </w:t>
      </w:r>
      <w:r w:rsidR="00EA632F">
        <w:t xml:space="preserve">appear to be </w:t>
      </w:r>
      <w:r w:rsidR="00911FEA">
        <w:t xml:space="preserve">a simple uniform construct determined by a single cognitive mechanism. </w:t>
      </w:r>
      <w:r w:rsidR="00EA632F">
        <w:t>For example, r</w:t>
      </w:r>
      <w:r w:rsidR="00911FEA">
        <w:t>esearchers have focused on at least four factors under the umbrella term holism: causality</w:t>
      </w:r>
      <w:r w:rsidR="0096366C">
        <w:t xml:space="preserve"> (Choi et al., 2003)</w:t>
      </w:r>
      <w:r w:rsidR="00911FEA">
        <w:t>, attitude toward contradiction</w:t>
      </w:r>
      <w:r w:rsidR="0096366C">
        <w:t xml:space="preserve"> (e.g., Peng &amp; Nisbett, 1999)</w:t>
      </w:r>
      <w:r w:rsidR="00911FEA">
        <w:t>, perception of change</w:t>
      </w:r>
      <w:r w:rsidR="0096366C">
        <w:t xml:space="preserve"> (Ji, Nisbett, &amp; Su, 2001)</w:t>
      </w:r>
      <w:r w:rsidR="00911FEA">
        <w:t>, and locus of attention</w:t>
      </w:r>
      <w:r w:rsidR="00911FEA" w:rsidRPr="00E774D8">
        <w:t xml:space="preserve"> </w:t>
      </w:r>
      <w:r w:rsidR="00EB6FE2">
        <w:t>(</w:t>
      </w:r>
      <w:r w:rsidR="0096366C">
        <w:t>e.g., Masuda &amp; Nisbett, 2001</w:t>
      </w:r>
      <w:r w:rsidR="00911FEA">
        <w:t xml:space="preserve">; </w:t>
      </w:r>
      <w:r w:rsidR="0096366C">
        <w:t xml:space="preserve">see also </w:t>
      </w:r>
      <w:r w:rsidR="00EB6FE2">
        <w:t xml:space="preserve">Nisbett et al., </w:t>
      </w:r>
      <w:r w:rsidR="00911FEA">
        <w:t xml:space="preserve">2001). </w:t>
      </w:r>
      <w:r w:rsidR="00911FEA">
        <w:lastRenderedPageBreak/>
        <w:t xml:space="preserve">The present research focused on the causality factor. </w:t>
      </w:r>
      <w:r w:rsidR="00CB4F89">
        <w:t xml:space="preserve">With respect to causality, </w:t>
      </w:r>
      <w:r w:rsidR="00E55AB1" w:rsidRPr="00D8046E">
        <w:t>East Asians</w:t>
      </w:r>
      <w:r w:rsidR="00B96AF8" w:rsidRPr="00D8046E">
        <w:t xml:space="preserve"> reason holistically by</w:t>
      </w:r>
      <w:r w:rsidR="00911FEA">
        <w:t xml:space="preserve"> </w:t>
      </w:r>
      <w:r w:rsidR="00B96AF8" w:rsidRPr="00D8046E">
        <w:t>focus</w:t>
      </w:r>
      <w:r w:rsidR="00AC75F8">
        <w:t>ing</w:t>
      </w:r>
      <w:r w:rsidR="00B96AF8" w:rsidRPr="00D8046E">
        <w:t xml:space="preserve"> on </w:t>
      </w:r>
      <w:r w:rsidR="00CE48BD" w:rsidRPr="00D8046E">
        <w:t>many</w:t>
      </w:r>
      <w:r w:rsidR="00B96AF8" w:rsidRPr="00D8046E">
        <w:t xml:space="preserve"> </w:t>
      </w:r>
      <w:r w:rsidR="00D44345">
        <w:t>causes</w:t>
      </w:r>
      <w:r w:rsidR="00702AA6" w:rsidRPr="00D8046E">
        <w:t>,</w:t>
      </w:r>
      <w:r w:rsidR="00B96AF8" w:rsidRPr="00D8046E">
        <w:t xml:space="preserve"> whereas </w:t>
      </w:r>
      <w:r w:rsidR="00E55AB1" w:rsidRPr="00D8046E">
        <w:t>North Americans</w:t>
      </w:r>
      <w:r w:rsidR="00B96AF8" w:rsidRPr="00D8046E">
        <w:t xml:space="preserve"> </w:t>
      </w:r>
      <w:r w:rsidR="002F057A" w:rsidRPr="00D8046E">
        <w:t>reason analytically by</w:t>
      </w:r>
      <w:r w:rsidR="00911FEA">
        <w:t xml:space="preserve"> </w:t>
      </w:r>
      <w:r w:rsidR="00B96AF8" w:rsidRPr="00D8046E">
        <w:t>focus</w:t>
      </w:r>
      <w:r w:rsidR="00AC75F8">
        <w:t>ing</w:t>
      </w:r>
      <w:r w:rsidR="00B96AF8" w:rsidRPr="00D8046E">
        <w:t xml:space="preserve"> on </w:t>
      </w:r>
      <w:r w:rsidR="003B2443" w:rsidRPr="00D8046E">
        <w:t>relatively fewer</w:t>
      </w:r>
      <w:r w:rsidR="00B96AF8" w:rsidRPr="00D8046E">
        <w:t xml:space="preserve"> </w:t>
      </w:r>
      <w:r w:rsidR="00D44345">
        <w:t>causes</w:t>
      </w:r>
      <w:r w:rsidR="00A30900" w:rsidRPr="00D8046E">
        <w:t xml:space="preserve"> (Choi, </w:t>
      </w:r>
      <w:r w:rsidR="0099482E" w:rsidRPr="00D8046E">
        <w:t>et al.</w:t>
      </w:r>
      <w:r w:rsidR="00686B1F" w:rsidRPr="00D8046E">
        <w:t>, 2003</w:t>
      </w:r>
      <w:r w:rsidR="00A30900" w:rsidRPr="00D8046E">
        <w:t>)</w:t>
      </w:r>
      <w:r w:rsidR="00B96AF8" w:rsidRPr="00D8046E">
        <w:t xml:space="preserve">. </w:t>
      </w:r>
    </w:p>
    <w:p w:rsidR="006510E8" w:rsidRPr="00B31924" w:rsidRDefault="00B96AF8" w:rsidP="006745B0">
      <w:pPr>
        <w:spacing w:line="480" w:lineRule="auto"/>
        <w:ind w:firstLine="720"/>
      </w:pPr>
      <w:r w:rsidRPr="00B31924">
        <w:t xml:space="preserve">If an </w:t>
      </w:r>
      <w:r w:rsidR="00E82744" w:rsidRPr="00B31924">
        <w:t>observer</w:t>
      </w:r>
      <w:r w:rsidRPr="00B31924">
        <w:t xml:space="preserve"> </w:t>
      </w:r>
      <w:r w:rsidR="00793E49" w:rsidRPr="00B31924">
        <w:t xml:space="preserve">tends to </w:t>
      </w:r>
      <w:r w:rsidRPr="00B31924">
        <w:t xml:space="preserve">focus on </w:t>
      </w:r>
      <w:r w:rsidR="00AF0434" w:rsidRPr="00B31924">
        <w:rPr>
          <w:rFonts w:hint="eastAsia"/>
          <w:lang w:eastAsia="zh-CN"/>
        </w:rPr>
        <w:t xml:space="preserve">one or </w:t>
      </w:r>
      <w:r w:rsidRPr="00B31924">
        <w:t xml:space="preserve">a </w:t>
      </w:r>
      <w:r w:rsidR="003B2443" w:rsidRPr="00B31924">
        <w:t>few</w:t>
      </w:r>
      <w:r w:rsidRPr="00B31924">
        <w:t xml:space="preserve"> cause</w:t>
      </w:r>
      <w:r w:rsidR="003B2443" w:rsidRPr="00B31924">
        <w:t>s</w:t>
      </w:r>
      <w:r w:rsidRPr="00B31924">
        <w:t xml:space="preserve"> </w:t>
      </w:r>
      <w:r w:rsidR="00AF0434" w:rsidRPr="00B31924">
        <w:t xml:space="preserve">only </w:t>
      </w:r>
      <w:r w:rsidR="00821465" w:rsidRPr="00B31924">
        <w:t>when</w:t>
      </w:r>
      <w:r w:rsidRPr="00B31924">
        <w:t xml:space="preserve"> explain</w:t>
      </w:r>
      <w:r w:rsidR="00821465" w:rsidRPr="00B31924">
        <w:t>ing</w:t>
      </w:r>
      <w:r w:rsidRPr="00B31924">
        <w:t xml:space="preserve"> an </w:t>
      </w:r>
      <w:r w:rsidR="00281BBC" w:rsidRPr="00B31924">
        <w:t>effect</w:t>
      </w:r>
      <w:r w:rsidR="00B06047" w:rsidRPr="00B31924">
        <w:t xml:space="preserve">, </w:t>
      </w:r>
      <w:r w:rsidRPr="00B31924">
        <w:t xml:space="preserve">then </w:t>
      </w:r>
      <w:r w:rsidR="00E82744" w:rsidRPr="00B31924">
        <w:t xml:space="preserve">the observer </w:t>
      </w:r>
      <w:r w:rsidR="003B7C0D">
        <w:t>should</w:t>
      </w:r>
      <w:r w:rsidR="003B7C0D" w:rsidRPr="00B31924">
        <w:t xml:space="preserve"> </w:t>
      </w:r>
      <w:r w:rsidR="002B61CA" w:rsidRPr="00B31924">
        <w:t>expect</w:t>
      </w:r>
      <w:r w:rsidRPr="00B31924">
        <w:t xml:space="preserve"> </w:t>
      </w:r>
      <w:r w:rsidR="00326A29" w:rsidRPr="00B31924">
        <w:t>a greater</w:t>
      </w:r>
      <w:r w:rsidR="00B06047" w:rsidRPr="00B31924">
        <w:t xml:space="preserve"> </w:t>
      </w:r>
      <w:r w:rsidRPr="00B31924">
        <w:t>correspond</w:t>
      </w:r>
      <w:r w:rsidR="00326A29" w:rsidRPr="00B31924">
        <w:t xml:space="preserve">ence </w:t>
      </w:r>
      <w:r w:rsidR="00EF6F2C" w:rsidRPr="00B31924">
        <w:t>in</w:t>
      </w:r>
      <w:r w:rsidR="00B06047" w:rsidRPr="00B31924">
        <w:t xml:space="preserve"> magnitude </w:t>
      </w:r>
      <w:r w:rsidR="00EF6F2C" w:rsidRPr="00B31924">
        <w:t xml:space="preserve">between </w:t>
      </w:r>
      <w:r w:rsidR="00326A29" w:rsidRPr="00B31924">
        <w:t xml:space="preserve">cause and </w:t>
      </w:r>
      <w:r w:rsidR="00B06047" w:rsidRPr="00B31924">
        <w:t>effect</w:t>
      </w:r>
      <w:r w:rsidRPr="00B31924">
        <w:t xml:space="preserve">. </w:t>
      </w:r>
      <w:r w:rsidR="003B2443" w:rsidRPr="00B31924">
        <w:t xml:space="preserve">For example, </w:t>
      </w:r>
      <w:r w:rsidR="00766471" w:rsidRPr="00B31924">
        <w:t xml:space="preserve">imagine </w:t>
      </w:r>
      <w:r w:rsidR="00D70359">
        <w:t>judging how likely each of</w:t>
      </w:r>
      <w:r w:rsidR="00766471" w:rsidRPr="00B31924">
        <w:t xml:space="preserve"> two buildings sold for a higher price. The two buildings look very similar except that one is larger than the other. If all else </w:t>
      </w:r>
      <w:r w:rsidR="00326A29" w:rsidRPr="00B31924">
        <w:t>were</w:t>
      </w:r>
      <w:r w:rsidR="00766471" w:rsidRPr="00B31924">
        <w:t xml:space="preserve"> equal, one would expect the larger building to sell </w:t>
      </w:r>
      <w:r w:rsidR="00AC75F8" w:rsidRPr="00B31924">
        <w:t xml:space="preserve">for </w:t>
      </w:r>
      <w:r w:rsidR="00766471" w:rsidRPr="00B31924">
        <w:t xml:space="preserve">more because size is one factor that </w:t>
      </w:r>
      <w:r w:rsidR="00AC75F8" w:rsidRPr="00B31924">
        <w:t>determines</w:t>
      </w:r>
      <w:r w:rsidR="00766471" w:rsidRPr="00B31924">
        <w:t xml:space="preserve"> the value of a building. However</w:t>
      </w:r>
      <w:r w:rsidR="00326A29" w:rsidRPr="00B31924">
        <w:t xml:space="preserve">, </w:t>
      </w:r>
      <w:r w:rsidR="00766471" w:rsidRPr="00B31924">
        <w:t xml:space="preserve">there are a number of other factors that also </w:t>
      </w:r>
      <w:r w:rsidR="00AC75F8" w:rsidRPr="00B31924">
        <w:t>determine</w:t>
      </w:r>
      <w:r w:rsidR="00766471" w:rsidRPr="00B31924">
        <w:t xml:space="preserve"> the value of a building, such as location. I</w:t>
      </w:r>
      <w:r w:rsidR="004452EC" w:rsidRPr="00B31924">
        <w:t xml:space="preserve">f an observer </w:t>
      </w:r>
      <w:r w:rsidR="00793E49" w:rsidRPr="00B31924">
        <w:t xml:space="preserve">tends to </w:t>
      </w:r>
      <w:r w:rsidR="004452EC" w:rsidRPr="00B31924">
        <w:t xml:space="preserve">focus on </w:t>
      </w:r>
      <w:r w:rsidR="00CA6388" w:rsidRPr="00B31924">
        <w:t xml:space="preserve">only one </w:t>
      </w:r>
      <w:r w:rsidR="00642EC9" w:rsidRPr="00B31924">
        <w:t>cause</w:t>
      </w:r>
      <w:r w:rsidR="00766471" w:rsidRPr="00B31924">
        <w:t>, such as the size of the building</w:t>
      </w:r>
      <w:r w:rsidR="003D69BC" w:rsidRPr="00B31924">
        <w:t xml:space="preserve"> in this case</w:t>
      </w:r>
      <w:r w:rsidR="0006191E">
        <w:t>,</w:t>
      </w:r>
      <w:r w:rsidR="003D69BC" w:rsidRPr="00B31924">
        <w:t xml:space="preserve"> </w:t>
      </w:r>
      <w:r w:rsidR="00F60B02" w:rsidRPr="00B31924">
        <w:t>when</w:t>
      </w:r>
      <w:r w:rsidR="004452EC" w:rsidRPr="00B31924">
        <w:t xml:space="preserve"> </w:t>
      </w:r>
      <w:r w:rsidR="00CA6388" w:rsidRPr="00B31924">
        <w:t xml:space="preserve">trying to understand </w:t>
      </w:r>
      <w:r w:rsidR="004452EC" w:rsidRPr="00B31924">
        <w:t xml:space="preserve">a </w:t>
      </w:r>
      <w:r w:rsidR="00B06047" w:rsidRPr="00B31924">
        <w:t>high magnitude</w:t>
      </w:r>
      <w:r w:rsidR="002F057A" w:rsidRPr="00B31924">
        <w:t xml:space="preserve"> </w:t>
      </w:r>
      <w:r w:rsidR="00281BBC" w:rsidRPr="00B31924">
        <w:t>effect</w:t>
      </w:r>
      <w:r w:rsidR="00AC75F8" w:rsidRPr="00B31924">
        <w:t>,</w:t>
      </w:r>
      <w:r w:rsidR="002F057A" w:rsidRPr="00B31924">
        <w:t xml:space="preserve"> </w:t>
      </w:r>
      <w:r w:rsidR="00A71E2F">
        <w:t>the</w:t>
      </w:r>
      <w:r w:rsidR="00642EC9" w:rsidRPr="00B31924">
        <w:t xml:space="preserve"> high</w:t>
      </w:r>
      <w:r w:rsidR="00B06047" w:rsidRPr="00B31924">
        <w:t xml:space="preserve"> </w:t>
      </w:r>
      <w:r w:rsidR="00766471" w:rsidRPr="00B31924">
        <w:t>s</w:t>
      </w:r>
      <w:r w:rsidR="00642EC9" w:rsidRPr="00B31924">
        <w:t>elling</w:t>
      </w:r>
      <w:r w:rsidR="00766471" w:rsidRPr="00B31924">
        <w:t xml:space="preserve"> price</w:t>
      </w:r>
      <w:r w:rsidR="004452EC" w:rsidRPr="00B31924">
        <w:t>,</w:t>
      </w:r>
      <w:r w:rsidR="003B2443" w:rsidRPr="00B31924">
        <w:t xml:space="preserve"> then </w:t>
      </w:r>
      <w:r w:rsidR="00580B53" w:rsidRPr="00B31924">
        <w:t xml:space="preserve">that person should expect </w:t>
      </w:r>
      <w:r w:rsidR="003B2443" w:rsidRPr="00B31924">
        <w:t xml:space="preserve">a </w:t>
      </w:r>
      <w:r w:rsidR="00B06047" w:rsidRPr="00B31924">
        <w:t xml:space="preserve">high magnitude </w:t>
      </w:r>
      <w:r w:rsidR="00D44345" w:rsidRPr="00B31924">
        <w:t>cause</w:t>
      </w:r>
      <w:r w:rsidR="00766471" w:rsidRPr="00B31924">
        <w:t>, the large building</w:t>
      </w:r>
      <w:r w:rsidR="00A71E2F">
        <w:t>,</w:t>
      </w:r>
      <w:r w:rsidR="00766471" w:rsidRPr="00B31924">
        <w:t xml:space="preserve"> </w:t>
      </w:r>
      <w:r w:rsidR="00580B53" w:rsidRPr="00B31924">
        <w:t xml:space="preserve">to be far more likely </w:t>
      </w:r>
      <w:r w:rsidR="003B2443" w:rsidRPr="00B31924">
        <w:t xml:space="preserve">than a </w:t>
      </w:r>
      <w:r w:rsidR="00B06047" w:rsidRPr="00B31924">
        <w:t xml:space="preserve">low magnitude </w:t>
      </w:r>
      <w:r w:rsidR="00D44345" w:rsidRPr="00B31924">
        <w:t>cause</w:t>
      </w:r>
      <w:r w:rsidR="00245416" w:rsidRPr="00B31924">
        <w:t xml:space="preserve">, </w:t>
      </w:r>
      <w:r w:rsidR="00766471" w:rsidRPr="00B31924">
        <w:t>the small building</w:t>
      </w:r>
      <w:r w:rsidR="003B2443" w:rsidRPr="00B31924">
        <w:t xml:space="preserve">. </w:t>
      </w:r>
    </w:p>
    <w:p w:rsidR="00F60B02" w:rsidRDefault="00B96AF8" w:rsidP="006745B0">
      <w:pPr>
        <w:spacing w:line="480" w:lineRule="auto"/>
        <w:ind w:firstLine="720"/>
      </w:pPr>
      <w:r w:rsidRPr="004D00AD">
        <w:t xml:space="preserve">Alternatively, if an </w:t>
      </w:r>
      <w:r w:rsidR="007D4143" w:rsidRPr="004D00AD">
        <w:t>observer</w:t>
      </w:r>
      <w:r w:rsidR="00793E49" w:rsidRPr="004D00AD">
        <w:t xml:space="preserve"> tends to</w:t>
      </w:r>
      <w:r w:rsidRPr="004D00AD">
        <w:t xml:space="preserve"> </w:t>
      </w:r>
      <w:r w:rsidR="007D4143" w:rsidRPr="004D00AD">
        <w:t>focus on many factors</w:t>
      </w:r>
      <w:r w:rsidRPr="004D00AD">
        <w:t xml:space="preserve"> </w:t>
      </w:r>
      <w:r w:rsidR="004A6597" w:rsidRPr="004D00AD">
        <w:t xml:space="preserve">when </w:t>
      </w:r>
      <w:r w:rsidR="00E82744" w:rsidRPr="004D00AD">
        <w:t>explain</w:t>
      </w:r>
      <w:r w:rsidR="004A6597" w:rsidRPr="004D00AD">
        <w:t>ing</w:t>
      </w:r>
      <w:r w:rsidRPr="004D00AD">
        <w:t xml:space="preserve"> an </w:t>
      </w:r>
      <w:r w:rsidR="00281BBC" w:rsidRPr="004D00AD">
        <w:t>effect</w:t>
      </w:r>
      <w:r w:rsidRPr="004D00AD">
        <w:t xml:space="preserve">, </w:t>
      </w:r>
      <w:r w:rsidR="00E82744" w:rsidRPr="004D00AD">
        <w:t xml:space="preserve">then the observer </w:t>
      </w:r>
      <w:r w:rsidR="003B7C0D">
        <w:t>should</w:t>
      </w:r>
      <w:r w:rsidR="003B7C0D" w:rsidRPr="004D00AD">
        <w:t xml:space="preserve"> </w:t>
      </w:r>
      <w:r w:rsidR="002B61CA" w:rsidRPr="004D00AD">
        <w:t>expect</w:t>
      </w:r>
      <w:r w:rsidR="00E82744" w:rsidRPr="004D00AD">
        <w:t xml:space="preserve"> </w:t>
      </w:r>
      <w:r w:rsidR="002B61CA" w:rsidRPr="004D00AD">
        <w:t xml:space="preserve">a </w:t>
      </w:r>
      <w:r w:rsidR="00580B53" w:rsidRPr="004D00AD">
        <w:t>lesser</w:t>
      </w:r>
      <w:r w:rsidR="002B61CA" w:rsidRPr="004D00AD">
        <w:t xml:space="preserve"> </w:t>
      </w:r>
      <w:r w:rsidR="00CA02BA" w:rsidRPr="004D00AD">
        <w:t>correspond</w:t>
      </w:r>
      <w:r w:rsidR="00326A29" w:rsidRPr="004D00AD">
        <w:t>ence</w:t>
      </w:r>
      <w:r w:rsidR="00CA02BA" w:rsidRPr="004D00AD">
        <w:t xml:space="preserve"> </w:t>
      </w:r>
      <w:r w:rsidR="00EF6F2C" w:rsidRPr="004D00AD">
        <w:t>in</w:t>
      </w:r>
      <w:r w:rsidR="00CA02BA" w:rsidRPr="004D00AD">
        <w:t xml:space="preserve"> magnitude </w:t>
      </w:r>
      <w:r w:rsidR="00EF6F2C" w:rsidRPr="004D00AD">
        <w:t xml:space="preserve">between </w:t>
      </w:r>
      <w:r w:rsidR="00326A29" w:rsidRPr="004D00AD">
        <w:t xml:space="preserve">cause and </w:t>
      </w:r>
      <w:r w:rsidR="00CA02BA" w:rsidRPr="004D00AD">
        <w:t>effect</w:t>
      </w:r>
      <w:r w:rsidR="00A270AF" w:rsidRPr="004D00AD">
        <w:t>.</w:t>
      </w:r>
      <w:r w:rsidRPr="004D00AD">
        <w:t xml:space="preserve"> </w:t>
      </w:r>
      <w:r w:rsidR="00086172" w:rsidRPr="004D00AD">
        <w:t xml:space="preserve">Considering the previous </w:t>
      </w:r>
      <w:r w:rsidR="003B2443" w:rsidRPr="004D00AD">
        <w:t xml:space="preserve">example, </w:t>
      </w:r>
      <w:r w:rsidR="00E274B1" w:rsidRPr="004D00AD">
        <w:t xml:space="preserve">if an observer </w:t>
      </w:r>
      <w:r w:rsidR="00793E49" w:rsidRPr="004D00AD">
        <w:t xml:space="preserve">tends to </w:t>
      </w:r>
      <w:r w:rsidR="00E274B1" w:rsidRPr="004D00AD">
        <w:t>focus on numerous factors</w:t>
      </w:r>
      <w:r w:rsidR="00086172" w:rsidRPr="004D00AD">
        <w:t xml:space="preserve">, </w:t>
      </w:r>
      <w:r w:rsidR="00AF0434">
        <w:rPr>
          <w:rFonts w:hint="eastAsia"/>
          <w:lang w:eastAsia="zh-CN"/>
        </w:rPr>
        <w:t xml:space="preserve">including </w:t>
      </w:r>
      <w:r w:rsidR="00086172" w:rsidRPr="004D00AD">
        <w:t>size</w:t>
      </w:r>
      <w:r w:rsidR="00B31924">
        <w:t>,</w:t>
      </w:r>
      <w:r w:rsidR="00086172" w:rsidRPr="004D00AD">
        <w:t xml:space="preserve"> location of the building</w:t>
      </w:r>
      <w:r w:rsidR="00B31924">
        <w:t>,</w:t>
      </w:r>
      <w:r w:rsidR="00AF0434">
        <w:rPr>
          <w:rFonts w:hint="eastAsia"/>
          <w:lang w:eastAsia="zh-CN"/>
        </w:rPr>
        <w:t xml:space="preserve"> and other factors</w:t>
      </w:r>
      <w:r w:rsidR="00086172" w:rsidRPr="004D00AD">
        <w:t>,</w:t>
      </w:r>
      <w:r w:rsidR="00E274B1" w:rsidRPr="004D00AD">
        <w:t xml:space="preserve"> </w:t>
      </w:r>
      <w:r w:rsidR="00F60B02" w:rsidRPr="004D00AD">
        <w:t xml:space="preserve">when </w:t>
      </w:r>
      <w:r w:rsidR="003B4323" w:rsidRPr="004D00AD">
        <w:t>trying to understand a high magnitude effect</w:t>
      </w:r>
      <w:r w:rsidR="00AC75F8" w:rsidRPr="004D00AD">
        <w:t>,</w:t>
      </w:r>
      <w:r w:rsidR="003B4323" w:rsidRPr="004D00AD">
        <w:t xml:space="preserve"> such as </w:t>
      </w:r>
      <w:r w:rsidR="00086172" w:rsidRPr="004D00AD">
        <w:t>a high selling price</w:t>
      </w:r>
      <w:r w:rsidR="002F057A" w:rsidRPr="004D00AD">
        <w:t>,</w:t>
      </w:r>
      <w:r w:rsidR="003B2443" w:rsidRPr="004D00AD">
        <w:t xml:space="preserve"> then a </w:t>
      </w:r>
      <w:r w:rsidR="003B4323" w:rsidRPr="004D00AD">
        <w:t>high magnitude cause</w:t>
      </w:r>
      <w:r w:rsidR="00086172" w:rsidRPr="004D00AD">
        <w:t>, the large building</w:t>
      </w:r>
      <w:r w:rsidR="00B31924">
        <w:t>,</w:t>
      </w:r>
      <w:r w:rsidR="00086172" w:rsidRPr="004D00AD">
        <w:t xml:space="preserve"> </w:t>
      </w:r>
      <w:r w:rsidR="003B4323" w:rsidRPr="004D00AD">
        <w:t>is not as necessary</w:t>
      </w:r>
      <w:r w:rsidR="003B2443" w:rsidRPr="004D00AD">
        <w:t>.</w:t>
      </w:r>
      <w:r w:rsidR="00086172" w:rsidRPr="004D00AD">
        <w:t xml:space="preserve"> </w:t>
      </w:r>
      <w:r w:rsidR="00A270AF" w:rsidRPr="004D00AD">
        <w:t xml:space="preserve">Although </w:t>
      </w:r>
      <w:r w:rsidR="003B7C0D">
        <w:t xml:space="preserve">this </w:t>
      </w:r>
      <w:r w:rsidR="00EF7FA5">
        <w:t xml:space="preserve">multiple-cause </w:t>
      </w:r>
      <w:r w:rsidR="003B7C0D">
        <w:t>observer</w:t>
      </w:r>
      <w:r w:rsidR="00A270AF" w:rsidRPr="004D00AD">
        <w:t xml:space="preserve"> may </w:t>
      </w:r>
      <w:r w:rsidR="00060DE9">
        <w:t xml:space="preserve">also </w:t>
      </w:r>
      <w:r w:rsidR="00A270AF" w:rsidRPr="004D00AD">
        <w:t xml:space="preserve">reason that the </w:t>
      </w:r>
      <w:r w:rsidR="003D69BC" w:rsidRPr="004D00AD">
        <w:t>large</w:t>
      </w:r>
      <w:r w:rsidR="00A270AF" w:rsidRPr="004D00AD">
        <w:t xml:space="preserve"> building would likely sell for </w:t>
      </w:r>
      <w:r w:rsidR="003D69BC" w:rsidRPr="004D00AD">
        <w:t>more</w:t>
      </w:r>
      <w:r w:rsidR="00A270AF" w:rsidRPr="004D00AD">
        <w:t xml:space="preserve"> than the </w:t>
      </w:r>
      <w:r w:rsidR="003D69BC" w:rsidRPr="004D00AD">
        <w:t>small</w:t>
      </w:r>
      <w:r w:rsidR="00A270AF" w:rsidRPr="004D00AD">
        <w:t xml:space="preserve"> building, </w:t>
      </w:r>
      <w:r w:rsidR="003B7C0D">
        <w:t xml:space="preserve">this effect would tend to be less extreme when compared with the </w:t>
      </w:r>
      <w:r w:rsidR="00EF7FA5" w:rsidRPr="004D00AD">
        <w:t>single-cause</w:t>
      </w:r>
      <w:r w:rsidR="00EF7FA5">
        <w:t xml:space="preserve"> </w:t>
      </w:r>
      <w:r w:rsidR="003B7C0D">
        <w:t>observer</w:t>
      </w:r>
      <w:r w:rsidR="00EF7FA5">
        <w:t>.</w:t>
      </w:r>
      <w:r w:rsidR="003D69BC" w:rsidRPr="004D00AD">
        <w:t xml:space="preserve"> The </w:t>
      </w:r>
      <w:r w:rsidR="00B31924">
        <w:t>lesser</w:t>
      </w:r>
      <w:r w:rsidR="003D69BC" w:rsidRPr="004D00AD">
        <w:t xml:space="preserve"> correspondence between the magnitudes of cause and effect make</w:t>
      </w:r>
      <w:r w:rsidR="00060DE9">
        <w:t>s</w:t>
      </w:r>
      <w:r w:rsidR="003D69BC" w:rsidRPr="004D00AD">
        <w:t xml:space="preserve"> sense because one of the other factors, such as location, could be working against the larger building and in favor of the smaller building when it comes to selling price</w:t>
      </w:r>
      <w:r w:rsidR="00F60B02" w:rsidRPr="004D00AD">
        <w:t>.</w:t>
      </w:r>
    </w:p>
    <w:p w:rsidR="0065654E" w:rsidRPr="00D8046E" w:rsidRDefault="00993FB1" w:rsidP="006745B0">
      <w:pPr>
        <w:spacing w:line="480" w:lineRule="auto"/>
        <w:ind w:firstLine="720"/>
      </w:pPr>
      <w:r>
        <w:lastRenderedPageBreak/>
        <w:t>Therefore, b</w:t>
      </w:r>
      <w:r w:rsidR="00413108" w:rsidRPr="00D8046E">
        <w:t>ased on previous research</w:t>
      </w:r>
      <w:r w:rsidR="00094458" w:rsidRPr="00D8046E">
        <w:t xml:space="preserve"> on cultural differences in </w:t>
      </w:r>
      <w:r w:rsidR="00D55149" w:rsidRPr="00D8046E">
        <w:t xml:space="preserve">analytic and holistic reasoning, specifically regarding differences in </w:t>
      </w:r>
      <w:r w:rsidR="00E10A29" w:rsidRPr="00D8046E">
        <w:t>perceptions of causal complexity</w:t>
      </w:r>
      <w:r w:rsidR="006F1D09" w:rsidRPr="00D8046E">
        <w:t xml:space="preserve">, </w:t>
      </w:r>
      <w:r w:rsidR="00094458" w:rsidRPr="00D8046E">
        <w:t>we hyp</w:t>
      </w:r>
      <w:r w:rsidR="00EC40FA" w:rsidRPr="00D8046E">
        <w:t>o</w:t>
      </w:r>
      <w:r w:rsidR="00094458" w:rsidRPr="00D8046E">
        <w:t>thesized</w:t>
      </w:r>
      <w:r w:rsidR="00BE55EE" w:rsidRPr="00D8046E">
        <w:t xml:space="preserve"> that expectations of a correspondence in magnitude between </w:t>
      </w:r>
      <w:r w:rsidR="00281BBC" w:rsidRPr="00D8046E">
        <w:t>effect</w:t>
      </w:r>
      <w:r w:rsidR="00BE55EE" w:rsidRPr="00D8046E">
        <w:t xml:space="preserve">s and their causes would </w:t>
      </w:r>
      <w:r w:rsidR="00022C47" w:rsidRPr="00D8046E">
        <w:t xml:space="preserve">be stronger among North Americans than among East Asians. </w:t>
      </w:r>
      <w:r w:rsidR="00BE55EE" w:rsidRPr="00D8046E">
        <w:t xml:space="preserve"> Specifically, </w:t>
      </w:r>
      <w:r w:rsidR="00022C47" w:rsidRPr="00D8046E">
        <w:t xml:space="preserve">we </w:t>
      </w:r>
      <w:r w:rsidR="0065654E" w:rsidRPr="00D8046E">
        <w:t>hypothesize</w:t>
      </w:r>
      <w:r w:rsidR="00436858" w:rsidRPr="00D8046E">
        <w:t>d</w:t>
      </w:r>
      <w:r w:rsidR="0065654E" w:rsidRPr="00D8046E">
        <w:t xml:space="preserve"> that when explaining an </w:t>
      </w:r>
      <w:r w:rsidR="00281BBC" w:rsidRPr="00D8046E">
        <w:t>effect</w:t>
      </w:r>
      <w:r w:rsidR="0065654E" w:rsidRPr="00D8046E">
        <w:t xml:space="preserve">, </w:t>
      </w:r>
      <w:r w:rsidR="00AC2148" w:rsidRPr="00D8046E">
        <w:t>North Americans</w:t>
      </w:r>
      <w:r w:rsidR="0065654E" w:rsidRPr="00D8046E">
        <w:t xml:space="preserve"> would </w:t>
      </w:r>
      <w:r w:rsidR="00190B16" w:rsidRPr="00D8046E">
        <w:t xml:space="preserve">tend to </w:t>
      </w:r>
      <w:r w:rsidR="0065654E" w:rsidRPr="00D8046E">
        <w:t xml:space="preserve">look for causes that correspond in magnitude with the </w:t>
      </w:r>
      <w:r w:rsidR="00281BBC" w:rsidRPr="00D8046E">
        <w:t>effect</w:t>
      </w:r>
      <w:r w:rsidR="0065654E" w:rsidRPr="00D8046E">
        <w:t xml:space="preserve">. </w:t>
      </w:r>
      <w:r w:rsidR="00022C47" w:rsidRPr="00D8046E">
        <w:t>In contrast, East Asians</w:t>
      </w:r>
      <w:r w:rsidR="0065654E" w:rsidRPr="00D8046E">
        <w:t xml:space="preserve"> would be less likely than </w:t>
      </w:r>
      <w:r w:rsidR="00022C47" w:rsidRPr="00D8046E">
        <w:t xml:space="preserve">North Americans </w:t>
      </w:r>
      <w:r w:rsidR="0065654E" w:rsidRPr="00D8046E">
        <w:t xml:space="preserve">to expect such a correspondence in magnitude between </w:t>
      </w:r>
      <w:r w:rsidR="00281BBC" w:rsidRPr="00D8046E">
        <w:t>effect</w:t>
      </w:r>
      <w:r w:rsidR="0065654E" w:rsidRPr="00D8046E">
        <w:t xml:space="preserve">s and their causes. </w:t>
      </w:r>
      <w:r w:rsidR="006F1D09" w:rsidRPr="00D8046E">
        <w:t>Lastly</w:t>
      </w:r>
      <w:r w:rsidR="0065654E" w:rsidRPr="00D8046E">
        <w:t xml:space="preserve">, </w:t>
      </w:r>
      <w:r w:rsidR="00022C47" w:rsidRPr="00D8046E">
        <w:t xml:space="preserve">we </w:t>
      </w:r>
      <w:r w:rsidR="0065654E" w:rsidRPr="00D8046E">
        <w:t>predict</w:t>
      </w:r>
      <w:r w:rsidR="00F85AF2" w:rsidRPr="00D8046E">
        <w:t>ed</w:t>
      </w:r>
      <w:r w:rsidR="0065654E" w:rsidRPr="00D8046E">
        <w:t xml:space="preserve"> that </w:t>
      </w:r>
      <w:r w:rsidR="00142BB9" w:rsidRPr="00D8046E">
        <w:t xml:space="preserve">the </w:t>
      </w:r>
      <w:r w:rsidR="00EC40FA" w:rsidRPr="00D8046E">
        <w:t>cultural differences in</w:t>
      </w:r>
      <w:r w:rsidR="00C2584F" w:rsidRPr="00D8046E">
        <w:t xml:space="preserve"> the tendency to look for causes that correspond in magnitude with </w:t>
      </w:r>
      <w:r w:rsidR="00281BBC" w:rsidRPr="00D8046E">
        <w:t>effect</w:t>
      </w:r>
      <w:r w:rsidR="00C2584F" w:rsidRPr="00D8046E">
        <w:t xml:space="preserve">s </w:t>
      </w:r>
      <w:r w:rsidR="00F85AF2" w:rsidRPr="00D8046E">
        <w:t>would</w:t>
      </w:r>
      <w:r w:rsidR="0065654E" w:rsidRPr="00D8046E">
        <w:t xml:space="preserve"> be </w:t>
      </w:r>
      <w:r w:rsidR="00436858" w:rsidRPr="00D8046E">
        <w:t>explained</w:t>
      </w:r>
      <w:r w:rsidR="0065654E" w:rsidRPr="00D8046E">
        <w:t xml:space="preserve"> by </w:t>
      </w:r>
      <w:r w:rsidR="007D6C6F" w:rsidRPr="00D8046E">
        <w:t xml:space="preserve">differences in </w:t>
      </w:r>
      <w:r w:rsidR="00142BB9" w:rsidRPr="00D8046E">
        <w:t xml:space="preserve">analytic and </w:t>
      </w:r>
      <w:r w:rsidR="007D6C6F" w:rsidRPr="00D8046E">
        <w:t xml:space="preserve">holistic </w:t>
      </w:r>
      <w:r w:rsidR="00F61589" w:rsidRPr="00D8046E">
        <w:t>reasoning</w:t>
      </w:r>
      <w:r w:rsidR="00D47733" w:rsidRPr="00D8046E">
        <w:t xml:space="preserve">. </w:t>
      </w:r>
      <w:r w:rsidR="004248C1" w:rsidRPr="00D8046E">
        <w:t>We conducted</w:t>
      </w:r>
      <w:r w:rsidR="004E76F0" w:rsidRPr="00D8046E">
        <w:t xml:space="preserve"> a series of studies to test the</w:t>
      </w:r>
      <w:r w:rsidR="004248C1" w:rsidRPr="00D8046E">
        <w:t>s</w:t>
      </w:r>
      <w:r w:rsidR="004E76F0" w:rsidRPr="00D8046E">
        <w:t>e hypothese</w:t>
      </w:r>
      <w:r w:rsidR="004248C1" w:rsidRPr="00D8046E">
        <w:t xml:space="preserve">s. </w:t>
      </w:r>
    </w:p>
    <w:p w:rsidR="00B962BB" w:rsidRPr="00D8046E" w:rsidRDefault="00B962BB" w:rsidP="00AC2148">
      <w:pPr>
        <w:spacing w:line="480" w:lineRule="auto"/>
        <w:jc w:val="center"/>
      </w:pPr>
      <w:r w:rsidRPr="00D8046E">
        <w:t>Study 1</w:t>
      </w:r>
    </w:p>
    <w:p w:rsidR="002E4F32" w:rsidRPr="00D8046E" w:rsidRDefault="001E2026" w:rsidP="002E4F32">
      <w:pPr>
        <w:spacing w:line="480" w:lineRule="auto"/>
        <w:ind w:firstLine="720"/>
      </w:pPr>
      <w:r w:rsidRPr="00D8046E">
        <w:t xml:space="preserve">The purpose of Study 1 was to </w:t>
      </w:r>
      <w:r w:rsidR="00CA0051" w:rsidRPr="00D8046E">
        <w:t xml:space="preserve">test the hypothesis </w:t>
      </w:r>
      <w:r w:rsidRPr="00D8046E">
        <w:t xml:space="preserve">that Canadians would expect a greater correspondence in magnitude between </w:t>
      </w:r>
      <w:r w:rsidR="00281BBC" w:rsidRPr="00D8046E">
        <w:t>effect</w:t>
      </w:r>
      <w:r w:rsidR="004874B0" w:rsidRPr="00D8046E">
        <w:t xml:space="preserve">s and </w:t>
      </w:r>
      <w:r w:rsidR="004B5769" w:rsidRPr="00D8046E">
        <w:t>their causes</w:t>
      </w:r>
      <w:r w:rsidR="004874B0" w:rsidRPr="00D8046E">
        <w:t xml:space="preserve"> </w:t>
      </w:r>
      <w:r w:rsidRPr="00D8046E">
        <w:t>than would Chinese.</w:t>
      </w:r>
      <w:r w:rsidR="00C32C82" w:rsidRPr="00D8046E">
        <w:t xml:space="preserve"> Participants read </w:t>
      </w:r>
      <w:r w:rsidR="00CA0051" w:rsidRPr="00D8046E">
        <w:t>hypothetical scenarios with conseq</w:t>
      </w:r>
      <w:r w:rsidR="0044117F" w:rsidRPr="00D8046E">
        <w:t>uences of high or low magnitude</w:t>
      </w:r>
      <w:r w:rsidR="00CA0051" w:rsidRPr="00D8046E">
        <w:t xml:space="preserve"> and indicate</w:t>
      </w:r>
      <w:r w:rsidR="00C32C82" w:rsidRPr="00D8046E">
        <w:t>d</w:t>
      </w:r>
      <w:r w:rsidR="00CA0051" w:rsidRPr="00D8046E">
        <w:t xml:space="preserve"> how likely </w:t>
      </w:r>
      <w:r w:rsidR="00F72088" w:rsidRPr="00D8046E">
        <w:t xml:space="preserve">the </w:t>
      </w:r>
      <w:r w:rsidR="00281BBC" w:rsidRPr="00D8046E">
        <w:t>effect</w:t>
      </w:r>
      <w:r w:rsidR="00F72088" w:rsidRPr="00D8046E">
        <w:t xml:space="preserve"> was due to cause</w:t>
      </w:r>
      <w:r w:rsidR="00C32C82" w:rsidRPr="00D8046E">
        <w:t>s</w:t>
      </w:r>
      <w:r w:rsidR="00F72088" w:rsidRPr="00D8046E">
        <w:t xml:space="preserve"> that </w:t>
      </w:r>
      <w:r w:rsidR="00C32C82" w:rsidRPr="00D8046E">
        <w:t>were</w:t>
      </w:r>
      <w:r w:rsidR="00F72088" w:rsidRPr="00D8046E">
        <w:t xml:space="preserve"> </w:t>
      </w:r>
      <w:r w:rsidR="00690A64" w:rsidRPr="00D8046E">
        <w:t>high</w:t>
      </w:r>
      <w:r w:rsidR="00F72088" w:rsidRPr="00D8046E">
        <w:t xml:space="preserve"> or </w:t>
      </w:r>
      <w:r w:rsidR="00690A64" w:rsidRPr="00D8046E">
        <w:t>low</w:t>
      </w:r>
      <w:r w:rsidR="00F72088" w:rsidRPr="00D8046E">
        <w:t xml:space="preserve"> in magnitude. </w:t>
      </w:r>
      <w:r w:rsidRPr="00D8046E">
        <w:t xml:space="preserve"> </w:t>
      </w:r>
      <w:bookmarkEnd w:id="0"/>
      <w:bookmarkEnd w:id="1"/>
      <w:r w:rsidR="0099482E" w:rsidRPr="00D8046E">
        <w:t xml:space="preserve">We used </w:t>
      </w:r>
      <w:r w:rsidR="00893D8F" w:rsidRPr="00D8046E">
        <w:t>two different versions of scenarios</w:t>
      </w:r>
      <w:r w:rsidR="0099482E" w:rsidRPr="00D8046E">
        <w:t xml:space="preserve"> with two different samples</w:t>
      </w:r>
      <w:r w:rsidR="00893D8F" w:rsidRPr="00D8046E">
        <w:t>, one in Study 1a and the other in Study 1b.</w:t>
      </w:r>
    </w:p>
    <w:p w:rsidR="002E4F32" w:rsidRPr="00D8046E" w:rsidRDefault="002E4F32" w:rsidP="002E4F32">
      <w:pPr>
        <w:spacing w:line="480" w:lineRule="auto"/>
        <w:ind w:firstLine="720"/>
        <w:jc w:val="center"/>
        <w:rPr>
          <w:iCs/>
        </w:rPr>
      </w:pPr>
      <w:r w:rsidRPr="00D8046E">
        <w:rPr>
          <w:iCs/>
        </w:rPr>
        <w:t>Study 1a</w:t>
      </w:r>
    </w:p>
    <w:p w:rsidR="00B962BB" w:rsidRPr="00D8046E" w:rsidRDefault="00B962BB" w:rsidP="002E4F32">
      <w:pPr>
        <w:spacing w:line="480" w:lineRule="auto"/>
        <w:ind w:firstLine="720"/>
        <w:jc w:val="center"/>
        <w:rPr>
          <w:iCs/>
        </w:rPr>
      </w:pPr>
      <w:r w:rsidRPr="00D8046E">
        <w:rPr>
          <w:iCs/>
        </w:rPr>
        <w:t>Method</w:t>
      </w:r>
    </w:p>
    <w:p w:rsidR="00A66DA1" w:rsidRPr="00D8046E" w:rsidRDefault="00A66DA1" w:rsidP="00A66DA1">
      <w:pPr>
        <w:pStyle w:val="Heading1"/>
        <w:jc w:val="left"/>
        <w:rPr>
          <w:i/>
          <w:iCs/>
          <w:u w:val="none"/>
        </w:rPr>
      </w:pPr>
      <w:r w:rsidRPr="00D8046E">
        <w:rPr>
          <w:i/>
          <w:iCs/>
          <w:u w:val="none"/>
        </w:rPr>
        <w:t>Participants</w:t>
      </w:r>
    </w:p>
    <w:p w:rsidR="00A66DA1" w:rsidRPr="00D8046E" w:rsidRDefault="00893D8F" w:rsidP="00A66DA1">
      <w:pPr>
        <w:pStyle w:val="BodyText2"/>
        <w:spacing w:after="0" w:line="480" w:lineRule="auto"/>
        <w:ind w:left="0" w:firstLine="720"/>
      </w:pPr>
      <w:r w:rsidRPr="00D8046E">
        <w:rPr>
          <w:lang w:eastAsia="zh-CN"/>
        </w:rPr>
        <w:t>Fifty</w:t>
      </w:r>
      <w:r w:rsidR="0044117F" w:rsidRPr="00D8046E">
        <w:rPr>
          <w:lang w:eastAsia="zh-CN"/>
        </w:rPr>
        <w:t>-</w:t>
      </w:r>
      <w:r w:rsidRPr="00D8046E">
        <w:rPr>
          <w:lang w:eastAsia="zh-CN"/>
        </w:rPr>
        <w:t>nine</w:t>
      </w:r>
      <w:r w:rsidR="00A66DA1" w:rsidRPr="00D8046E">
        <w:rPr>
          <w:lang w:eastAsia="zh-CN"/>
        </w:rPr>
        <w:t xml:space="preserve"> European-Canadians</w:t>
      </w:r>
      <w:r w:rsidR="00A66DA1" w:rsidRPr="00D8046E">
        <w:t xml:space="preserve"> (</w:t>
      </w:r>
      <w:r w:rsidRPr="00D8046E">
        <w:t>45 women</w:t>
      </w:r>
      <w:r w:rsidR="00A66DA1" w:rsidRPr="00D8046E">
        <w:t xml:space="preserve">) were recruited from </w:t>
      </w:r>
      <w:r w:rsidRPr="00D8046E">
        <w:t>Queen’</w:t>
      </w:r>
      <w:r w:rsidR="005457F9" w:rsidRPr="00D8046E">
        <w:t>s University</w:t>
      </w:r>
      <w:r w:rsidR="0044117F" w:rsidRPr="00D8046E">
        <w:t>,</w:t>
      </w:r>
      <w:r w:rsidR="005457F9" w:rsidRPr="00D8046E">
        <w:t xml:space="preserve"> </w:t>
      </w:r>
      <w:r w:rsidR="00A66DA1" w:rsidRPr="00D8046E">
        <w:t xml:space="preserve">and </w:t>
      </w:r>
      <w:r w:rsidRPr="00D8046E">
        <w:t>60</w:t>
      </w:r>
      <w:r w:rsidR="00A66DA1" w:rsidRPr="00D8046E">
        <w:t xml:space="preserve"> Chinese (</w:t>
      </w:r>
      <w:r w:rsidRPr="00D8046E">
        <w:t xml:space="preserve">30 </w:t>
      </w:r>
      <w:r w:rsidR="00A66DA1" w:rsidRPr="00D8046E">
        <w:t xml:space="preserve">women) were recruited from </w:t>
      </w:r>
      <w:smartTag w:uri="urn:schemas-microsoft-com:office:smarttags" w:element="place">
        <w:smartTag w:uri="urn:schemas-microsoft-com:office:smarttags" w:element="PlaceName">
          <w:r w:rsidR="00A66DA1" w:rsidRPr="00D8046E">
            <w:t>Beijing</w:t>
          </w:r>
        </w:smartTag>
        <w:r w:rsidR="00A66DA1" w:rsidRPr="00D8046E">
          <w:t xml:space="preserve"> </w:t>
        </w:r>
        <w:smartTag w:uri="urn:schemas-microsoft-com:office:smarttags" w:element="PlaceType">
          <w:r w:rsidR="00A66DA1" w:rsidRPr="00D8046E">
            <w:t>University</w:t>
          </w:r>
        </w:smartTag>
      </w:smartTag>
      <w:r w:rsidR="00A66DA1" w:rsidRPr="00D8046E">
        <w:t xml:space="preserve">. </w:t>
      </w:r>
      <w:r w:rsidR="004D4BAF">
        <w:t xml:space="preserve">In all of the studies in this paper, Canadian participants were Caucasians </w:t>
      </w:r>
      <w:r w:rsidR="00B91936">
        <w:t xml:space="preserve">of </w:t>
      </w:r>
      <w:r w:rsidR="004D4BAF">
        <w:t xml:space="preserve">European ancestry and Chinese were Chinese </w:t>
      </w:r>
      <w:r w:rsidR="004D4BAF">
        <w:lastRenderedPageBreak/>
        <w:t xml:space="preserve">nationals, mostly of Han descent. </w:t>
      </w:r>
      <w:r w:rsidR="00A66DA1" w:rsidRPr="00D8046E">
        <w:t>Canadian participants received course credit or $5 for their participation</w:t>
      </w:r>
      <w:r w:rsidR="0044117F" w:rsidRPr="00D8046E">
        <w:t>,</w:t>
      </w:r>
      <w:r w:rsidR="00A66DA1" w:rsidRPr="00D8046E">
        <w:t xml:space="preserve"> and Chinese participants received a small gift. </w:t>
      </w:r>
    </w:p>
    <w:p w:rsidR="00A66DA1" w:rsidRPr="00D8046E" w:rsidRDefault="00A66DA1" w:rsidP="00A66DA1">
      <w:pPr>
        <w:pStyle w:val="BodyText2"/>
        <w:spacing w:after="0" w:line="480" w:lineRule="auto"/>
        <w:ind w:left="0"/>
        <w:rPr>
          <w:i/>
        </w:rPr>
      </w:pPr>
      <w:r w:rsidRPr="00D8046E">
        <w:rPr>
          <w:i/>
        </w:rPr>
        <w:t>Materials and Procedure</w:t>
      </w:r>
    </w:p>
    <w:p w:rsidR="007471EA" w:rsidRPr="00D8046E" w:rsidRDefault="007471EA" w:rsidP="00CA0051">
      <w:pPr>
        <w:spacing w:line="480" w:lineRule="auto"/>
        <w:ind w:firstLine="720"/>
      </w:pPr>
      <w:r w:rsidRPr="00D8046E">
        <w:t>Participants read a</w:t>
      </w:r>
      <w:r w:rsidR="00814D4C" w:rsidRPr="00D8046E">
        <w:t xml:space="preserve"> questionnaire </w:t>
      </w:r>
      <w:r w:rsidRPr="00D8046E">
        <w:t xml:space="preserve">describing </w:t>
      </w:r>
      <w:r w:rsidR="00814D4C" w:rsidRPr="00D8046E">
        <w:t xml:space="preserve">a disease outbreak that </w:t>
      </w:r>
      <w:r w:rsidR="00787549" w:rsidRPr="00D8046E">
        <w:t>either</w:t>
      </w:r>
      <w:r w:rsidR="00814D4C" w:rsidRPr="00D8046E">
        <w:t xml:space="preserve"> killed </w:t>
      </w:r>
      <w:r w:rsidR="00787549" w:rsidRPr="00D8046E">
        <w:t xml:space="preserve">some people (high magnitude </w:t>
      </w:r>
      <w:r w:rsidR="00281BBC" w:rsidRPr="00D8046E">
        <w:t>effect</w:t>
      </w:r>
      <w:r w:rsidR="00787549" w:rsidRPr="00D8046E">
        <w:t>) or</w:t>
      </w:r>
      <w:r w:rsidR="00814D4C" w:rsidRPr="00D8046E">
        <w:t xml:space="preserve"> hospitalized </w:t>
      </w:r>
      <w:r w:rsidR="00787549" w:rsidRPr="00D8046E">
        <w:t xml:space="preserve">them (low magnitude </w:t>
      </w:r>
      <w:r w:rsidR="00281BBC" w:rsidRPr="00D8046E">
        <w:t>effect</w:t>
      </w:r>
      <w:r w:rsidR="00787549" w:rsidRPr="00D8046E">
        <w:t>)</w:t>
      </w:r>
      <w:r w:rsidR="00814D4C" w:rsidRPr="00D8046E">
        <w:t xml:space="preserve">. </w:t>
      </w:r>
      <w:r w:rsidRPr="00D8046E">
        <w:t xml:space="preserve">The </w:t>
      </w:r>
      <w:r w:rsidR="00281BBC" w:rsidRPr="00D8046E">
        <w:t>effect</w:t>
      </w:r>
      <w:r w:rsidR="00814D4C" w:rsidRPr="00D8046E">
        <w:t xml:space="preserve"> </w:t>
      </w:r>
      <w:r w:rsidR="00787549" w:rsidRPr="00D8046E">
        <w:t>w</w:t>
      </w:r>
      <w:r w:rsidRPr="00D8046E">
        <w:t>as</w:t>
      </w:r>
      <w:r w:rsidR="00814D4C" w:rsidRPr="00D8046E">
        <w:t xml:space="preserve"> followed by </w:t>
      </w:r>
      <w:r w:rsidR="00A66DA1" w:rsidRPr="00D8046E">
        <w:t xml:space="preserve">two </w:t>
      </w:r>
      <w:r w:rsidR="00F01D79" w:rsidRPr="00D8046E">
        <w:t xml:space="preserve">potential </w:t>
      </w:r>
      <w:r w:rsidR="00814D4C" w:rsidRPr="00D8046E">
        <w:t xml:space="preserve">causes, </w:t>
      </w:r>
      <w:r w:rsidR="00AD5D1A" w:rsidRPr="00D8046E">
        <w:t xml:space="preserve">a </w:t>
      </w:r>
      <w:r w:rsidR="00BB224E" w:rsidRPr="00D8046E">
        <w:t xml:space="preserve">highly infectious </w:t>
      </w:r>
      <w:r w:rsidR="00AD5D1A" w:rsidRPr="00D8046E">
        <w:t xml:space="preserve">strain of </w:t>
      </w:r>
      <w:r w:rsidR="00BB224E" w:rsidRPr="00D8046E">
        <w:t>bacteria</w:t>
      </w:r>
      <w:r w:rsidR="00787549" w:rsidRPr="00D8046E">
        <w:t xml:space="preserve"> (high magnitude cause) </w:t>
      </w:r>
      <w:r w:rsidR="00814D4C" w:rsidRPr="00D8046E">
        <w:t xml:space="preserve">or </w:t>
      </w:r>
      <w:r w:rsidR="00AD5D1A" w:rsidRPr="00D8046E">
        <w:t xml:space="preserve">a </w:t>
      </w:r>
      <w:r w:rsidR="00BB224E" w:rsidRPr="00D8046E">
        <w:t xml:space="preserve">standard </w:t>
      </w:r>
      <w:r w:rsidR="00AD5D1A" w:rsidRPr="00D8046E">
        <w:t xml:space="preserve">strain of </w:t>
      </w:r>
      <w:r w:rsidR="00BB224E" w:rsidRPr="00D8046E">
        <w:t>bacteria</w:t>
      </w:r>
      <w:r w:rsidR="00814D4C" w:rsidRPr="00D8046E">
        <w:t xml:space="preserve"> (</w:t>
      </w:r>
      <w:r w:rsidR="00787549" w:rsidRPr="00D8046E">
        <w:t>low magnitude cause</w:t>
      </w:r>
      <w:r w:rsidR="00814D4C" w:rsidRPr="00D8046E">
        <w:t>)</w:t>
      </w:r>
      <w:r w:rsidR="00F61F21" w:rsidRPr="00D8046E">
        <w:t xml:space="preserve"> (</w:t>
      </w:r>
      <w:r w:rsidR="00EC2A8C" w:rsidRPr="00D8046E">
        <w:t>see A</w:t>
      </w:r>
      <w:r w:rsidR="00434F00" w:rsidRPr="00D8046E">
        <w:t>ppendix</w:t>
      </w:r>
      <w:r w:rsidR="00F61F21" w:rsidRPr="00D8046E">
        <w:t>)</w:t>
      </w:r>
      <w:r w:rsidR="006B4BD0" w:rsidRPr="00D8046E">
        <w:t>.</w:t>
      </w:r>
      <w:r w:rsidR="00787549" w:rsidRPr="00D8046E">
        <w:t xml:space="preserve"> </w:t>
      </w:r>
      <w:r w:rsidR="008725B5" w:rsidRPr="00D8046E">
        <w:t>P</w:t>
      </w:r>
      <w:r w:rsidR="00A66DA1" w:rsidRPr="00D8046E">
        <w:t xml:space="preserve">articipants rated the likelihood that each of the two causes had led to the </w:t>
      </w:r>
      <w:r w:rsidR="00281BBC" w:rsidRPr="00D8046E">
        <w:t>effect</w:t>
      </w:r>
      <w:r w:rsidR="00A66DA1" w:rsidRPr="00D8046E">
        <w:t xml:space="preserve"> on a 9-point scale (1 = </w:t>
      </w:r>
      <w:r w:rsidR="00BD472F" w:rsidRPr="00D8046E">
        <w:rPr>
          <w:i/>
        </w:rPr>
        <w:t>not likely at all</w:t>
      </w:r>
      <w:r w:rsidR="00A66DA1" w:rsidRPr="00D8046E">
        <w:t xml:space="preserve">, 9 = </w:t>
      </w:r>
      <w:r w:rsidR="00A66DA1" w:rsidRPr="00D8046E">
        <w:rPr>
          <w:i/>
        </w:rPr>
        <w:t>extremely likely</w:t>
      </w:r>
      <w:r w:rsidR="00A66DA1" w:rsidRPr="00D8046E">
        <w:t xml:space="preserve">). </w:t>
      </w:r>
      <w:r w:rsidR="00CA0051" w:rsidRPr="00D8046E">
        <w:t>In summary, Study 1</w:t>
      </w:r>
      <w:r w:rsidR="001A3F86" w:rsidRPr="00D8046E">
        <w:t>a</w:t>
      </w:r>
      <w:r w:rsidR="00CA0051" w:rsidRPr="00D8046E">
        <w:t xml:space="preserve"> </w:t>
      </w:r>
      <w:r w:rsidR="0044117F" w:rsidRPr="00D8046E">
        <w:t>had</w:t>
      </w:r>
      <w:r w:rsidR="00CA0051" w:rsidRPr="00D8046E">
        <w:t xml:space="preserve"> </w:t>
      </w:r>
      <w:r w:rsidR="00D41AEE" w:rsidRPr="00D8046E">
        <w:t>a 2 (culture: Canadians vs. Chinese) by 2 (</w:t>
      </w:r>
      <w:r w:rsidR="00511528" w:rsidRPr="00D8046E">
        <w:t>effect</w:t>
      </w:r>
      <w:r w:rsidR="00D41AEE" w:rsidRPr="00D8046E">
        <w:t xml:space="preserve"> magnitude: high vs. low) by 2 (cause magnitude: high vs. low) design</w:t>
      </w:r>
      <w:r w:rsidR="00CA0051" w:rsidRPr="00D8046E">
        <w:t xml:space="preserve">. The cause magnitude factor </w:t>
      </w:r>
      <w:r w:rsidR="00123E07" w:rsidRPr="00D8046E">
        <w:t>varied</w:t>
      </w:r>
      <w:r w:rsidR="00CA0051" w:rsidRPr="00D8046E">
        <w:t xml:space="preserve"> within-</w:t>
      </w:r>
      <w:r w:rsidR="00F01D79" w:rsidRPr="00D8046E">
        <w:t>participants</w:t>
      </w:r>
      <w:r w:rsidR="00484C23" w:rsidRPr="00D8046E">
        <w:t>,</w:t>
      </w:r>
      <w:r w:rsidR="00CA0051" w:rsidRPr="00D8046E">
        <w:t xml:space="preserve"> and the other factors </w:t>
      </w:r>
      <w:r w:rsidR="00123E07" w:rsidRPr="00D8046E">
        <w:t>varied</w:t>
      </w:r>
      <w:r w:rsidR="00CA0051" w:rsidRPr="00D8046E">
        <w:t xml:space="preserve"> between-</w:t>
      </w:r>
      <w:r w:rsidR="00F01D79" w:rsidRPr="00D8046E">
        <w:t>participant</w:t>
      </w:r>
      <w:r w:rsidR="00511528" w:rsidRPr="00D8046E">
        <w:t>s</w:t>
      </w:r>
      <w:r w:rsidR="00CA0051" w:rsidRPr="00D8046E">
        <w:t>.</w:t>
      </w:r>
      <w:r w:rsidRPr="00D8046E">
        <w:t xml:space="preserve"> </w:t>
      </w:r>
    </w:p>
    <w:p w:rsidR="004E66F6" w:rsidRDefault="007546B5" w:rsidP="00CA0051">
      <w:pPr>
        <w:spacing w:line="480" w:lineRule="auto"/>
        <w:ind w:firstLine="720"/>
      </w:pPr>
      <w:r>
        <w:rPr>
          <w:i/>
        </w:rPr>
        <w:t xml:space="preserve">Cause and Effect Magnitude. </w:t>
      </w:r>
      <w:r>
        <w:t>To operationalize the magnitude of effects, we selected single events, such as a disease outbreak, and varied the severity of the consequences associated with that event, e.g., few or many deaths. We then selected causes that people would intuitively associate with that event, such as a virus. To operationalize the magnitude of these causes, we chose causes such that if all else were equal, a more extreme version, such as a treatment-resistant strain of the virus, would be associated with the more extreme effect</w:t>
      </w:r>
      <w:r w:rsidR="00580B53">
        <w:t xml:space="preserve"> to a greater extent</w:t>
      </w:r>
      <w:r>
        <w:t xml:space="preserve"> than would a less extreme version, such as a standard strain of the virus. </w:t>
      </w:r>
      <w:r w:rsidR="004E66F6" w:rsidRPr="00D8046E">
        <w:t>Th</w:t>
      </w:r>
      <w:r w:rsidR="004E66F6">
        <w:t>is</w:t>
      </w:r>
      <w:r w:rsidR="004E66F6" w:rsidRPr="00D8046E">
        <w:t xml:space="preserve"> same procedure for generating study materials was followed in all the studies reported in this paper.</w:t>
      </w:r>
    </w:p>
    <w:p w:rsidR="00FA6E8A" w:rsidRDefault="00C6751B" w:rsidP="00CA0051">
      <w:pPr>
        <w:spacing w:line="480" w:lineRule="auto"/>
        <w:ind w:firstLine="720"/>
      </w:pPr>
      <w:r w:rsidRPr="00D8046E">
        <w:t>The</w:t>
      </w:r>
      <w:r w:rsidR="007471EA" w:rsidRPr="00D8046E">
        <w:t xml:space="preserve"> study materials were generated by two Canadian and two Chinese researchers to ensure they were familia</w:t>
      </w:r>
      <w:r w:rsidR="00B814D0" w:rsidRPr="00D8046E">
        <w:t>r and realistic to both cultures</w:t>
      </w:r>
      <w:r w:rsidR="007471EA" w:rsidRPr="00D8046E">
        <w:t xml:space="preserve">. Pilot testing indicated that </w:t>
      </w:r>
      <w:r w:rsidR="0071596F" w:rsidRPr="00D8046E">
        <w:t xml:space="preserve">Canadians and </w:t>
      </w:r>
      <w:r w:rsidR="007471EA" w:rsidRPr="00D8046E">
        <w:t xml:space="preserve">Chinese perceived the magnitudes and independent likelihoods of </w:t>
      </w:r>
      <w:r w:rsidR="00511528" w:rsidRPr="00D8046E">
        <w:t>effects</w:t>
      </w:r>
      <w:r w:rsidR="007471EA" w:rsidRPr="00D8046E">
        <w:t xml:space="preserve"> and causes to be </w:t>
      </w:r>
      <w:r w:rsidR="007471EA" w:rsidRPr="00D8046E">
        <w:lastRenderedPageBreak/>
        <w:t xml:space="preserve">equivalent. </w:t>
      </w:r>
      <w:r w:rsidR="0071596F" w:rsidRPr="00D8046E">
        <w:t>Th</w:t>
      </w:r>
      <w:r w:rsidR="004E66F6">
        <w:t>is</w:t>
      </w:r>
      <w:r w:rsidR="0071596F" w:rsidRPr="00D8046E">
        <w:t xml:space="preserve"> same procedure for generating </w:t>
      </w:r>
      <w:r w:rsidR="0071596F">
        <w:t xml:space="preserve">and pilot testing </w:t>
      </w:r>
      <w:r w:rsidR="0071596F" w:rsidRPr="00D8046E">
        <w:t>study materials was followed in all the studies reported in this paper.</w:t>
      </w:r>
    </w:p>
    <w:p w:rsidR="00CA0051" w:rsidRPr="00D8046E" w:rsidRDefault="00FA6E8A" w:rsidP="00CA0051">
      <w:pPr>
        <w:spacing w:line="480" w:lineRule="auto"/>
        <w:ind w:firstLine="720"/>
      </w:pPr>
      <w:r>
        <w:rPr>
          <w:i/>
        </w:rPr>
        <w:t xml:space="preserve">Translation. </w:t>
      </w:r>
      <w:r w:rsidR="007471EA" w:rsidRPr="00D8046E">
        <w:t xml:space="preserve">All materials were first developed in English and then translated into Chinese. The Chinese and English versions were </w:t>
      </w:r>
      <w:r w:rsidR="00016166" w:rsidRPr="00D8046E">
        <w:t xml:space="preserve">then </w:t>
      </w:r>
      <w:r w:rsidR="007471EA" w:rsidRPr="00D8046E">
        <w:t xml:space="preserve">compared by two Chinese researchers who have lived in </w:t>
      </w:r>
      <w:smartTag w:uri="urn:schemas-microsoft-com:office:smarttags" w:element="place">
        <w:r w:rsidR="007471EA" w:rsidRPr="00D8046E">
          <w:t>North America</w:t>
        </w:r>
      </w:smartTag>
      <w:r w:rsidR="007471EA" w:rsidRPr="00D8046E">
        <w:t xml:space="preserve"> for at least </w:t>
      </w:r>
      <w:r w:rsidR="0099482E" w:rsidRPr="00D8046E">
        <w:t>four</w:t>
      </w:r>
      <w:r w:rsidR="007471EA" w:rsidRPr="00D8046E">
        <w:t xml:space="preserve"> years. Additionally, a back-translation procedure was used to check consistency of meaning, and</w:t>
      </w:r>
      <w:r w:rsidR="008F1CE0" w:rsidRPr="00D8046E">
        <w:t xml:space="preserve"> finally</w:t>
      </w:r>
      <w:r w:rsidR="007471EA" w:rsidRPr="00D8046E">
        <w:t xml:space="preserve"> the translations were checked by at least three Chinese researchers </w:t>
      </w:r>
      <w:r w:rsidR="001D25F5" w:rsidRPr="00D8046E">
        <w:t xml:space="preserve">in </w:t>
      </w:r>
      <w:smartTag w:uri="urn:schemas-microsoft-com:office:smarttags" w:element="country-region">
        <w:smartTag w:uri="urn:schemas-microsoft-com:office:smarttags" w:element="place">
          <w:r w:rsidR="001D25F5" w:rsidRPr="00D8046E">
            <w:t>China</w:t>
          </w:r>
        </w:smartTag>
      </w:smartTag>
      <w:r w:rsidR="001D25F5" w:rsidRPr="00D8046E">
        <w:t xml:space="preserve"> </w:t>
      </w:r>
      <w:r w:rsidR="007471EA" w:rsidRPr="00D8046E">
        <w:t>to ensure they were free of error and that they sounded natural.</w:t>
      </w:r>
      <w:r w:rsidR="00C6751B" w:rsidRPr="00D8046E">
        <w:t xml:space="preserve"> The same procedure </w:t>
      </w:r>
      <w:r w:rsidR="00933478" w:rsidRPr="00D8046E">
        <w:t xml:space="preserve">for translating study materials </w:t>
      </w:r>
      <w:r w:rsidR="00C6751B" w:rsidRPr="00D8046E">
        <w:t xml:space="preserve">was followed in all the studies reported in this paper. </w:t>
      </w:r>
    </w:p>
    <w:p w:rsidR="00A66DA1" w:rsidRPr="00D8046E" w:rsidRDefault="00A66DA1" w:rsidP="00A66DA1">
      <w:pPr>
        <w:spacing w:line="480" w:lineRule="auto"/>
        <w:jc w:val="center"/>
      </w:pPr>
      <w:r w:rsidRPr="00D8046E">
        <w:t>Results</w:t>
      </w:r>
      <w:r w:rsidR="00224E62" w:rsidRPr="00D8046E">
        <w:t xml:space="preserve"> </w:t>
      </w:r>
    </w:p>
    <w:p w:rsidR="00A66DA1" w:rsidRPr="00D8046E" w:rsidRDefault="00A66DA1" w:rsidP="00A66DA1">
      <w:pPr>
        <w:spacing w:line="480" w:lineRule="auto"/>
        <w:rPr>
          <w:i/>
        </w:rPr>
      </w:pPr>
      <w:r w:rsidRPr="00D8046E">
        <w:rPr>
          <w:i/>
        </w:rPr>
        <w:t xml:space="preserve">Test of </w:t>
      </w:r>
      <w:r w:rsidR="00BB08F0" w:rsidRPr="00D8046E">
        <w:rPr>
          <w:i/>
        </w:rPr>
        <w:t>Cause-</w:t>
      </w:r>
      <w:r w:rsidR="00281BBC" w:rsidRPr="00D8046E">
        <w:rPr>
          <w:i/>
        </w:rPr>
        <w:t>Effect</w:t>
      </w:r>
      <w:r w:rsidRPr="00D8046E">
        <w:rPr>
          <w:i/>
        </w:rPr>
        <w:t xml:space="preserve"> Magnitude Correspondence</w:t>
      </w:r>
    </w:p>
    <w:p w:rsidR="0099482E" w:rsidRPr="00D8046E" w:rsidRDefault="00A66DA1" w:rsidP="007035C2">
      <w:pPr>
        <w:spacing w:line="480" w:lineRule="auto"/>
      </w:pPr>
      <w:r w:rsidRPr="00D8046E">
        <w:rPr>
          <w:i/>
        </w:rPr>
        <w:tab/>
      </w:r>
      <w:r w:rsidRPr="00D8046E">
        <w:t xml:space="preserve">Preliminary analyses indicated no significant </w:t>
      </w:r>
      <w:r w:rsidR="00EC2BA7" w:rsidRPr="00D8046E">
        <w:t xml:space="preserve">gender </w:t>
      </w:r>
      <w:r w:rsidRPr="00D8046E">
        <w:t xml:space="preserve">effects, </w:t>
      </w:r>
      <w:r w:rsidRPr="00D8046E">
        <w:rPr>
          <w:i/>
        </w:rPr>
        <w:t>F</w:t>
      </w:r>
      <w:r w:rsidRPr="00D8046E">
        <w:t>s &gt; 1</w:t>
      </w:r>
      <w:r w:rsidR="0099482E" w:rsidRPr="00D8046E">
        <w:t>, as</w:t>
      </w:r>
      <w:r w:rsidR="00EC2BA7" w:rsidRPr="00D8046E">
        <w:t xml:space="preserve"> was true for all studies reported in this paper. Thus gender</w:t>
      </w:r>
      <w:r w:rsidR="000A0B91" w:rsidRPr="00D8046E">
        <w:t xml:space="preserve"> will not be discussed further</w:t>
      </w:r>
      <w:r w:rsidR="00A343F3" w:rsidRPr="00D8046E">
        <w:t>.</w:t>
      </w:r>
      <w:r w:rsidRPr="00D8046E">
        <w:t xml:space="preserve"> </w:t>
      </w:r>
    </w:p>
    <w:p w:rsidR="009A325F" w:rsidRPr="00D8046E" w:rsidRDefault="004248C1" w:rsidP="0099482E">
      <w:pPr>
        <w:spacing w:line="480" w:lineRule="auto"/>
        <w:ind w:firstLine="720"/>
      </w:pPr>
      <w:r w:rsidRPr="00D8046E">
        <w:t>A 2 (culture) X 2 (</w:t>
      </w:r>
      <w:r w:rsidR="00A343F3" w:rsidRPr="00D8046E">
        <w:t>effect</w:t>
      </w:r>
      <w:r w:rsidRPr="00D8046E">
        <w:t xml:space="preserve"> magnitude) X 2 (cause magnitude) </w:t>
      </w:r>
      <w:r w:rsidR="000013DE" w:rsidRPr="00D8046E">
        <w:t>mixed-</w:t>
      </w:r>
      <w:r w:rsidR="00042D29">
        <w:t>model</w:t>
      </w:r>
      <w:r w:rsidR="00042D29" w:rsidRPr="00D8046E">
        <w:t xml:space="preserve"> </w:t>
      </w:r>
      <w:r w:rsidRPr="00D8046E">
        <w:t xml:space="preserve">analysis of variance (ANOVA) revealed a significant </w:t>
      </w:r>
      <w:r w:rsidR="004B7AE0" w:rsidRPr="00D8046E">
        <w:t xml:space="preserve">main effect </w:t>
      </w:r>
      <w:r w:rsidRPr="00D8046E">
        <w:t xml:space="preserve">of </w:t>
      </w:r>
      <w:r w:rsidR="00A343F3" w:rsidRPr="00D8046E">
        <w:t>effect</w:t>
      </w:r>
      <w:r w:rsidRPr="00D8046E">
        <w:t xml:space="preserve"> magnitude</w:t>
      </w:r>
      <w:r w:rsidR="004B7AE0" w:rsidRPr="00D8046E">
        <w:t xml:space="preserve">, </w:t>
      </w:r>
      <w:r w:rsidR="004B7AE0" w:rsidRPr="00D8046E">
        <w:rPr>
          <w:i/>
        </w:rPr>
        <w:t>F</w:t>
      </w:r>
      <w:r w:rsidR="004B7AE0" w:rsidRPr="00D8046E">
        <w:t xml:space="preserve">(1, 115) = 13.55, </w:t>
      </w:r>
      <w:r w:rsidR="004B7AE0" w:rsidRPr="00D8046E">
        <w:rPr>
          <w:i/>
        </w:rPr>
        <w:t>p</w:t>
      </w:r>
      <w:r w:rsidR="004B7AE0" w:rsidRPr="00D8046E">
        <w:t xml:space="preserve"> &lt; .001</w:t>
      </w:r>
      <w:r w:rsidR="007471EA" w:rsidRPr="00D8046E">
        <w:t>, such that</w:t>
      </w:r>
      <w:r w:rsidR="0044014D" w:rsidRPr="00D8046E">
        <w:t xml:space="preserve"> participants in the high magnitude effect condition gave higher likelihood ratings for the causes</w:t>
      </w:r>
      <w:r w:rsidR="0099482E" w:rsidRPr="00D8046E">
        <w:t xml:space="preserve"> (</w:t>
      </w:r>
      <w:r w:rsidR="0099482E" w:rsidRPr="00D8046E">
        <w:rPr>
          <w:i/>
        </w:rPr>
        <w:t>M</w:t>
      </w:r>
      <w:r w:rsidR="0099482E" w:rsidRPr="00D8046E">
        <w:t xml:space="preserve"> = </w:t>
      </w:r>
      <w:r w:rsidR="006D0582" w:rsidRPr="00D8046E">
        <w:t>5.89</w:t>
      </w:r>
      <w:r w:rsidR="0099482E" w:rsidRPr="00D8046E">
        <w:t xml:space="preserve">, </w:t>
      </w:r>
      <w:r w:rsidR="0099482E" w:rsidRPr="00D8046E">
        <w:rPr>
          <w:i/>
        </w:rPr>
        <w:t>SD</w:t>
      </w:r>
      <w:r w:rsidR="0099482E" w:rsidRPr="00D8046E">
        <w:t xml:space="preserve"> = </w:t>
      </w:r>
      <w:r w:rsidR="006D0582" w:rsidRPr="00D8046E">
        <w:t>.91</w:t>
      </w:r>
      <w:r w:rsidR="0099482E" w:rsidRPr="00D8046E">
        <w:t>)</w:t>
      </w:r>
      <w:r w:rsidR="0044014D" w:rsidRPr="00D8046E">
        <w:t>, in comparison with those in the low magnitude effect condition</w:t>
      </w:r>
      <w:r w:rsidR="006D0582" w:rsidRPr="00D8046E">
        <w:t xml:space="preserve"> (</w:t>
      </w:r>
      <w:r w:rsidR="006D0582" w:rsidRPr="00D8046E">
        <w:rPr>
          <w:i/>
        </w:rPr>
        <w:t>M</w:t>
      </w:r>
      <w:r w:rsidR="006D0582" w:rsidRPr="00D8046E">
        <w:t xml:space="preserve"> = 5.27, </w:t>
      </w:r>
      <w:r w:rsidR="006D0582" w:rsidRPr="00D8046E">
        <w:rPr>
          <w:i/>
        </w:rPr>
        <w:t>SD</w:t>
      </w:r>
      <w:r w:rsidR="006D0582" w:rsidRPr="00D8046E">
        <w:t xml:space="preserve"> = .92)</w:t>
      </w:r>
      <w:r w:rsidR="0044014D" w:rsidRPr="00D8046E">
        <w:t>.</w:t>
      </w:r>
      <w:r w:rsidR="007471EA" w:rsidRPr="00D8046E">
        <w:t xml:space="preserve"> </w:t>
      </w:r>
      <w:r w:rsidR="00B25440" w:rsidRPr="00D8046E">
        <w:t xml:space="preserve">This </w:t>
      </w:r>
      <w:r w:rsidR="0099482E" w:rsidRPr="00D8046E">
        <w:t xml:space="preserve">pattern </w:t>
      </w:r>
      <w:r w:rsidR="00B25440" w:rsidRPr="00D8046E">
        <w:t>indicate</w:t>
      </w:r>
      <w:r w:rsidR="007471EA" w:rsidRPr="00D8046E">
        <w:t>d</w:t>
      </w:r>
      <w:r w:rsidR="00B25440" w:rsidRPr="00D8046E">
        <w:t xml:space="preserve"> a stronger reaction to the high magnitude </w:t>
      </w:r>
      <w:r w:rsidR="00752E32" w:rsidRPr="00D8046E">
        <w:t>effect</w:t>
      </w:r>
      <w:r w:rsidR="007471EA" w:rsidRPr="00D8046E">
        <w:t xml:space="preserve"> </w:t>
      </w:r>
      <w:r w:rsidR="00B25440" w:rsidRPr="00D8046E">
        <w:t xml:space="preserve">compared with the low magnitude </w:t>
      </w:r>
      <w:r w:rsidR="007F26DA" w:rsidRPr="00D8046E">
        <w:t>effect</w:t>
      </w:r>
      <w:r w:rsidR="00B25440" w:rsidRPr="00D8046E">
        <w:t xml:space="preserve">. </w:t>
      </w:r>
      <w:r w:rsidR="00B21302" w:rsidRPr="00D8046E">
        <w:t xml:space="preserve">The </w:t>
      </w:r>
      <w:r w:rsidR="00752E32" w:rsidRPr="00D8046E">
        <w:t>effect</w:t>
      </w:r>
      <w:r w:rsidR="00A66DA1" w:rsidRPr="00D8046E">
        <w:t xml:space="preserve"> </w:t>
      </w:r>
      <w:r w:rsidR="00B21302" w:rsidRPr="00D8046E">
        <w:t>m</w:t>
      </w:r>
      <w:r w:rsidR="00A66DA1" w:rsidRPr="00D8046E">
        <w:t xml:space="preserve">agnitude by </w:t>
      </w:r>
      <w:r w:rsidR="00B21302" w:rsidRPr="00D8046E">
        <w:t>c</w:t>
      </w:r>
      <w:r w:rsidR="00A66DA1" w:rsidRPr="00D8046E">
        <w:t xml:space="preserve">ause </w:t>
      </w:r>
      <w:r w:rsidR="00B21302" w:rsidRPr="00D8046E">
        <w:t>m</w:t>
      </w:r>
      <w:r w:rsidR="00A66DA1" w:rsidRPr="00D8046E">
        <w:t xml:space="preserve">agnitude interaction was significant, </w:t>
      </w:r>
      <w:r w:rsidR="00A66DA1" w:rsidRPr="00D8046E">
        <w:rPr>
          <w:i/>
        </w:rPr>
        <w:t>F</w:t>
      </w:r>
      <w:r w:rsidR="00A66DA1" w:rsidRPr="00D8046E">
        <w:t xml:space="preserve">(1, </w:t>
      </w:r>
      <w:r w:rsidR="00B21302" w:rsidRPr="00D8046E">
        <w:t>115</w:t>
      </w:r>
      <w:r w:rsidR="00A66DA1" w:rsidRPr="00D8046E">
        <w:t xml:space="preserve">) = </w:t>
      </w:r>
      <w:r w:rsidR="00B21302" w:rsidRPr="00D8046E">
        <w:t>160.18</w:t>
      </w:r>
      <w:r w:rsidR="00A66DA1" w:rsidRPr="00D8046E">
        <w:t xml:space="preserve">, </w:t>
      </w:r>
      <w:r w:rsidR="00A66DA1" w:rsidRPr="00D8046E">
        <w:rPr>
          <w:i/>
        </w:rPr>
        <w:t>p</w:t>
      </w:r>
      <w:r w:rsidR="00A66DA1" w:rsidRPr="00D8046E">
        <w:t xml:space="preserve"> &lt; .001, η</w:t>
      </w:r>
      <w:r w:rsidR="00A66DA1" w:rsidRPr="00D8046E">
        <w:rPr>
          <w:vertAlign w:val="subscript"/>
        </w:rPr>
        <w:t>p</w:t>
      </w:r>
      <w:r w:rsidR="00A66DA1" w:rsidRPr="00D8046E">
        <w:rPr>
          <w:vertAlign w:val="superscript"/>
        </w:rPr>
        <w:t>2</w:t>
      </w:r>
      <w:r w:rsidR="00A66DA1" w:rsidRPr="00D8046E">
        <w:t xml:space="preserve"> = .5</w:t>
      </w:r>
      <w:r w:rsidR="00B21302" w:rsidRPr="00D8046E">
        <w:t>8</w:t>
      </w:r>
      <w:r w:rsidR="00A66DA1" w:rsidRPr="00D8046E">
        <w:t>.</w:t>
      </w:r>
      <w:r w:rsidR="007471EA" w:rsidRPr="00D8046E">
        <w:t xml:space="preserve"> </w:t>
      </w:r>
      <w:r w:rsidR="00AC5DC3" w:rsidRPr="00D8046E">
        <w:t xml:space="preserve">Overall, participants </w:t>
      </w:r>
      <w:r w:rsidR="00017A8B" w:rsidRPr="00D8046E">
        <w:t>tended to associate</w:t>
      </w:r>
      <w:r w:rsidR="007471EA" w:rsidRPr="00D8046E">
        <w:t xml:space="preserve"> the</w:t>
      </w:r>
      <w:r w:rsidR="00017A8B" w:rsidRPr="00D8046E">
        <w:t xml:space="preserve"> high magnitude </w:t>
      </w:r>
      <w:r w:rsidR="00752E32" w:rsidRPr="00D8046E">
        <w:t>effect</w:t>
      </w:r>
      <w:r w:rsidR="00017A8B" w:rsidRPr="00D8046E">
        <w:t xml:space="preserve"> with </w:t>
      </w:r>
      <w:r w:rsidR="007471EA" w:rsidRPr="00D8046E">
        <w:t xml:space="preserve">the </w:t>
      </w:r>
      <w:r w:rsidR="00017A8B" w:rsidRPr="00D8046E">
        <w:t xml:space="preserve">high magnitude cause </w:t>
      </w:r>
      <w:r w:rsidR="00A66DA1" w:rsidRPr="00D8046E">
        <w:t>(</w:t>
      </w:r>
      <w:r w:rsidR="00A66DA1" w:rsidRPr="00D8046E">
        <w:rPr>
          <w:i/>
        </w:rPr>
        <w:t>M</w:t>
      </w:r>
      <w:r w:rsidR="00A66DA1" w:rsidRPr="00D8046E">
        <w:t xml:space="preserve"> = 7.</w:t>
      </w:r>
      <w:r w:rsidR="00B21302" w:rsidRPr="00D8046E">
        <w:t>73</w:t>
      </w:r>
      <w:r w:rsidR="00A66DA1" w:rsidRPr="00D8046E">
        <w:t xml:space="preserve">, </w:t>
      </w:r>
      <w:r w:rsidR="00A66DA1" w:rsidRPr="00D8046E">
        <w:rPr>
          <w:i/>
        </w:rPr>
        <w:t>SD</w:t>
      </w:r>
      <w:r w:rsidR="00A66DA1" w:rsidRPr="00D8046E">
        <w:t xml:space="preserve"> = 1.</w:t>
      </w:r>
      <w:r w:rsidR="00B21302" w:rsidRPr="00D8046E">
        <w:t>40</w:t>
      </w:r>
      <w:r w:rsidR="00A66DA1" w:rsidRPr="00D8046E">
        <w:t>) more than</w:t>
      </w:r>
      <w:r w:rsidR="007471EA" w:rsidRPr="00D8046E">
        <w:t xml:space="preserve"> with the</w:t>
      </w:r>
      <w:r w:rsidR="00A66DA1" w:rsidRPr="00D8046E">
        <w:t xml:space="preserve"> </w:t>
      </w:r>
      <w:r w:rsidR="00017A8B" w:rsidRPr="00D8046E">
        <w:t>low magnitude</w:t>
      </w:r>
      <w:r w:rsidR="00A66DA1" w:rsidRPr="00D8046E">
        <w:t xml:space="preserve"> cause </w:t>
      </w:r>
      <w:r w:rsidR="001C008F" w:rsidRPr="00D8046E">
        <w:t>(</w:t>
      </w:r>
      <w:r w:rsidR="001C008F" w:rsidRPr="00D8046E">
        <w:rPr>
          <w:i/>
        </w:rPr>
        <w:t>M</w:t>
      </w:r>
      <w:r w:rsidR="001C008F" w:rsidRPr="00D8046E">
        <w:t xml:space="preserve"> = 4.05, </w:t>
      </w:r>
      <w:r w:rsidR="001C008F" w:rsidRPr="00D8046E">
        <w:rPr>
          <w:i/>
        </w:rPr>
        <w:t>SD</w:t>
      </w:r>
      <w:r w:rsidR="001C008F" w:rsidRPr="00D8046E">
        <w:t xml:space="preserve"> = 1.77)</w:t>
      </w:r>
      <w:r w:rsidR="00A66DA1" w:rsidRPr="00D8046E">
        <w:t xml:space="preserve">, and </w:t>
      </w:r>
      <w:r w:rsidR="007471EA" w:rsidRPr="00D8046E">
        <w:t xml:space="preserve">the </w:t>
      </w:r>
      <w:r w:rsidR="00017A8B" w:rsidRPr="00D8046E">
        <w:t>low magnitude</w:t>
      </w:r>
      <w:r w:rsidR="00A66DA1" w:rsidRPr="00D8046E">
        <w:t xml:space="preserve"> </w:t>
      </w:r>
      <w:r w:rsidR="00752E32" w:rsidRPr="00D8046E">
        <w:t>effect</w:t>
      </w:r>
      <w:r w:rsidR="00A66DA1" w:rsidRPr="00D8046E">
        <w:t xml:space="preserve"> with </w:t>
      </w:r>
      <w:r w:rsidR="007471EA" w:rsidRPr="00D8046E">
        <w:t xml:space="preserve">the </w:t>
      </w:r>
      <w:r w:rsidR="00017A8B" w:rsidRPr="00D8046E">
        <w:t>low magnitude</w:t>
      </w:r>
      <w:r w:rsidR="00A66DA1" w:rsidRPr="00D8046E">
        <w:t xml:space="preserve"> cause (</w:t>
      </w:r>
      <w:r w:rsidR="00A66DA1" w:rsidRPr="00D8046E">
        <w:rPr>
          <w:i/>
        </w:rPr>
        <w:t>M</w:t>
      </w:r>
      <w:r w:rsidR="00A66DA1" w:rsidRPr="00D8046E">
        <w:t xml:space="preserve"> = </w:t>
      </w:r>
      <w:r w:rsidR="00B21302" w:rsidRPr="00D8046E">
        <w:t>6.82</w:t>
      </w:r>
      <w:r w:rsidR="00A66DA1" w:rsidRPr="00D8046E">
        <w:t xml:space="preserve">, </w:t>
      </w:r>
      <w:r w:rsidR="00A66DA1" w:rsidRPr="00D8046E">
        <w:rPr>
          <w:i/>
        </w:rPr>
        <w:t>SD</w:t>
      </w:r>
      <w:r w:rsidR="00B21302" w:rsidRPr="00D8046E">
        <w:t xml:space="preserve"> = 1.67</w:t>
      </w:r>
      <w:r w:rsidR="00A66DA1" w:rsidRPr="00D8046E">
        <w:t>) more than</w:t>
      </w:r>
      <w:r w:rsidR="007471EA" w:rsidRPr="00D8046E">
        <w:t xml:space="preserve"> with the</w:t>
      </w:r>
      <w:r w:rsidR="00A66DA1" w:rsidRPr="00D8046E">
        <w:t xml:space="preserve"> </w:t>
      </w:r>
      <w:r w:rsidR="00017A8B" w:rsidRPr="00D8046E">
        <w:t>high magnitude</w:t>
      </w:r>
      <w:r w:rsidR="00A66DA1" w:rsidRPr="00D8046E">
        <w:t xml:space="preserve"> cause</w:t>
      </w:r>
      <w:r w:rsidR="001C008F" w:rsidRPr="00D8046E">
        <w:t xml:space="preserve"> </w:t>
      </w:r>
      <w:r w:rsidR="001C008F" w:rsidRPr="00D8046E">
        <w:lastRenderedPageBreak/>
        <w:t>(</w:t>
      </w:r>
      <w:r w:rsidR="001C008F" w:rsidRPr="00D8046E">
        <w:rPr>
          <w:i/>
        </w:rPr>
        <w:t>M</w:t>
      </w:r>
      <w:r w:rsidR="001C008F" w:rsidRPr="00D8046E">
        <w:t xml:space="preserve"> = 3.72, </w:t>
      </w:r>
      <w:r w:rsidR="001C008F" w:rsidRPr="00D8046E">
        <w:rPr>
          <w:i/>
        </w:rPr>
        <w:t>SD</w:t>
      </w:r>
      <w:r w:rsidR="001C008F" w:rsidRPr="00D8046E">
        <w:t xml:space="preserve"> = 2.21)</w:t>
      </w:r>
      <w:r w:rsidR="007E5B80" w:rsidRPr="00D8046E">
        <w:t xml:space="preserve">. More importantly, the culture by </w:t>
      </w:r>
      <w:r w:rsidR="00752E32" w:rsidRPr="00D8046E">
        <w:t>effect</w:t>
      </w:r>
      <w:r w:rsidR="00A66DA1" w:rsidRPr="00D8046E">
        <w:t xml:space="preserve"> </w:t>
      </w:r>
      <w:r w:rsidR="007E5B80" w:rsidRPr="00D8046E">
        <w:t>m</w:t>
      </w:r>
      <w:r w:rsidR="00A66DA1" w:rsidRPr="00D8046E">
        <w:t xml:space="preserve">agnitude by </w:t>
      </w:r>
      <w:r w:rsidR="007E5B80" w:rsidRPr="00D8046E">
        <w:t>cause m</w:t>
      </w:r>
      <w:r w:rsidR="00A66DA1" w:rsidRPr="00D8046E">
        <w:t xml:space="preserve">agnitude interaction was significant, </w:t>
      </w:r>
      <w:r w:rsidR="00A66DA1" w:rsidRPr="00D8046E">
        <w:rPr>
          <w:i/>
        </w:rPr>
        <w:t>F</w:t>
      </w:r>
      <w:r w:rsidR="00A66DA1" w:rsidRPr="00D8046E">
        <w:t xml:space="preserve">(1, </w:t>
      </w:r>
      <w:r w:rsidR="007E5B80" w:rsidRPr="00D8046E">
        <w:t>115</w:t>
      </w:r>
      <w:r w:rsidR="00A66DA1" w:rsidRPr="00D8046E">
        <w:t xml:space="preserve">) = </w:t>
      </w:r>
      <w:r w:rsidR="007E5B80" w:rsidRPr="00D8046E">
        <w:t>13.8</w:t>
      </w:r>
      <w:r w:rsidR="00A02F59" w:rsidRPr="00D8046E">
        <w:t>0</w:t>
      </w:r>
      <w:r w:rsidR="00A66DA1" w:rsidRPr="00D8046E">
        <w:t xml:space="preserve">, </w:t>
      </w:r>
      <w:r w:rsidR="00A66DA1" w:rsidRPr="00D8046E">
        <w:rPr>
          <w:i/>
        </w:rPr>
        <w:t>p</w:t>
      </w:r>
      <w:r w:rsidR="00A66DA1" w:rsidRPr="00D8046E">
        <w:t xml:space="preserve"> &lt; .001, η</w:t>
      </w:r>
      <w:r w:rsidR="00A66DA1" w:rsidRPr="00D8046E">
        <w:rPr>
          <w:vertAlign w:val="subscript"/>
        </w:rPr>
        <w:t>p</w:t>
      </w:r>
      <w:r w:rsidR="00A66DA1" w:rsidRPr="00D8046E">
        <w:rPr>
          <w:vertAlign w:val="superscript"/>
        </w:rPr>
        <w:t>2</w:t>
      </w:r>
      <w:r w:rsidR="00A66DA1" w:rsidRPr="00D8046E">
        <w:t xml:space="preserve"> = .11. As hypothesized, Canadians tended to </w:t>
      </w:r>
      <w:r w:rsidR="00BB0642" w:rsidRPr="00D8046E">
        <w:t>exhibit a stronger cause-effect magnitude correspondence</w:t>
      </w:r>
      <w:r w:rsidR="00A66DA1" w:rsidRPr="00D8046E">
        <w:t xml:space="preserve"> than Chinese</w:t>
      </w:r>
      <w:r w:rsidR="005D7B4B">
        <w:t xml:space="preserve"> </w:t>
      </w:r>
      <w:r w:rsidR="005D7B4B" w:rsidRPr="00D8046E">
        <w:t>(see Figure 1)</w:t>
      </w:r>
      <w:r w:rsidR="005D7B4B">
        <w:t>.</w:t>
      </w:r>
      <w:r w:rsidR="00B8448A" w:rsidRPr="00D8046E">
        <w:t xml:space="preserve"> </w:t>
      </w:r>
    </w:p>
    <w:p w:rsidR="00042D29" w:rsidRPr="00042D29" w:rsidRDefault="00042D29" w:rsidP="005D7B4B">
      <w:pPr>
        <w:spacing w:line="480" w:lineRule="auto"/>
        <w:ind w:firstLine="720"/>
      </w:pPr>
      <w:r w:rsidRPr="005D7B4B">
        <w:t xml:space="preserve">Follow-up </w:t>
      </w:r>
      <w:r w:rsidR="00C37B99" w:rsidRPr="005D7B4B">
        <w:t xml:space="preserve">independent-sample </w:t>
      </w:r>
      <w:r w:rsidR="00C37B99" w:rsidRPr="005D7B4B">
        <w:rPr>
          <w:i/>
        </w:rPr>
        <w:t>t</w:t>
      </w:r>
      <w:r w:rsidR="00C37B99" w:rsidRPr="005D7B4B">
        <w:t xml:space="preserve"> </w:t>
      </w:r>
      <w:r w:rsidRPr="005D7B4B">
        <w:t xml:space="preserve">tests on the interaction </w:t>
      </w:r>
      <w:r w:rsidR="006E7AA1" w:rsidRPr="005D7B4B">
        <w:t>indicated</w:t>
      </w:r>
      <w:r w:rsidRPr="005D7B4B">
        <w:t xml:space="preserve"> that</w:t>
      </w:r>
      <w:r w:rsidR="00021A34" w:rsidRPr="005D7B4B">
        <w:t>, to account for</w:t>
      </w:r>
      <w:r w:rsidR="006E7AA1" w:rsidRPr="005D7B4B">
        <w:t xml:space="preserve"> the high mag</w:t>
      </w:r>
      <w:r w:rsidR="006E7AA1">
        <w:t>nitude event, Canadians rated the high magnitude cause as more likely than did Chinese</w:t>
      </w:r>
      <w:r w:rsidR="005D7B4B">
        <w:t xml:space="preserve"> </w:t>
      </w:r>
      <w:r w:rsidR="006E7AA1">
        <w:t>and rated the low magnitude cause a</w:t>
      </w:r>
      <w:r w:rsidR="00EB4E4E">
        <w:t xml:space="preserve">s </w:t>
      </w:r>
      <w:r w:rsidR="006E7AA1">
        <w:t xml:space="preserve">less likely than did Chinese. For the low magnitude event, Canadians rated the </w:t>
      </w:r>
      <w:r w:rsidR="00C37B99">
        <w:t>high magnitude cause as less likely than did Chinese and rated the low magnitude cause a</w:t>
      </w:r>
      <w:r w:rsidR="00375C25">
        <w:t>s</w:t>
      </w:r>
      <w:r w:rsidR="00C37B99">
        <w:t xml:space="preserve"> more likely than did Chinese</w:t>
      </w:r>
      <w:r w:rsidR="00021A34">
        <w:t xml:space="preserve">, </w:t>
      </w:r>
      <w:r w:rsidR="00021A34" w:rsidRPr="006E7AA1">
        <w:rPr>
          <w:i/>
        </w:rPr>
        <w:t>t</w:t>
      </w:r>
      <w:r w:rsidR="00021A34">
        <w:t xml:space="preserve">s &gt; 2.10, </w:t>
      </w:r>
      <w:r w:rsidR="00021A34" w:rsidRPr="006E7AA1">
        <w:rPr>
          <w:i/>
        </w:rPr>
        <w:t>p</w:t>
      </w:r>
      <w:r w:rsidR="00021A34">
        <w:t>s &lt; .04</w:t>
      </w:r>
      <w:r w:rsidR="005D7B4B" w:rsidRPr="00D8046E">
        <w:t>.</w:t>
      </w:r>
    </w:p>
    <w:p w:rsidR="00374916" w:rsidRPr="00D8046E" w:rsidRDefault="00374916" w:rsidP="00374916">
      <w:pPr>
        <w:spacing w:line="480" w:lineRule="auto"/>
        <w:ind w:firstLine="720"/>
        <w:jc w:val="center"/>
        <w:rPr>
          <w:iCs/>
        </w:rPr>
      </w:pPr>
      <w:r w:rsidRPr="00D8046E">
        <w:rPr>
          <w:iCs/>
        </w:rPr>
        <w:t>Study 1b</w:t>
      </w:r>
    </w:p>
    <w:p w:rsidR="00374916" w:rsidRPr="00D8046E" w:rsidRDefault="00374916" w:rsidP="00374916">
      <w:pPr>
        <w:spacing w:line="480" w:lineRule="auto"/>
        <w:ind w:firstLine="720"/>
        <w:jc w:val="center"/>
        <w:rPr>
          <w:iCs/>
        </w:rPr>
      </w:pPr>
      <w:r w:rsidRPr="00D8046E">
        <w:rPr>
          <w:iCs/>
        </w:rPr>
        <w:t>Method</w:t>
      </w:r>
    </w:p>
    <w:p w:rsidR="00374916" w:rsidRPr="00D8046E" w:rsidRDefault="00374916" w:rsidP="00374916">
      <w:pPr>
        <w:pStyle w:val="Heading1"/>
        <w:jc w:val="left"/>
        <w:rPr>
          <w:i/>
          <w:iCs/>
          <w:u w:val="none"/>
        </w:rPr>
      </w:pPr>
      <w:r w:rsidRPr="00D8046E">
        <w:rPr>
          <w:i/>
          <w:iCs/>
          <w:u w:val="none"/>
        </w:rPr>
        <w:t>Participants</w:t>
      </w:r>
    </w:p>
    <w:p w:rsidR="00374916" w:rsidRPr="00D8046E" w:rsidRDefault="00374916" w:rsidP="00374916">
      <w:pPr>
        <w:pStyle w:val="BodyText2"/>
        <w:spacing w:after="0" w:line="480" w:lineRule="auto"/>
        <w:ind w:left="0" w:firstLine="720"/>
      </w:pPr>
      <w:r w:rsidRPr="00D8046E">
        <w:rPr>
          <w:lang w:eastAsia="zh-CN"/>
        </w:rPr>
        <w:t>Eighty</w:t>
      </w:r>
      <w:r w:rsidR="009D1E11" w:rsidRPr="00D8046E">
        <w:rPr>
          <w:lang w:eastAsia="zh-CN"/>
        </w:rPr>
        <w:t>-</w:t>
      </w:r>
      <w:r w:rsidRPr="00D8046E">
        <w:rPr>
          <w:lang w:eastAsia="zh-CN"/>
        </w:rPr>
        <w:t>four European-Canadians</w:t>
      </w:r>
      <w:r w:rsidRPr="00D8046E">
        <w:t xml:space="preserve"> (57 women) were recruited from Queen’s University</w:t>
      </w:r>
      <w:r w:rsidR="009D1E11" w:rsidRPr="00D8046E">
        <w:t>,</w:t>
      </w:r>
      <w:r w:rsidRPr="00D8046E">
        <w:t xml:space="preserve"> and 60 Chinese (33 women) were recruited from </w:t>
      </w:r>
      <w:smartTag w:uri="urn:schemas-microsoft-com:office:smarttags" w:element="place">
        <w:smartTag w:uri="urn:schemas-microsoft-com:office:smarttags" w:element="PlaceName">
          <w:r w:rsidRPr="00D8046E">
            <w:t>Beijing</w:t>
          </w:r>
        </w:smartTag>
        <w:r w:rsidRPr="00D8046E">
          <w:t xml:space="preserve"> </w:t>
        </w:r>
        <w:smartTag w:uri="urn:schemas-microsoft-com:office:smarttags" w:element="PlaceType">
          <w:r w:rsidRPr="00D8046E">
            <w:t>University</w:t>
          </w:r>
        </w:smartTag>
      </w:smartTag>
      <w:r w:rsidRPr="00D8046E">
        <w:t>. Canadian participants received course credit or $5 for their participation</w:t>
      </w:r>
      <w:r w:rsidR="009D1E11" w:rsidRPr="00D8046E">
        <w:t>,</w:t>
      </w:r>
      <w:r w:rsidRPr="00D8046E">
        <w:t xml:space="preserve"> and Chinese participants received a small gift. </w:t>
      </w:r>
    </w:p>
    <w:p w:rsidR="00374916" w:rsidRPr="00D8046E" w:rsidRDefault="00374916" w:rsidP="00374916">
      <w:pPr>
        <w:pStyle w:val="BodyText2"/>
        <w:spacing w:after="0" w:line="480" w:lineRule="auto"/>
        <w:ind w:left="0"/>
        <w:rPr>
          <w:i/>
        </w:rPr>
      </w:pPr>
      <w:r w:rsidRPr="00D8046E">
        <w:rPr>
          <w:i/>
        </w:rPr>
        <w:t>Materials and Procedure</w:t>
      </w:r>
    </w:p>
    <w:p w:rsidR="00374916" w:rsidRPr="00D8046E" w:rsidRDefault="007471EA" w:rsidP="00374916">
      <w:pPr>
        <w:spacing w:line="480" w:lineRule="auto"/>
        <w:ind w:firstLine="720"/>
      </w:pPr>
      <w:r w:rsidRPr="00D8046E">
        <w:t xml:space="preserve">Study 1b followed a similar design and procedure </w:t>
      </w:r>
      <w:r w:rsidR="00752E32" w:rsidRPr="00D8046E">
        <w:t>to</w:t>
      </w:r>
      <w:r w:rsidRPr="00D8046E">
        <w:t xml:space="preserve"> Study 1a, but </w:t>
      </w:r>
      <w:r w:rsidR="00752E32" w:rsidRPr="00D8046E">
        <w:t>had</w:t>
      </w:r>
      <w:r w:rsidRPr="00D8046E">
        <w:t xml:space="preserve"> a different scenario. The scenario</w:t>
      </w:r>
      <w:r w:rsidRPr="00D8046E">
        <w:rPr>
          <w:i/>
        </w:rPr>
        <w:t xml:space="preserve"> </w:t>
      </w:r>
      <w:r w:rsidR="00374916" w:rsidRPr="00D8046E">
        <w:t xml:space="preserve">described </w:t>
      </w:r>
      <w:r w:rsidR="00EE5710" w:rsidRPr="00D8046E">
        <w:t xml:space="preserve">either </w:t>
      </w:r>
      <w:r w:rsidR="00374916" w:rsidRPr="00D8046E">
        <w:t xml:space="preserve">a </w:t>
      </w:r>
      <w:r w:rsidR="00EE5710" w:rsidRPr="00D8046E">
        <w:t xml:space="preserve">long </w:t>
      </w:r>
      <w:r w:rsidR="00F44260" w:rsidRPr="00D8046E">
        <w:t>negotiation delay</w:t>
      </w:r>
      <w:r w:rsidR="00374916" w:rsidRPr="00D8046E">
        <w:t xml:space="preserve"> </w:t>
      </w:r>
      <w:r w:rsidR="00EE5710" w:rsidRPr="00D8046E">
        <w:t xml:space="preserve">(high magnitude </w:t>
      </w:r>
      <w:r w:rsidR="00752E32" w:rsidRPr="00D8046E">
        <w:t>effect</w:t>
      </w:r>
      <w:r w:rsidR="00EE5710" w:rsidRPr="00D8046E">
        <w:t xml:space="preserve">) </w:t>
      </w:r>
      <w:r w:rsidR="00374916" w:rsidRPr="00D8046E">
        <w:t xml:space="preserve">or </w:t>
      </w:r>
      <w:r w:rsidR="00EE5710" w:rsidRPr="00D8046E">
        <w:t xml:space="preserve">a </w:t>
      </w:r>
      <w:r w:rsidR="00017A8B" w:rsidRPr="00D8046E">
        <w:t>brief</w:t>
      </w:r>
      <w:r w:rsidR="00EE5710" w:rsidRPr="00D8046E">
        <w:t xml:space="preserve"> </w:t>
      </w:r>
      <w:r w:rsidR="00752E32" w:rsidRPr="00D8046E">
        <w:t xml:space="preserve">negotiation </w:t>
      </w:r>
      <w:r w:rsidR="00017A8B" w:rsidRPr="00D8046E">
        <w:t>delay</w:t>
      </w:r>
      <w:r w:rsidR="00374916" w:rsidRPr="00D8046E">
        <w:t xml:space="preserve"> (low magnitude </w:t>
      </w:r>
      <w:r w:rsidR="00752E32" w:rsidRPr="00D8046E">
        <w:t>effect</w:t>
      </w:r>
      <w:r w:rsidR="00374916" w:rsidRPr="00D8046E">
        <w:t xml:space="preserve">). </w:t>
      </w:r>
      <w:r w:rsidR="00E663CB" w:rsidRPr="00D8046E">
        <w:t>The</w:t>
      </w:r>
      <w:r w:rsidR="00374916" w:rsidRPr="00D8046E">
        <w:t xml:space="preserve"> causes</w:t>
      </w:r>
      <w:r w:rsidR="00E663CB" w:rsidRPr="00D8046E">
        <w:t xml:space="preserve"> were </w:t>
      </w:r>
      <w:r w:rsidR="00374916" w:rsidRPr="00D8046E">
        <w:t xml:space="preserve">a </w:t>
      </w:r>
      <w:r w:rsidR="00E663CB" w:rsidRPr="00D8046E">
        <w:t>major disagreement</w:t>
      </w:r>
      <w:r w:rsidR="00374916" w:rsidRPr="00D8046E">
        <w:t xml:space="preserve"> (high magnitude cause) or a </w:t>
      </w:r>
      <w:r w:rsidR="00E663CB" w:rsidRPr="00D8046E">
        <w:t>minor one</w:t>
      </w:r>
      <w:r w:rsidR="00374916" w:rsidRPr="00D8046E">
        <w:t xml:space="preserve"> (low magnitude cause)</w:t>
      </w:r>
      <w:r w:rsidR="00752E32" w:rsidRPr="00D8046E">
        <w:t xml:space="preserve"> </w:t>
      </w:r>
      <w:bookmarkStart w:id="3" w:name="OLE_LINK3"/>
      <w:bookmarkStart w:id="4" w:name="OLE_LINK4"/>
      <w:r w:rsidR="00540405" w:rsidRPr="00D8046E">
        <w:t>(</w:t>
      </w:r>
      <w:r w:rsidR="00752E32" w:rsidRPr="00D8046E">
        <w:t>see A</w:t>
      </w:r>
      <w:r w:rsidR="00540405" w:rsidRPr="00D8046E">
        <w:t>ppendix)</w:t>
      </w:r>
      <w:bookmarkEnd w:id="3"/>
      <w:bookmarkEnd w:id="4"/>
      <w:r w:rsidR="00374916" w:rsidRPr="00D8046E">
        <w:t>. In summary, Study 1</w:t>
      </w:r>
      <w:r w:rsidR="00195E73" w:rsidRPr="00D8046E">
        <w:t>b</w:t>
      </w:r>
      <w:r w:rsidR="00374916" w:rsidRPr="00D8046E">
        <w:t xml:space="preserve"> followed a 2 (</w:t>
      </w:r>
      <w:r w:rsidR="00D41AEE" w:rsidRPr="00D8046E">
        <w:t>c</w:t>
      </w:r>
      <w:r w:rsidR="00374916" w:rsidRPr="00D8046E">
        <w:t>ulture: Canadians vs. Chinese) by 2 (</w:t>
      </w:r>
      <w:r w:rsidR="00752E32" w:rsidRPr="00D8046E">
        <w:t>effect</w:t>
      </w:r>
      <w:r w:rsidR="00374916" w:rsidRPr="00D8046E">
        <w:t xml:space="preserve"> </w:t>
      </w:r>
      <w:r w:rsidR="00D41AEE" w:rsidRPr="00D8046E">
        <w:t>m</w:t>
      </w:r>
      <w:r w:rsidR="00374916" w:rsidRPr="00D8046E">
        <w:t xml:space="preserve">agnitude: high vs. low) </w:t>
      </w:r>
      <w:r w:rsidR="00D41AEE" w:rsidRPr="00D8046E">
        <w:t>by 2 (cause m</w:t>
      </w:r>
      <w:r w:rsidR="00374916" w:rsidRPr="00D8046E">
        <w:t>agnitude: high vs. low) design</w:t>
      </w:r>
      <w:r w:rsidR="00F820E0" w:rsidRPr="00D8046E">
        <w:t>, with t</w:t>
      </w:r>
      <w:r w:rsidR="00374916" w:rsidRPr="00D8046E">
        <w:t xml:space="preserve">he cause magnitude </w:t>
      </w:r>
      <w:r w:rsidR="00A46F81" w:rsidRPr="00D8046E">
        <w:t>varying</w:t>
      </w:r>
      <w:r w:rsidR="00374916" w:rsidRPr="00D8046E">
        <w:t xml:space="preserve"> within-participant</w:t>
      </w:r>
      <w:r w:rsidR="004D5A4F" w:rsidRPr="00D8046E">
        <w:t>s</w:t>
      </w:r>
      <w:r w:rsidR="0023351E" w:rsidRPr="00D8046E">
        <w:t xml:space="preserve">, and the other factors </w:t>
      </w:r>
      <w:r w:rsidR="00A46F81" w:rsidRPr="00D8046E">
        <w:t>varying</w:t>
      </w:r>
      <w:r w:rsidR="0023351E" w:rsidRPr="00D8046E">
        <w:t xml:space="preserve"> between-participants</w:t>
      </w:r>
      <w:r w:rsidR="00374916" w:rsidRPr="00D8046E">
        <w:t>.</w:t>
      </w:r>
    </w:p>
    <w:p w:rsidR="00374916" w:rsidRPr="00D8046E" w:rsidRDefault="00374916" w:rsidP="00374916">
      <w:pPr>
        <w:spacing w:line="480" w:lineRule="auto"/>
        <w:jc w:val="center"/>
      </w:pPr>
      <w:r w:rsidRPr="00D8046E">
        <w:t>Results</w:t>
      </w:r>
      <w:r w:rsidR="00224E62" w:rsidRPr="00D8046E">
        <w:t xml:space="preserve"> </w:t>
      </w:r>
    </w:p>
    <w:p w:rsidR="00374916" w:rsidRPr="00D8046E" w:rsidRDefault="00374916" w:rsidP="00374916">
      <w:pPr>
        <w:spacing w:line="480" w:lineRule="auto"/>
        <w:rPr>
          <w:i/>
        </w:rPr>
      </w:pPr>
      <w:r w:rsidRPr="00D8046E">
        <w:rPr>
          <w:i/>
        </w:rPr>
        <w:lastRenderedPageBreak/>
        <w:t xml:space="preserve">Test of </w:t>
      </w:r>
      <w:r w:rsidR="00BB08F0" w:rsidRPr="00D8046E">
        <w:rPr>
          <w:i/>
        </w:rPr>
        <w:t xml:space="preserve">Cause-Effect </w:t>
      </w:r>
      <w:r w:rsidRPr="00D8046E">
        <w:rPr>
          <w:i/>
        </w:rPr>
        <w:t>Magnitude Correspondence</w:t>
      </w:r>
    </w:p>
    <w:p w:rsidR="00017A8B" w:rsidRPr="00D8046E" w:rsidRDefault="00374916" w:rsidP="00F42A25">
      <w:pPr>
        <w:autoSpaceDE w:val="0"/>
        <w:autoSpaceDN w:val="0"/>
        <w:adjustRightInd w:val="0"/>
        <w:spacing w:line="480" w:lineRule="auto"/>
      </w:pPr>
      <w:r w:rsidRPr="00D8046E">
        <w:rPr>
          <w:i/>
        </w:rPr>
        <w:tab/>
      </w:r>
      <w:r w:rsidR="00F8348A" w:rsidRPr="00D8046E">
        <w:t>The results were similar to those obtained in Study 1a. A 2 (culture) X 2 (</w:t>
      </w:r>
      <w:r w:rsidR="004D5A4F" w:rsidRPr="00D8046E">
        <w:t>effect</w:t>
      </w:r>
      <w:r w:rsidR="00F8348A" w:rsidRPr="00D8046E">
        <w:t xml:space="preserve"> magnitude) X 2 (cause magnitude) </w:t>
      </w:r>
      <w:r w:rsidR="0043484E">
        <w:t>mixed-model</w:t>
      </w:r>
      <w:r w:rsidR="004D5A4F" w:rsidRPr="00D8046E">
        <w:t xml:space="preserve"> </w:t>
      </w:r>
      <w:r w:rsidR="00F8348A" w:rsidRPr="00D8046E">
        <w:t>analysis of variance (ANOVA) revealed a significant</w:t>
      </w:r>
      <w:r w:rsidR="00F8348A" w:rsidRPr="00D8046E" w:rsidDel="00DE4F84">
        <w:t xml:space="preserve"> </w:t>
      </w:r>
      <w:r w:rsidR="00D2528E" w:rsidRPr="00D8046E">
        <w:t xml:space="preserve">main effect </w:t>
      </w:r>
      <w:r w:rsidR="00F8348A" w:rsidRPr="00D8046E">
        <w:t xml:space="preserve">of </w:t>
      </w:r>
      <w:r w:rsidR="004D5A4F" w:rsidRPr="00D8046E">
        <w:t>effect</w:t>
      </w:r>
      <w:r w:rsidR="00F8348A" w:rsidRPr="00D8046E">
        <w:t xml:space="preserve"> magnitude</w:t>
      </w:r>
      <w:r w:rsidR="00D2528E" w:rsidRPr="00D8046E">
        <w:t xml:space="preserve">, </w:t>
      </w:r>
      <w:r w:rsidR="00D2528E" w:rsidRPr="00D8046E">
        <w:rPr>
          <w:i/>
        </w:rPr>
        <w:t>F</w:t>
      </w:r>
      <w:r w:rsidR="00D2528E" w:rsidRPr="00D8046E">
        <w:t xml:space="preserve">(1, 140) = 4.12, </w:t>
      </w:r>
      <w:r w:rsidR="00D2528E" w:rsidRPr="00D8046E">
        <w:rPr>
          <w:i/>
        </w:rPr>
        <w:t>p</w:t>
      </w:r>
      <w:r w:rsidR="004D5A4F" w:rsidRPr="00D8046E">
        <w:t xml:space="preserve"> = .04,</w:t>
      </w:r>
      <w:r w:rsidR="00D2528E" w:rsidRPr="00D8046E">
        <w:t xml:space="preserve"> </w:t>
      </w:r>
      <w:r w:rsidR="004D5A4F" w:rsidRPr="00D8046E">
        <w:t xml:space="preserve">such that </w:t>
      </w:r>
      <w:r w:rsidR="00AD5199" w:rsidRPr="00D8046E">
        <w:t xml:space="preserve">the likelihood ratings for </w:t>
      </w:r>
      <w:r w:rsidR="004D5A4F" w:rsidRPr="00D8046E">
        <w:t>causes</w:t>
      </w:r>
      <w:r w:rsidR="00AD5199" w:rsidRPr="00D8046E">
        <w:t xml:space="preserve"> were higher</w:t>
      </w:r>
      <w:r w:rsidR="004D5A4F" w:rsidRPr="00D8046E">
        <w:t xml:space="preserve"> in </w:t>
      </w:r>
      <w:r w:rsidR="00AD5199" w:rsidRPr="00D8046E">
        <w:t xml:space="preserve">the </w:t>
      </w:r>
      <w:r w:rsidR="004D5A4F" w:rsidRPr="00D8046E">
        <w:t>high magnitude effect</w:t>
      </w:r>
      <w:r w:rsidR="00AD5199" w:rsidRPr="00D8046E">
        <w:t xml:space="preserve"> condition</w:t>
      </w:r>
      <w:r w:rsidR="004D5A4F" w:rsidRPr="00D8046E">
        <w:t xml:space="preserve"> </w:t>
      </w:r>
      <w:r w:rsidR="006D0582" w:rsidRPr="00D8046E">
        <w:t>(</w:t>
      </w:r>
      <w:r w:rsidR="006D0582" w:rsidRPr="00D8046E">
        <w:rPr>
          <w:i/>
        </w:rPr>
        <w:t>M</w:t>
      </w:r>
      <w:r w:rsidR="006D0582" w:rsidRPr="00D8046E">
        <w:t xml:space="preserve"> = </w:t>
      </w:r>
      <w:r w:rsidR="00900F31" w:rsidRPr="00D8046E">
        <w:t>5.53</w:t>
      </w:r>
      <w:r w:rsidR="006D0582" w:rsidRPr="00D8046E">
        <w:t xml:space="preserve">, </w:t>
      </w:r>
      <w:r w:rsidR="006D0582" w:rsidRPr="00D8046E">
        <w:rPr>
          <w:i/>
        </w:rPr>
        <w:t>SD</w:t>
      </w:r>
      <w:r w:rsidR="006D0582" w:rsidRPr="00D8046E">
        <w:t xml:space="preserve"> = </w:t>
      </w:r>
      <w:r w:rsidR="00900F31" w:rsidRPr="00D8046E">
        <w:t>.81</w:t>
      </w:r>
      <w:r w:rsidR="006D0582" w:rsidRPr="00D8046E">
        <w:t xml:space="preserve">) </w:t>
      </w:r>
      <w:r w:rsidR="004D5A4F" w:rsidRPr="00D8046E">
        <w:t>than</w:t>
      </w:r>
      <w:r w:rsidR="00AD5199" w:rsidRPr="00D8046E">
        <w:t xml:space="preserve"> in</w:t>
      </w:r>
      <w:r w:rsidR="004D5A4F" w:rsidRPr="00D8046E">
        <w:t xml:space="preserve"> </w:t>
      </w:r>
      <w:r w:rsidR="00AD5199" w:rsidRPr="00D8046E">
        <w:t>the</w:t>
      </w:r>
      <w:r w:rsidR="004D5A4F" w:rsidRPr="00D8046E">
        <w:t xml:space="preserve"> low magnitude effect</w:t>
      </w:r>
      <w:r w:rsidR="00AD5199" w:rsidRPr="00D8046E">
        <w:t xml:space="preserve"> condition</w:t>
      </w:r>
      <w:r w:rsidR="006D0582" w:rsidRPr="00D8046E">
        <w:t xml:space="preserve"> (</w:t>
      </w:r>
      <w:r w:rsidR="006D0582" w:rsidRPr="00D8046E">
        <w:rPr>
          <w:i/>
        </w:rPr>
        <w:t>M</w:t>
      </w:r>
      <w:r w:rsidR="006D0582" w:rsidRPr="00D8046E">
        <w:t xml:space="preserve"> = </w:t>
      </w:r>
      <w:r w:rsidR="00900F31" w:rsidRPr="00D8046E">
        <w:t>5.25</w:t>
      </w:r>
      <w:r w:rsidR="006D0582" w:rsidRPr="00D8046E">
        <w:t xml:space="preserve">, </w:t>
      </w:r>
      <w:r w:rsidR="006D0582" w:rsidRPr="00D8046E">
        <w:rPr>
          <w:i/>
        </w:rPr>
        <w:t>SD</w:t>
      </w:r>
      <w:r w:rsidR="006D0582" w:rsidRPr="00D8046E">
        <w:t xml:space="preserve"> = </w:t>
      </w:r>
      <w:r w:rsidR="00900F31" w:rsidRPr="00D8046E">
        <w:t>.82</w:t>
      </w:r>
      <w:r w:rsidR="006D0582" w:rsidRPr="00D8046E">
        <w:t>)</w:t>
      </w:r>
      <w:r w:rsidR="004D5A4F" w:rsidRPr="00D8046E">
        <w:t xml:space="preserve">. </w:t>
      </w:r>
      <w:r w:rsidRPr="00D8046E">
        <w:t xml:space="preserve">The </w:t>
      </w:r>
      <w:r w:rsidR="003E6CA5" w:rsidRPr="00D8046E">
        <w:t>effect</w:t>
      </w:r>
      <w:r w:rsidRPr="00D8046E">
        <w:t xml:space="preserve"> magnitude by cause magnitude interaction was significant, </w:t>
      </w:r>
      <w:r w:rsidRPr="00D8046E">
        <w:rPr>
          <w:i/>
        </w:rPr>
        <w:t>F</w:t>
      </w:r>
      <w:r w:rsidRPr="00D8046E">
        <w:t>(1, 1</w:t>
      </w:r>
      <w:r w:rsidR="00045E9E" w:rsidRPr="00D8046E">
        <w:t>40</w:t>
      </w:r>
      <w:r w:rsidRPr="00D8046E">
        <w:t xml:space="preserve">) = </w:t>
      </w:r>
      <w:r w:rsidR="00045E9E" w:rsidRPr="00D8046E">
        <w:t>133.36</w:t>
      </w:r>
      <w:r w:rsidRPr="00D8046E">
        <w:t xml:space="preserve">, </w:t>
      </w:r>
      <w:r w:rsidRPr="00D8046E">
        <w:rPr>
          <w:i/>
        </w:rPr>
        <w:t>p</w:t>
      </w:r>
      <w:r w:rsidRPr="00D8046E">
        <w:t xml:space="preserve"> &lt; .001, η</w:t>
      </w:r>
      <w:r w:rsidRPr="00D8046E">
        <w:rPr>
          <w:vertAlign w:val="subscript"/>
        </w:rPr>
        <w:t>p</w:t>
      </w:r>
      <w:r w:rsidRPr="00D8046E">
        <w:rPr>
          <w:vertAlign w:val="superscript"/>
        </w:rPr>
        <w:t>2</w:t>
      </w:r>
      <w:r w:rsidRPr="00D8046E">
        <w:t xml:space="preserve"> = .</w:t>
      </w:r>
      <w:r w:rsidR="00045E9E" w:rsidRPr="00D8046E">
        <w:t>49</w:t>
      </w:r>
      <w:r w:rsidRPr="00D8046E">
        <w:t xml:space="preserve">. </w:t>
      </w:r>
      <w:r w:rsidR="00AC5DC3" w:rsidRPr="00D8046E">
        <w:t xml:space="preserve">Overall, participants </w:t>
      </w:r>
      <w:r w:rsidRPr="00D8046E">
        <w:t xml:space="preserve">tended to associate </w:t>
      </w:r>
      <w:r w:rsidR="00017A8B" w:rsidRPr="00D8046E">
        <w:t>high magnitude</w:t>
      </w:r>
      <w:r w:rsidRPr="00D8046E">
        <w:t xml:space="preserve"> </w:t>
      </w:r>
      <w:r w:rsidR="003E6CA5" w:rsidRPr="00D8046E">
        <w:t>effects</w:t>
      </w:r>
      <w:r w:rsidRPr="00D8046E">
        <w:t xml:space="preserve"> with </w:t>
      </w:r>
      <w:r w:rsidR="00017A8B" w:rsidRPr="00D8046E">
        <w:t>high magnitude</w:t>
      </w:r>
      <w:r w:rsidRPr="00D8046E">
        <w:t xml:space="preserve"> causes (</w:t>
      </w:r>
      <w:r w:rsidRPr="00D8046E">
        <w:rPr>
          <w:i/>
        </w:rPr>
        <w:t>M</w:t>
      </w:r>
      <w:r w:rsidRPr="00D8046E">
        <w:t xml:space="preserve"> = 7.</w:t>
      </w:r>
      <w:r w:rsidR="00045E9E" w:rsidRPr="00D8046E">
        <w:t>10</w:t>
      </w:r>
      <w:r w:rsidRPr="00D8046E">
        <w:t xml:space="preserve">, </w:t>
      </w:r>
      <w:r w:rsidRPr="00D8046E">
        <w:rPr>
          <w:i/>
        </w:rPr>
        <w:t>SD</w:t>
      </w:r>
      <w:r w:rsidRPr="00D8046E">
        <w:t xml:space="preserve"> = 1.</w:t>
      </w:r>
      <w:r w:rsidR="00045E9E" w:rsidRPr="00D8046E">
        <w:t>63</w:t>
      </w:r>
      <w:r w:rsidRPr="00D8046E">
        <w:t xml:space="preserve">) more than </w:t>
      </w:r>
      <w:r w:rsidR="00017A8B" w:rsidRPr="00D8046E">
        <w:t>low magnitude</w:t>
      </w:r>
      <w:r w:rsidRPr="00D8046E">
        <w:t xml:space="preserve"> causes </w:t>
      </w:r>
      <w:r w:rsidR="00A117B3" w:rsidRPr="00D8046E">
        <w:t>(</w:t>
      </w:r>
      <w:r w:rsidR="00A117B3" w:rsidRPr="00D8046E">
        <w:rPr>
          <w:i/>
        </w:rPr>
        <w:t>M</w:t>
      </w:r>
      <w:r w:rsidR="00A117B3" w:rsidRPr="00D8046E">
        <w:t xml:space="preserve"> = 3.96, </w:t>
      </w:r>
      <w:r w:rsidR="00A117B3" w:rsidRPr="00D8046E">
        <w:rPr>
          <w:i/>
        </w:rPr>
        <w:t>SD</w:t>
      </w:r>
      <w:r w:rsidR="00A117B3" w:rsidRPr="00D8046E">
        <w:t xml:space="preserve"> = 1.87)</w:t>
      </w:r>
      <w:r w:rsidRPr="00D8046E">
        <w:t xml:space="preserve">, and </w:t>
      </w:r>
      <w:r w:rsidR="00017A8B" w:rsidRPr="00D8046E">
        <w:t>low magnitude</w:t>
      </w:r>
      <w:r w:rsidRPr="00D8046E">
        <w:t xml:space="preserve"> </w:t>
      </w:r>
      <w:r w:rsidR="003E6CA5" w:rsidRPr="00D8046E">
        <w:t>effects</w:t>
      </w:r>
      <w:r w:rsidRPr="00D8046E">
        <w:t xml:space="preserve"> with </w:t>
      </w:r>
      <w:r w:rsidR="00017A8B" w:rsidRPr="00D8046E">
        <w:t>low magnitude</w:t>
      </w:r>
      <w:r w:rsidRPr="00D8046E">
        <w:t xml:space="preserve"> causes (</w:t>
      </w:r>
      <w:r w:rsidRPr="00D8046E">
        <w:rPr>
          <w:i/>
        </w:rPr>
        <w:t>M</w:t>
      </w:r>
      <w:r w:rsidRPr="00D8046E">
        <w:t xml:space="preserve"> = 6.</w:t>
      </w:r>
      <w:r w:rsidR="008A037E" w:rsidRPr="00D8046E">
        <w:t>75</w:t>
      </w:r>
      <w:r w:rsidRPr="00D8046E">
        <w:t xml:space="preserve">, </w:t>
      </w:r>
      <w:r w:rsidRPr="00D8046E">
        <w:rPr>
          <w:i/>
        </w:rPr>
        <w:t>SD</w:t>
      </w:r>
      <w:r w:rsidRPr="00D8046E">
        <w:t xml:space="preserve"> = 1.</w:t>
      </w:r>
      <w:r w:rsidR="008A037E" w:rsidRPr="00D8046E">
        <w:t>81</w:t>
      </w:r>
      <w:r w:rsidRPr="00D8046E">
        <w:t xml:space="preserve">) more than </w:t>
      </w:r>
      <w:r w:rsidR="00A117B3" w:rsidRPr="00D8046E">
        <w:t>high</w:t>
      </w:r>
      <w:r w:rsidRPr="00D8046E">
        <w:t xml:space="preserve"> </w:t>
      </w:r>
      <w:r w:rsidR="00017A8B" w:rsidRPr="00D8046E">
        <w:t xml:space="preserve">magnitude </w:t>
      </w:r>
      <w:r w:rsidRPr="00D8046E">
        <w:t>causes</w:t>
      </w:r>
      <w:r w:rsidR="00A117B3" w:rsidRPr="00D8046E">
        <w:t xml:space="preserve"> (</w:t>
      </w:r>
      <w:r w:rsidR="00A117B3" w:rsidRPr="00D8046E">
        <w:rPr>
          <w:i/>
        </w:rPr>
        <w:t>M</w:t>
      </w:r>
      <w:r w:rsidR="00A117B3" w:rsidRPr="00D8046E">
        <w:t xml:space="preserve"> = 3.74, </w:t>
      </w:r>
      <w:r w:rsidR="00A117B3" w:rsidRPr="00D8046E">
        <w:rPr>
          <w:i/>
        </w:rPr>
        <w:t>SD</w:t>
      </w:r>
      <w:r w:rsidR="00A117B3" w:rsidRPr="00D8046E">
        <w:t xml:space="preserve"> = 1.77)</w:t>
      </w:r>
      <w:r w:rsidRPr="00D8046E">
        <w:t xml:space="preserve">. More importantly, the culture by </w:t>
      </w:r>
      <w:r w:rsidR="003E6CA5" w:rsidRPr="00D8046E">
        <w:t>effect</w:t>
      </w:r>
      <w:r w:rsidRPr="00D8046E">
        <w:t xml:space="preserve"> magnitude by cause magnitude interaction was significant, </w:t>
      </w:r>
      <w:r w:rsidRPr="00D8046E">
        <w:rPr>
          <w:i/>
        </w:rPr>
        <w:t>F</w:t>
      </w:r>
      <w:r w:rsidRPr="00D8046E">
        <w:t xml:space="preserve">(1, </w:t>
      </w:r>
      <w:r w:rsidR="008A037E" w:rsidRPr="00D8046E">
        <w:t>140</w:t>
      </w:r>
      <w:r w:rsidRPr="00D8046E">
        <w:t xml:space="preserve">) = </w:t>
      </w:r>
      <w:r w:rsidR="008A037E" w:rsidRPr="00D8046E">
        <w:t>20.68</w:t>
      </w:r>
      <w:r w:rsidRPr="00D8046E">
        <w:t xml:space="preserve">, </w:t>
      </w:r>
      <w:r w:rsidRPr="00D8046E">
        <w:rPr>
          <w:i/>
        </w:rPr>
        <w:t>p</w:t>
      </w:r>
      <w:r w:rsidRPr="00D8046E">
        <w:t xml:space="preserve"> &lt; .001, η</w:t>
      </w:r>
      <w:r w:rsidRPr="00D8046E">
        <w:rPr>
          <w:vertAlign w:val="subscript"/>
        </w:rPr>
        <w:t>p</w:t>
      </w:r>
      <w:r w:rsidRPr="00D8046E">
        <w:rPr>
          <w:vertAlign w:val="superscript"/>
        </w:rPr>
        <w:t>2</w:t>
      </w:r>
      <w:r w:rsidRPr="00D8046E">
        <w:t xml:space="preserve"> = .1</w:t>
      </w:r>
      <w:r w:rsidR="008A037E" w:rsidRPr="00D8046E">
        <w:t>3</w:t>
      </w:r>
      <w:r w:rsidRPr="00D8046E">
        <w:t xml:space="preserve">. As hypothesized, Canadians tended to </w:t>
      </w:r>
      <w:r w:rsidR="006A5B59" w:rsidRPr="00D8046E">
        <w:t>exhibit a stronger cause-effect magnitude correspondence</w:t>
      </w:r>
      <w:r w:rsidR="003E6CA5" w:rsidRPr="00D8046E">
        <w:t xml:space="preserve"> than Chinese</w:t>
      </w:r>
      <w:r w:rsidR="0031430D" w:rsidRPr="00D8046E">
        <w:t xml:space="preserve"> </w:t>
      </w:r>
      <w:r w:rsidR="003E6CA5" w:rsidRPr="00D8046E">
        <w:t>(s</w:t>
      </w:r>
      <w:r w:rsidRPr="00D8046E">
        <w:t xml:space="preserve">ee Figure </w:t>
      </w:r>
      <w:r w:rsidR="003E6CA5" w:rsidRPr="00D8046E">
        <w:t>2</w:t>
      </w:r>
      <w:r w:rsidRPr="00D8046E">
        <w:t>).</w:t>
      </w:r>
      <w:r w:rsidR="00F42A25" w:rsidRPr="00D8046E">
        <w:t xml:space="preserve"> </w:t>
      </w:r>
    </w:p>
    <w:p w:rsidR="00375C25" w:rsidRPr="00042D29" w:rsidRDefault="005D7B4B" w:rsidP="00375C25">
      <w:pPr>
        <w:spacing w:line="480" w:lineRule="auto"/>
      </w:pPr>
      <w:r>
        <w:rPr>
          <w:i/>
        </w:rPr>
        <w:tab/>
      </w:r>
      <w:r w:rsidR="00375C25" w:rsidRPr="00042D29">
        <w:t xml:space="preserve">Follow-up </w:t>
      </w:r>
      <w:r w:rsidR="00375C25">
        <w:t xml:space="preserve">independent-sample </w:t>
      </w:r>
      <w:r w:rsidR="00375C25" w:rsidRPr="00C37B99">
        <w:rPr>
          <w:i/>
        </w:rPr>
        <w:t>t</w:t>
      </w:r>
      <w:r w:rsidR="00375C25">
        <w:t xml:space="preserve"> </w:t>
      </w:r>
      <w:r w:rsidR="00375C25" w:rsidRPr="00042D29">
        <w:t>tests on the interaction</w:t>
      </w:r>
      <w:r w:rsidR="00375C25">
        <w:t xml:space="preserve"> indicated that</w:t>
      </w:r>
      <w:r w:rsidR="000D7980">
        <w:t>,</w:t>
      </w:r>
      <w:r w:rsidR="00375C25">
        <w:t xml:space="preserve"> </w:t>
      </w:r>
      <w:r>
        <w:t>to account f</w:t>
      </w:r>
      <w:r w:rsidR="00375C25">
        <w:t>or the high magnitude event, Canadians rated the high magnitude cause as more likely than did Chinese and rated the low magnitude cause as less likely than did Chinese</w:t>
      </w:r>
      <w:r>
        <w:t>.</w:t>
      </w:r>
      <w:r w:rsidR="00375C25">
        <w:t xml:space="preserve"> For the low magnitude event, Canadians rated the high magnitude cause as less likely than did Chinese and rated the low magnitude cause as more likely than did Chinese</w:t>
      </w:r>
      <w:r>
        <w:t>,</w:t>
      </w:r>
      <w:r w:rsidR="00375C25">
        <w:t xml:space="preserve"> </w:t>
      </w:r>
      <w:r w:rsidRPr="006E7AA1">
        <w:rPr>
          <w:i/>
        </w:rPr>
        <w:t>t</w:t>
      </w:r>
      <w:r>
        <w:t xml:space="preserve">s &gt; 2.28, </w:t>
      </w:r>
      <w:r w:rsidRPr="006E7AA1">
        <w:rPr>
          <w:i/>
        </w:rPr>
        <w:t>p</w:t>
      </w:r>
      <w:r>
        <w:t>s &lt; .03</w:t>
      </w:r>
    </w:p>
    <w:p w:rsidR="00A66DA1" w:rsidRPr="00D8046E" w:rsidRDefault="00D17EA9" w:rsidP="00F41D48">
      <w:pPr>
        <w:spacing w:line="480" w:lineRule="auto"/>
        <w:ind w:firstLine="720"/>
      </w:pPr>
      <w:r w:rsidRPr="00D8046E">
        <w:t xml:space="preserve">Thus, </w:t>
      </w:r>
      <w:r w:rsidR="003E6CA5" w:rsidRPr="00D8046E">
        <w:t>for</w:t>
      </w:r>
      <w:r w:rsidRPr="00D8046E">
        <w:t xml:space="preserve"> both the disease </w:t>
      </w:r>
      <w:r w:rsidR="002C41CC" w:rsidRPr="00D8046E">
        <w:t xml:space="preserve">(Study 1a) </w:t>
      </w:r>
      <w:r w:rsidRPr="00D8046E">
        <w:t>and the negotiation</w:t>
      </w:r>
      <w:r w:rsidR="002C41CC" w:rsidRPr="00D8046E">
        <w:t xml:space="preserve"> (Study 1b)</w:t>
      </w:r>
      <w:r w:rsidRPr="00D8046E">
        <w:t xml:space="preserve"> scenario</w:t>
      </w:r>
      <w:r w:rsidR="002C41CC" w:rsidRPr="00D8046E">
        <w:t>s</w:t>
      </w:r>
      <w:r w:rsidRPr="00D8046E">
        <w:t>,</w:t>
      </w:r>
      <w:r w:rsidR="00F41D48" w:rsidRPr="00D8046E">
        <w:t xml:space="preserve"> Canadians associate</w:t>
      </w:r>
      <w:r w:rsidR="00446189" w:rsidRPr="00D8046E">
        <w:t>d</w:t>
      </w:r>
      <w:r w:rsidR="00F41D48" w:rsidRPr="00D8046E">
        <w:t xml:space="preserve"> </w:t>
      </w:r>
      <w:r w:rsidRPr="00D8046E">
        <w:t>high magnitude</w:t>
      </w:r>
      <w:r w:rsidR="00F41D48" w:rsidRPr="00D8046E">
        <w:t xml:space="preserve"> </w:t>
      </w:r>
      <w:r w:rsidR="003E6CA5" w:rsidRPr="00D8046E">
        <w:t>effects</w:t>
      </w:r>
      <w:r w:rsidR="00F41D48" w:rsidRPr="00D8046E">
        <w:t xml:space="preserve"> with </w:t>
      </w:r>
      <w:r w:rsidRPr="00D8046E">
        <w:t>high magnitude</w:t>
      </w:r>
      <w:r w:rsidR="00F41D48" w:rsidRPr="00D8046E">
        <w:t xml:space="preserve"> causes more than </w:t>
      </w:r>
      <w:r w:rsidRPr="00D8046E">
        <w:t>low magnitude</w:t>
      </w:r>
      <w:r w:rsidR="00F41D48" w:rsidRPr="00D8046E">
        <w:t xml:space="preserve"> causes and </w:t>
      </w:r>
      <w:r w:rsidRPr="00D8046E">
        <w:t xml:space="preserve">low magnitude </w:t>
      </w:r>
      <w:r w:rsidR="003E6CA5" w:rsidRPr="00D8046E">
        <w:t>effects</w:t>
      </w:r>
      <w:r w:rsidR="00F41D48" w:rsidRPr="00D8046E">
        <w:t xml:space="preserve"> with </w:t>
      </w:r>
      <w:r w:rsidRPr="00D8046E">
        <w:t xml:space="preserve">low magnitude </w:t>
      </w:r>
      <w:r w:rsidR="00F41D48" w:rsidRPr="00D8046E">
        <w:t xml:space="preserve">causes more than </w:t>
      </w:r>
      <w:r w:rsidRPr="00D8046E">
        <w:t xml:space="preserve">high magnitude </w:t>
      </w:r>
      <w:r w:rsidR="00F41D48" w:rsidRPr="00D8046E">
        <w:t xml:space="preserve">causes. And in both </w:t>
      </w:r>
      <w:r w:rsidRPr="00D8046E">
        <w:t>scenarios</w:t>
      </w:r>
      <w:r w:rsidR="00F41D48" w:rsidRPr="00D8046E">
        <w:t xml:space="preserve">, </w:t>
      </w:r>
      <w:r w:rsidR="00DB1D8A" w:rsidRPr="00D8046E">
        <w:t xml:space="preserve">Chinese exhibited this pattern to a significantly </w:t>
      </w:r>
      <w:r w:rsidR="002C41CC" w:rsidRPr="00D8046E">
        <w:t xml:space="preserve">lesser </w:t>
      </w:r>
      <w:r w:rsidR="00DB1D8A" w:rsidRPr="00D8046E">
        <w:t>degree.</w:t>
      </w:r>
    </w:p>
    <w:p w:rsidR="001650DF" w:rsidRPr="00D8046E" w:rsidRDefault="001650DF" w:rsidP="00F41D48">
      <w:pPr>
        <w:pStyle w:val="Heading2"/>
        <w:rPr>
          <w:i w:val="0"/>
          <w:iCs w:val="0"/>
          <w:u w:val="none"/>
        </w:rPr>
      </w:pPr>
      <w:r w:rsidRPr="00D8046E">
        <w:rPr>
          <w:i w:val="0"/>
          <w:iCs w:val="0"/>
          <w:u w:val="none"/>
        </w:rPr>
        <w:lastRenderedPageBreak/>
        <w:t>Study 2</w:t>
      </w:r>
    </w:p>
    <w:p w:rsidR="006B4AC1" w:rsidRPr="00D8046E" w:rsidRDefault="001650DF" w:rsidP="001650DF">
      <w:pPr>
        <w:spacing w:line="480" w:lineRule="auto"/>
        <w:ind w:firstLine="720"/>
      </w:pPr>
      <w:r w:rsidRPr="00D8046E">
        <w:t xml:space="preserve">The purpose of Study </w:t>
      </w:r>
      <w:r w:rsidR="00A65F3E" w:rsidRPr="00D8046E">
        <w:t>2</w:t>
      </w:r>
      <w:r w:rsidRPr="00D8046E">
        <w:t xml:space="preserve"> was to </w:t>
      </w:r>
      <w:r w:rsidR="00A65F3E" w:rsidRPr="00D8046E">
        <w:t>replicate the results from Study 1 using a different format.</w:t>
      </w:r>
      <w:r w:rsidRPr="00D8046E">
        <w:t xml:space="preserve"> </w:t>
      </w:r>
      <w:r w:rsidR="002145D6" w:rsidRPr="00D8046E">
        <w:t xml:space="preserve">Study 1 manipulated the magnitudes of causes and </w:t>
      </w:r>
      <w:r w:rsidR="00281BBC" w:rsidRPr="00D8046E">
        <w:t>effect</w:t>
      </w:r>
      <w:r w:rsidR="002145D6" w:rsidRPr="00D8046E">
        <w:t>s in detailed scenarios</w:t>
      </w:r>
      <w:r w:rsidR="008129D5" w:rsidRPr="00D8046E">
        <w:t xml:space="preserve">. In </w:t>
      </w:r>
      <w:r w:rsidR="00A81EC1" w:rsidRPr="00D8046E">
        <w:t>Study 2</w:t>
      </w:r>
      <w:r w:rsidR="008129D5" w:rsidRPr="00D8046E">
        <w:t>, we</w:t>
      </w:r>
      <w:r w:rsidR="00A81EC1" w:rsidRPr="00D8046E">
        <w:t xml:space="preserve"> </w:t>
      </w:r>
      <w:r w:rsidR="004645D5" w:rsidRPr="00D8046E">
        <w:t>used</w:t>
      </w:r>
      <w:r w:rsidR="00A81EC1" w:rsidRPr="00D8046E">
        <w:t xml:space="preserve"> </w:t>
      </w:r>
      <w:r w:rsidR="002145D6" w:rsidRPr="00D8046E">
        <w:t>simple</w:t>
      </w:r>
      <w:r w:rsidR="00A81EC1" w:rsidRPr="00D8046E">
        <w:t xml:space="preserve"> scenarios that were described </w:t>
      </w:r>
      <w:r w:rsidR="002145D6" w:rsidRPr="00D8046E">
        <w:t xml:space="preserve">using pictures of common </w:t>
      </w:r>
      <w:r w:rsidR="00281BBC" w:rsidRPr="00D8046E">
        <w:t>effect</w:t>
      </w:r>
      <w:r w:rsidR="002145D6" w:rsidRPr="00D8046E">
        <w:t>s</w:t>
      </w:r>
      <w:r w:rsidR="00EC7D7D" w:rsidRPr="00D8046E">
        <w:t xml:space="preserve">. </w:t>
      </w:r>
      <w:r w:rsidR="00A65F3E" w:rsidRPr="00D8046E">
        <w:t xml:space="preserve">Again, </w:t>
      </w:r>
      <w:r w:rsidR="008645D3" w:rsidRPr="00D8046E">
        <w:t>p</w:t>
      </w:r>
      <w:r w:rsidR="006B4AC1" w:rsidRPr="00D8046E">
        <w:t>articipants read hypothetical scenarios with conseq</w:t>
      </w:r>
      <w:r w:rsidR="00446189" w:rsidRPr="00D8046E">
        <w:t>uences of high or low magnitude</w:t>
      </w:r>
      <w:r w:rsidR="006B4AC1" w:rsidRPr="00D8046E">
        <w:t xml:space="preserve"> and indicated how likely the </w:t>
      </w:r>
      <w:r w:rsidR="001522D9" w:rsidRPr="00D8046E">
        <w:t>effect</w:t>
      </w:r>
      <w:r w:rsidR="006B4AC1" w:rsidRPr="00D8046E">
        <w:t xml:space="preserve"> was due to causes that were </w:t>
      </w:r>
      <w:r w:rsidR="008645D3" w:rsidRPr="00D8046E">
        <w:t>high</w:t>
      </w:r>
      <w:r w:rsidR="006B4AC1" w:rsidRPr="00D8046E">
        <w:t xml:space="preserve"> or </w:t>
      </w:r>
      <w:r w:rsidR="008645D3" w:rsidRPr="00D8046E">
        <w:t>low</w:t>
      </w:r>
      <w:r w:rsidR="006B4AC1" w:rsidRPr="00D8046E">
        <w:t xml:space="preserve"> in magnitude.  </w:t>
      </w:r>
    </w:p>
    <w:p w:rsidR="00CF75ED" w:rsidRPr="00D8046E" w:rsidRDefault="00CF75ED" w:rsidP="00CF75ED">
      <w:pPr>
        <w:spacing w:line="480" w:lineRule="auto"/>
        <w:ind w:firstLine="720"/>
        <w:jc w:val="center"/>
      </w:pPr>
      <w:r w:rsidRPr="00D8046E">
        <w:t>Method</w:t>
      </w:r>
    </w:p>
    <w:p w:rsidR="00A66DA1" w:rsidRPr="00D8046E" w:rsidRDefault="00A66DA1" w:rsidP="00A66DA1">
      <w:pPr>
        <w:pStyle w:val="Heading1"/>
        <w:jc w:val="left"/>
        <w:rPr>
          <w:i/>
          <w:iCs/>
          <w:u w:val="none"/>
        </w:rPr>
      </w:pPr>
      <w:bookmarkStart w:id="5" w:name="_Toc37481357"/>
      <w:bookmarkStart w:id="6" w:name="_Toc37481422"/>
      <w:r w:rsidRPr="00D8046E">
        <w:rPr>
          <w:i/>
          <w:iCs/>
          <w:u w:val="none"/>
        </w:rPr>
        <w:t>Participants</w:t>
      </w:r>
      <w:bookmarkEnd w:id="5"/>
      <w:bookmarkEnd w:id="6"/>
    </w:p>
    <w:p w:rsidR="004645D5" w:rsidRPr="00D8046E" w:rsidRDefault="004645D5" w:rsidP="004645D5">
      <w:pPr>
        <w:pStyle w:val="BodyText2"/>
        <w:spacing w:after="0" w:line="480" w:lineRule="auto"/>
        <w:ind w:left="0" w:firstLine="720"/>
      </w:pPr>
      <w:r w:rsidRPr="00D8046E">
        <w:rPr>
          <w:lang w:eastAsia="zh-CN"/>
        </w:rPr>
        <w:t>Seventy</w:t>
      </w:r>
      <w:r w:rsidR="009D1E11" w:rsidRPr="00D8046E">
        <w:rPr>
          <w:lang w:eastAsia="zh-CN"/>
        </w:rPr>
        <w:t>-</w:t>
      </w:r>
      <w:r w:rsidRPr="00D8046E">
        <w:rPr>
          <w:lang w:eastAsia="zh-CN"/>
        </w:rPr>
        <w:t>eight</w:t>
      </w:r>
      <w:r w:rsidR="00A66DA1" w:rsidRPr="00D8046E">
        <w:rPr>
          <w:lang w:eastAsia="zh-CN"/>
        </w:rPr>
        <w:t xml:space="preserve"> European-Canadians</w:t>
      </w:r>
      <w:r w:rsidR="00A66DA1" w:rsidRPr="00D8046E">
        <w:t xml:space="preserve"> (</w:t>
      </w:r>
      <w:r w:rsidR="00875D6E" w:rsidRPr="00D8046E">
        <w:t>46 wo</w:t>
      </w:r>
      <w:r w:rsidR="00E92D0E" w:rsidRPr="00D8046E">
        <w:t>men</w:t>
      </w:r>
      <w:r w:rsidR="00A66DA1" w:rsidRPr="00D8046E">
        <w:t xml:space="preserve">) </w:t>
      </w:r>
      <w:r w:rsidRPr="00D8046E">
        <w:t>were recruited from Queen’s University</w:t>
      </w:r>
      <w:r w:rsidR="009D1E11" w:rsidRPr="00D8046E">
        <w:t>,</w:t>
      </w:r>
      <w:r w:rsidRPr="00D8046E">
        <w:t xml:space="preserve"> and 60 Chinese (</w:t>
      </w:r>
      <w:r w:rsidR="00875D6E" w:rsidRPr="00D8046E">
        <w:t>27 wo</w:t>
      </w:r>
      <w:r w:rsidR="00E92D0E" w:rsidRPr="00D8046E">
        <w:t>men</w:t>
      </w:r>
      <w:r w:rsidRPr="00D8046E">
        <w:t xml:space="preserve">) were recruited from </w:t>
      </w:r>
      <w:smartTag w:uri="urn:schemas-microsoft-com:office:smarttags" w:element="place">
        <w:smartTag w:uri="urn:schemas-microsoft-com:office:smarttags" w:element="PlaceName">
          <w:r w:rsidRPr="00D8046E">
            <w:t>Beijing</w:t>
          </w:r>
        </w:smartTag>
        <w:r w:rsidRPr="00D8046E">
          <w:t xml:space="preserve"> </w:t>
        </w:r>
        <w:smartTag w:uri="urn:schemas-microsoft-com:office:smarttags" w:element="PlaceType">
          <w:r w:rsidRPr="00D8046E">
            <w:t>University</w:t>
          </w:r>
        </w:smartTag>
      </w:smartTag>
      <w:r w:rsidRPr="00D8046E">
        <w:t>. Canadian participants received course credit or $5 for their participation</w:t>
      </w:r>
      <w:r w:rsidR="009D1E11" w:rsidRPr="00D8046E">
        <w:t>,</w:t>
      </w:r>
      <w:r w:rsidRPr="00D8046E">
        <w:t xml:space="preserve"> and Chinese participants received a small gift. </w:t>
      </w:r>
    </w:p>
    <w:p w:rsidR="00A66DA1" w:rsidRPr="00D8046E" w:rsidRDefault="00A66DA1" w:rsidP="00A66DA1">
      <w:pPr>
        <w:pStyle w:val="BodyText2"/>
        <w:spacing w:after="0" w:line="480" w:lineRule="auto"/>
        <w:ind w:left="0"/>
        <w:rPr>
          <w:i/>
        </w:rPr>
      </w:pPr>
      <w:r w:rsidRPr="00D8046E">
        <w:rPr>
          <w:i/>
        </w:rPr>
        <w:t>Materials and Procedure</w:t>
      </w:r>
    </w:p>
    <w:p w:rsidR="00E92D0E" w:rsidRPr="00D8046E" w:rsidRDefault="00733C54" w:rsidP="00E5491D">
      <w:pPr>
        <w:spacing w:line="480" w:lineRule="auto"/>
        <w:ind w:firstLine="720"/>
      </w:pPr>
      <w:r w:rsidRPr="00D8046E">
        <w:t xml:space="preserve">Participants were randomly assigned to a high or low </w:t>
      </w:r>
      <w:r w:rsidR="003F0E2D" w:rsidRPr="00D8046E">
        <w:t>effect</w:t>
      </w:r>
      <w:r w:rsidRPr="00D8046E">
        <w:t xml:space="preserve"> magnitude condition. In each condition, they </w:t>
      </w:r>
      <w:r w:rsidR="00820481" w:rsidRPr="00D8046E">
        <w:t xml:space="preserve">were presented first with a picture of two basketball players, one </w:t>
      </w:r>
      <w:r w:rsidR="004F100F" w:rsidRPr="00D8046E">
        <w:t>tall</w:t>
      </w:r>
      <w:r w:rsidR="00820481" w:rsidRPr="00D8046E">
        <w:t xml:space="preserve"> (</w:t>
      </w:r>
      <w:r w:rsidR="004F100F" w:rsidRPr="00D8046E">
        <w:t>high</w:t>
      </w:r>
      <w:r w:rsidR="00820481" w:rsidRPr="00D8046E">
        <w:t xml:space="preserve"> magnitude cause) and one </w:t>
      </w:r>
      <w:r w:rsidR="004F100F" w:rsidRPr="00D8046E">
        <w:t>short</w:t>
      </w:r>
      <w:r w:rsidR="00820481" w:rsidRPr="00D8046E">
        <w:t xml:space="preserve"> (</w:t>
      </w:r>
      <w:r w:rsidR="004F100F" w:rsidRPr="00D8046E">
        <w:t>low</w:t>
      </w:r>
      <w:r w:rsidR="00820481" w:rsidRPr="00D8046E">
        <w:t xml:space="preserve"> magnitude cause), and indicate</w:t>
      </w:r>
      <w:r w:rsidR="004617E5" w:rsidRPr="00D8046E">
        <w:t>d</w:t>
      </w:r>
      <w:r w:rsidR="00820481" w:rsidRPr="00D8046E">
        <w:t xml:space="preserve"> the likelihood </w:t>
      </w:r>
      <w:r w:rsidR="003F0E2D" w:rsidRPr="00D8046E">
        <w:t>that</w:t>
      </w:r>
      <w:r w:rsidR="00820481" w:rsidRPr="00D8046E">
        <w:t xml:space="preserve"> each of the two players </w:t>
      </w:r>
      <w:r w:rsidR="00BE15B4" w:rsidRPr="00D8046E">
        <w:t xml:space="preserve">had </w:t>
      </w:r>
      <w:r w:rsidR="00820481" w:rsidRPr="00D8046E">
        <w:t>score</w:t>
      </w:r>
      <w:r w:rsidR="00BE15B4" w:rsidRPr="00D8046E">
        <w:t>d</w:t>
      </w:r>
      <w:r w:rsidR="00820481" w:rsidRPr="00D8046E">
        <w:t xml:space="preserve"> the most points (high magnitude</w:t>
      </w:r>
      <w:r w:rsidR="003F0E2D" w:rsidRPr="00D8046E">
        <w:t xml:space="preserve"> effect</w:t>
      </w:r>
      <w:r w:rsidR="00820481" w:rsidRPr="00D8046E">
        <w:t>) or the least points (low magnitude</w:t>
      </w:r>
      <w:r w:rsidR="003F0E2D" w:rsidRPr="00D8046E">
        <w:t xml:space="preserve"> effect</w:t>
      </w:r>
      <w:r w:rsidR="00820481" w:rsidRPr="00D8046E">
        <w:t xml:space="preserve">) in a game. </w:t>
      </w:r>
      <w:r w:rsidR="00B201FA" w:rsidRPr="00D8046E">
        <w:t>Next,</w:t>
      </w:r>
      <w:r w:rsidR="00820481" w:rsidRPr="00D8046E">
        <w:t xml:space="preserve"> participants were presented with a picture of two tornadoes</w:t>
      </w:r>
      <w:r w:rsidR="000A6906" w:rsidRPr="00D8046E">
        <w:t xml:space="preserve"> that had </w:t>
      </w:r>
      <w:r w:rsidR="00930C01" w:rsidRPr="00D8046E">
        <w:t>traveled</w:t>
      </w:r>
      <w:r w:rsidR="000A6906" w:rsidRPr="00D8046E">
        <w:t xml:space="preserve"> through a city</w:t>
      </w:r>
      <w:r w:rsidR="00820481" w:rsidRPr="00D8046E">
        <w:t xml:space="preserve">, one </w:t>
      </w:r>
      <w:r w:rsidR="004F100F" w:rsidRPr="00D8046E">
        <w:t>wide</w:t>
      </w:r>
      <w:r w:rsidR="00820481" w:rsidRPr="00D8046E">
        <w:t xml:space="preserve"> (</w:t>
      </w:r>
      <w:r w:rsidR="004F100F" w:rsidRPr="00D8046E">
        <w:t>high</w:t>
      </w:r>
      <w:r w:rsidR="00820481" w:rsidRPr="00D8046E">
        <w:t xml:space="preserve"> magnitude cause) and one </w:t>
      </w:r>
      <w:r w:rsidR="004F100F" w:rsidRPr="00D8046E">
        <w:t>narrow</w:t>
      </w:r>
      <w:r w:rsidR="00820481" w:rsidRPr="00D8046E">
        <w:t xml:space="preserve"> (</w:t>
      </w:r>
      <w:r w:rsidR="004F100F" w:rsidRPr="00D8046E">
        <w:t>low</w:t>
      </w:r>
      <w:r w:rsidR="00820481" w:rsidRPr="00D8046E">
        <w:t xml:space="preserve"> magnitude cause), and indicated the likelihood </w:t>
      </w:r>
      <w:r w:rsidR="00AF4DFE" w:rsidRPr="00D8046E">
        <w:t>that</w:t>
      </w:r>
      <w:r w:rsidR="00820481" w:rsidRPr="00D8046E">
        <w:t xml:space="preserve"> each tornado </w:t>
      </w:r>
      <w:r w:rsidR="00BE15B4" w:rsidRPr="00D8046E">
        <w:t xml:space="preserve">had </w:t>
      </w:r>
      <w:r w:rsidR="00AF4DFE" w:rsidRPr="00D8046E">
        <w:t>cause</w:t>
      </w:r>
      <w:r w:rsidR="00BE15B4" w:rsidRPr="00D8046E">
        <w:t>d</w:t>
      </w:r>
      <w:r w:rsidR="00AF4DFE" w:rsidRPr="00D8046E">
        <w:t xml:space="preserve"> extensive damage (high magnitude effect) or no damage (low magnitude effect).</w:t>
      </w:r>
      <w:r w:rsidR="00820481" w:rsidRPr="00D8046E">
        <w:t xml:space="preserve"> The </w:t>
      </w:r>
      <w:r w:rsidR="00E92D0E" w:rsidRPr="00D8046E">
        <w:t>likelihood</w:t>
      </w:r>
      <w:r w:rsidR="00820481" w:rsidRPr="00D8046E">
        <w:t xml:space="preserve"> judgments were made </w:t>
      </w:r>
      <w:r w:rsidR="00E92D0E" w:rsidRPr="00D8046E">
        <w:t xml:space="preserve">on a 9-point scale (1 = </w:t>
      </w:r>
      <w:r w:rsidR="002F2052" w:rsidRPr="00D8046E">
        <w:rPr>
          <w:i/>
        </w:rPr>
        <w:t>not likely at all</w:t>
      </w:r>
      <w:r w:rsidR="00E92D0E" w:rsidRPr="00D8046E">
        <w:t xml:space="preserve">, 9 = </w:t>
      </w:r>
      <w:r w:rsidR="00E92D0E" w:rsidRPr="00D8046E">
        <w:rPr>
          <w:i/>
        </w:rPr>
        <w:t>extremely likely</w:t>
      </w:r>
      <w:r w:rsidR="00E92D0E" w:rsidRPr="00D8046E">
        <w:t>).</w:t>
      </w:r>
      <w:r w:rsidR="00E5491D" w:rsidRPr="00D8046E">
        <w:t xml:space="preserve"> In summary, Study 2</w:t>
      </w:r>
      <w:r w:rsidR="00E92D0E" w:rsidRPr="00D8046E">
        <w:t xml:space="preserve"> </w:t>
      </w:r>
      <w:r w:rsidR="009D1E11" w:rsidRPr="00D8046E">
        <w:t>had</w:t>
      </w:r>
      <w:r w:rsidR="00E92D0E" w:rsidRPr="00D8046E">
        <w:t xml:space="preserve"> a 2 (culture: Canadians vs. Chinese) by 2 (</w:t>
      </w:r>
      <w:r w:rsidR="00C15CC0" w:rsidRPr="00D8046E">
        <w:t>effect</w:t>
      </w:r>
      <w:r w:rsidR="00E92D0E" w:rsidRPr="00D8046E">
        <w:t xml:space="preserve"> magnitude: high vs. low) by 2 (cause magnitude: </w:t>
      </w:r>
      <w:r w:rsidR="00E92D0E" w:rsidRPr="00D8046E">
        <w:lastRenderedPageBreak/>
        <w:t xml:space="preserve">high vs. low) design. The cause magnitude factor </w:t>
      </w:r>
      <w:r w:rsidR="00930C01" w:rsidRPr="00D8046E">
        <w:t>varied</w:t>
      </w:r>
      <w:r w:rsidR="00E92D0E" w:rsidRPr="00D8046E">
        <w:t xml:space="preserve"> within-participants</w:t>
      </w:r>
      <w:r w:rsidR="009D1E11" w:rsidRPr="00D8046E">
        <w:t>,</w:t>
      </w:r>
      <w:r w:rsidR="00E92D0E" w:rsidRPr="00D8046E">
        <w:t xml:space="preserve"> and the other factors </w:t>
      </w:r>
      <w:r w:rsidR="00930C01" w:rsidRPr="00D8046E">
        <w:t>varied</w:t>
      </w:r>
      <w:r w:rsidR="00613F00" w:rsidRPr="00D8046E">
        <w:t xml:space="preserve"> </w:t>
      </w:r>
      <w:r w:rsidR="00E92D0E" w:rsidRPr="00D8046E">
        <w:t>between-participant</w:t>
      </w:r>
      <w:r w:rsidR="00C15CC0" w:rsidRPr="00D8046E">
        <w:t>s.</w:t>
      </w:r>
    </w:p>
    <w:p w:rsidR="00A66DA1" w:rsidRPr="00D8046E" w:rsidRDefault="00A66DA1" w:rsidP="00A66DA1">
      <w:pPr>
        <w:spacing w:line="480" w:lineRule="auto"/>
        <w:jc w:val="center"/>
      </w:pPr>
      <w:r w:rsidRPr="00D8046E">
        <w:t>Results</w:t>
      </w:r>
    </w:p>
    <w:p w:rsidR="00A66DA1" w:rsidRPr="00D8046E" w:rsidRDefault="00A66DA1" w:rsidP="00A66DA1">
      <w:pPr>
        <w:spacing w:line="480" w:lineRule="auto"/>
        <w:rPr>
          <w:i/>
        </w:rPr>
      </w:pPr>
      <w:r w:rsidRPr="00D8046E">
        <w:rPr>
          <w:i/>
        </w:rPr>
        <w:t>Likelihood Estimate Computation</w:t>
      </w:r>
    </w:p>
    <w:p w:rsidR="00A66DA1" w:rsidRPr="00D8046E" w:rsidRDefault="00A66DA1" w:rsidP="00A66DA1">
      <w:pPr>
        <w:spacing w:line="480" w:lineRule="auto"/>
      </w:pPr>
      <w:r w:rsidRPr="00D8046E">
        <w:rPr>
          <w:i/>
        </w:rPr>
        <w:tab/>
      </w:r>
      <w:r w:rsidRPr="00D8046E">
        <w:t xml:space="preserve">Each participant completed </w:t>
      </w:r>
      <w:r w:rsidR="00A956FC" w:rsidRPr="00D8046E">
        <w:t>both</w:t>
      </w:r>
      <w:r w:rsidRPr="00D8046E">
        <w:t xml:space="preserve"> scenarios</w:t>
      </w:r>
      <w:r w:rsidR="00112D76" w:rsidRPr="00D8046E">
        <w:t xml:space="preserve"> (basketball </w:t>
      </w:r>
      <w:r w:rsidR="00667D37" w:rsidRPr="00D8046E">
        <w:t>game</w:t>
      </w:r>
      <w:r w:rsidR="00112D76" w:rsidRPr="00D8046E">
        <w:t xml:space="preserve"> and tornadoes)</w:t>
      </w:r>
      <w:r w:rsidRPr="00D8046E">
        <w:t xml:space="preserve">. </w:t>
      </w:r>
      <w:r w:rsidR="00A956FC" w:rsidRPr="00D8046E">
        <w:t xml:space="preserve">For each scenario, participants gave two likelihood estimates, one for a high-magnitude cause and one for a low magnitude cause. </w:t>
      </w:r>
      <w:r w:rsidR="003E5A1D" w:rsidRPr="00D8046E">
        <w:t>T</w:t>
      </w:r>
      <w:r w:rsidR="00112D76" w:rsidRPr="00D8046E">
        <w:t>he pattern of the results was the sam</w:t>
      </w:r>
      <w:r w:rsidR="003E5A1D" w:rsidRPr="00D8046E">
        <w:t>e for each of the two scenarios</w:t>
      </w:r>
      <w:r w:rsidRPr="00D8046E">
        <w:t xml:space="preserve">. Therefore, </w:t>
      </w:r>
      <w:r w:rsidR="00B74628" w:rsidRPr="00D8046E">
        <w:t xml:space="preserve">we </w:t>
      </w:r>
      <w:r w:rsidRPr="00D8046E">
        <w:t xml:space="preserve">combined the scenarios by averaging the two likelihood estimates for the </w:t>
      </w:r>
      <w:r w:rsidR="00A722CF" w:rsidRPr="00D8046E">
        <w:t>high magnitude</w:t>
      </w:r>
      <w:r w:rsidRPr="00D8046E">
        <w:t xml:space="preserve"> causes and by averaging the two likelihood estimates for the </w:t>
      </w:r>
      <w:r w:rsidR="00A722CF" w:rsidRPr="00D8046E">
        <w:t>low magnitude</w:t>
      </w:r>
      <w:r w:rsidRPr="00D8046E">
        <w:t xml:space="preserve"> causes. These two averages were then treated as </w:t>
      </w:r>
      <w:r w:rsidR="000013DE" w:rsidRPr="00D8046E">
        <w:t>repeated-measures</w:t>
      </w:r>
      <w:r w:rsidRPr="00D8046E">
        <w:t xml:space="preserve"> variables.</w:t>
      </w:r>
    </w:p>
    <w:p w:rsidR="00A66DA1" w:rsidRPr="00D8046E" w:rsidRDefault="00A66DA1" w:rsidP="00A66DA1">
      <w:pPr>
        <w:spacing w:line="480" w:lineRule="auto"/>
        <w:rPr>
          <w:i/>
        </w:rPr>
      </w:pPr>
      <w:r w:rsidRPr="00D8046E">
        <w:rPr>
          <w:i/>
        </w:rPr>
        <w:t xml:space="preserve">Test of </w:t>
      </w:r>
      <w:r w:rsidR="00BB08F0" w:rsidRPr="00D8046E">
        <w:rPr>
          <w:i/>
        </w:rPr>
        <w:t xml:space="preserve">Cause-Effect </w:t>
      </w:r>
      <w:r w:rsidRPr="00D8046E">
        <w:rPr>
          <w:i/>
        </w:rPr>
        <w:t>Magnitude Correspondence</w:t>
      </w:r>
    </w:p>
    <w:p w:rsidR="00A66DA1" w:rsidRPr="00D8046E" w:rsidRDefault="00A66DA1" w:rsidP="00A66DA1">
      <w:pPr>
        <w:spacing w:line="480" w:lineRule="auto"/>
      </w:pPr>
      <w:r w:rsidRPr="00D8046E">
        <w:rPr>
          <w:i/>
        </w:rPr>
        <w:tab/>
      </w:r>
      <w:r w:rsidR="00C60D17" w:rsidRPr="00D8046E">
        <w:t xml:space="preserve">A 2 (culture) X 2 (effect magnitude) X 2 (cause magnitude) </w:t>
      </w:r>
      <w:r w:rsidR="0043484E">
        <w:t>mixed-model</w:t>
      </w:r>
      <w:r w:rsidR="00C60D17" w:rsidRPr="00D8046E">
        <w:t xml:space="preserve"> analysis of variance (ANOVA) revealed a significant</w:t>
      </w:r>
      <w:r w:rsidR="00C60D17" w:rsidRPr="00D8046E" w:rsidDel="00DE4F84">
        <w:t xml:space="preserve"> </w:t>
      </w:r>
      <w:r w:rsidR="00C60D17" w:rsidRPr="00D8046E">
        <w:t>main effect of effect magnitude</w:t>
      </w:r>
      <w:r w:rsidR="00AB1344" w:rsidRPr="00D8046E">
        <w:t xml:space="preserve">, </w:t>
      </w:r>
      <w:r w:rsidR="00AB1344" w:rsidRPr="00D8046E">
        <w:rPr>
          <w:i/>
        </w:rPr>
        <w:t>F</w:t>
      </w:r>
      <w:r w:rsidR="00AB1344" w:rsidRPr="00D8046E">
        <w:t xml:space="preserve">(1, 134) = 23.72, </w:t>
      </w:r>
      <w:r w:rsidR="00AB1344" w:rsidRPr="00D8046E">
        <w:rPr>
          <w:i/>
        </w:rPr>
        <w:t>p</w:t>
      </w:r>
      <w:r w:rsidR="00563D48" w:rsidRPr="00D8046E">
        <w:t xml:space="preserve"> &lt; .001,</w:t>
      </w:r>
      <w:r w:rsidR="00AB1344" w:rsidRPr="00D8046E">
        <w:t xml:space="preserve"> </w:t>
      </w:r>
      <w:r w:rsidR="001E1F8F" w:rsidRPr="00D8046E">
        <w:t>such that participants in the high magnitude effect condition gave higher likelihood ratings for the causes</w:t>
      </w:r>
      <w:r w:rsidR="00FB70E8" w:rsidRPr="00D8046E">
        <w:t xml:space="preserve"> (</w:t>
      </w:r>
      <w:r w:rsidR="00FB70E8" w:rsidRPr="00D8046E">
        <w:rPr>
          <w:i/>
        </w:rPr>
        <w:t>M</w:t>
      </w:r>
      <w:r w:rsidR="00FB70E8" w:rsidRPr="00D8046E">
        <w:t xml:space="preserve"> = 5.72, </w:t>
      </w:r>
      <w:r w:rsidR="00FB70E8" w:rsidRPr="00D8046E">
        <w:rPr>
          <w:i/>
        </w:rPr>
        <w:t>SD</w:t>
      </w:r>
      <w:r w:rsidR="00FB70E8" w:rsidRPr="00D8046E">
        <w:t xml:space="preserve"> = .67)</w:t>
      </w:r>
      <w:r w:rsidR="001E1F8F" w:rsidRPr="00D8046E">
        <w:t>, in comparison with those in the low magnitude effect condition</w:t>
      </w:r>
      <w:r w:rsidR="00FB70E8" w:rsidRPr="00D8046E">
        <w:t xml:space="preserve"> (</w:t>
      </w:r>
      <w:r w:rsidR="00FB70E8" w:rsidRPr="00D8046E">
        <w:rPr>
          <w:i/>
        </w:rPr>
        <w:t>M</w:t>
      </w:r>
      <w:r w:rsidR="00FB70E8" w:rsidRPr="00D8046E">
        <w:t xml:space="preserve"> = 5.22, </w:t>
      </w:r>
      <w:r w:rsidR="00FB70E8" w:rsidRPr="00D8046E">
        <w:rPr>
          <w:i/>
        </w:rPr>
        <w:t>SD</w:t>
      </w:r>
      <w:r w:rsidR="00FB70E8" w:rsidRPr="00D8046E">
        <w:t xml:space="preserve"> = .45)</w:t>
      </w:r>
      <w:r w:rsidR="00563D48" w:rsidRPr="00D8046E">
        <w:t xml:space="preserve">. </w:t>
      </w:r>
      <w:r w:rsidRPr="00D8046E">
        <w:t xml:space="preserve">The </w:t>
      </w:r>
      <w:r w:rsidR="000F5966" w:rsidRPr="00D8046E">
        <w:t>effect</w:t>
      </w:r>
      <w:r w:rsidRPr="00D8046E">
        <w:t xml:space="preserve"> </w:t>
      </w:r>
      <w:r w:rsidR="005F461F" w:rsidRPr="00D8046E">
        <w:t>magnitude by c</w:t>
      </w:r>
      <w:r w:rsidRPr="00D8046E">
        <w:t xml:space="preserve">ause </w:t>
      </w:r>
      <w:r w:rsidR="005F461F" w:rsidRPr="00D8046E">
        <w:t>m</w:t>
      </w:r>
      <w:r w:rsidRPr="00D8046E">
        <w:t>agnitude interaction</w:t>
      </w:r>
      <w:r w:rsidR="00404172" w:rsidRPr="00D8046E">
        <w:t xml:space="preserve"> was significant</w:t>
      </w:r>
      <w:r w:rsidRPr="00D8046E">
        <w:t xml:space="preserve">, </w:t>
      </w:r>
      <w:r w:rsidRPr="00D8046E">
        <w:rPr>
          <w:i/>
        </w:rPr>
        <w:t>F</w:t>
      </w:r>
      <w:r w:rsidRPr="00D8046E">
        <w:t xml:space="preserve">(1, </w:t>
      </w:r>
      <w:r w:rsidR="005F461F" w:rsidRPr="00D8046E">
        <w:t>13</w:t>
      </w:r>
      <w:r w:rsidRPr="00D8046E">
        <w:t xml:space="preserve">4) = </w:t>
      </w:r>
      <w:r w:rsidR="005F461F" w:rsidRPr="00D8046E">
        <w:t>50.20</w:t>
      </w:r>
      <w:r w:rsidRPr="00D8046E">
        <w:t xml:space="preserve">, </w:t>
      </w:r>
      <w:r w:rsidRPr="00D8046E">
        <w:rPr>
          <w:i/>
        </w:rPr>
        <w:t>p</w:t>
      </w:r>
      <w:r w:rsidRPr="00D8046E">
        <w:t xml:space="preserve"> &lt; .001</w:t>
      </w:r>
      <w:r w:rsidR="008F2338" w:rsidRPr="00D8046E">
        <w:t>, η</w:t>
      </w:r>
      <w:r w:rsidR="008F2338" w:rsidRPr="00D8046E">
        <w:rPr>
          <w:vertAlign w:val="subscript"/>
        </w:rPr>
        <w:t>p</w:t>
      </w:r>
      <w:r w:rsidR="008F2338" w:rsidRPr="00D8046E">
        <w:rPr>
          <w:vertAlign w:val="superscript"/>
        </w:rPr>
        <w:t>2</w:t>
      </w:r>
      <w:r w:rsidR="008F2338" w:rsidRPr="00D8046E">
        <w:t xml:space="preserve"> = .27</w:t>
      </w:r>
      <w:r w:rsidRPr="00D8046E">
        <w:t xml:space="preserve">. </w:t>
      </w:r>
      <w:r w:rsidR="00AC5DC3" w:rsidRPr="00D8046E">
        <w:t xml:space="preserve">Overall, participants </w:t>
      </w:r>
      <w:r w:rsidRPr="00D8046E">
        <w:t xml:space="preserve">tended to associate </w:t>
      </w:r>
      <w:r w:rsidR="007C3A26" w:rsidRPr="00D8046E">
        <w:t>high magnitude</w:t>
      </w:r>
      <w:r w:rsidRPr="00D8046E">
        <w:t xml:space="preserve"> </w:t>
      </w:r>
      <w:r w:rsidR="000F5966" w:rsidRPr="00D8046E">
        <w:t>effects</w:t>
      </w:r>
      <w:r w:rsidRPr="00D8046E">
        <w:t xml:space="preserve"> with </w:t>
      </w:r>
      <w:r w:rsidR="007C3A26" w:rsidRPr="00D8046E">
        <w:t>high magnitude</w:t>
      </w:r>
      <w:r w:rsidRPr="00D8046E">
        <w:t xml:space="preserve"> causes </w:t>
      </w:r>
      <w:r w:rsidR="008F2338" w:rsidRPr="00D8046E">
        <w:t>(</w:t>
      </w:r>
      <w:r w:rsidR="008F2338" w:rsidRPr="00D8046E">
        <w:rPr>
          <w:i/>
        </w:rPr>
        <w:t>M</w:t>
      </w:r>
      <w:r w:rsidR="008F2338" w:rsidRPr="00D8046E">
        <w:t xml:space="preserve"> = 6.80, </w:t>
      </w:r>
      <w:r w:rsidR="008F2338" w:rsidRPr="00D8046E">
        <w:rPr>
          <w:i/>
        </w:rPr>
        <w:t>SD</w:t>
      </w:r>
      <w:r w:rsidR="008F2338" w:rsidRPr="00D8046E">
        <w:t xml:space="preserve"> = 1.28) </w:t>
      </w:r>
      <w:r w:rsidRPr="00D8046E">
        <w:t xml:space="preserve">more than with </w:t>
      </w:r>
      <w:r w:rsidR="007C3A26" w:rsidRPr="00D8046E">
        <w:t>low magnitude</w:t>
      </w:r>
      <w:r w:rsidRPr="00D8046E">
        <w:t xml:space="preserve"> causes</w:t>
      </w:r>
      <w:r w:rsidR="008F2338" w:rsidRPr="00D8046E">
        <w:t xml:space="preserve"> </w:t>
      </w:r>
      <w:r w:rsidR="00AC3267" w:rsidRPr="00D8046E">
        <w:t>(</w:t>
      </w:r>
      <w:r w:rsidR="00AC3267" w:rsidRPr="00D8046E">
        <w:rPr>
          <w:i/>
        </w:rPr>
        <w:t>M</w:t>
      </w:r>
      <w:r w:rsidR="00AC3267" w:rsidRPr="00D8046E">
        <w:t xml:space="preserve"> = 4.63, </w:t>
      </w:r>
      <w:r w:rsidR="00AC3267" w:rsidRPr="00D8046E">
        <w:rPr>
          <w:i/>
        </w:rPr>
        <w:t>SD</w:t>
      </w:r>
      <w:r w:rsidR="00AC3267" w:rsidRPr="00D8046E">
        <w:t xml:space="preserve"> = 1.30)</w:t>
      </w:r>
      <w:r w:rsidRPr="00D8046E">
        <w:t xml:space="preserve">, and </w:t>
      </w:r>
      <w:r w:rsidR="007C3A26" w:rsidRPr="00D8046E">
        <w:t>low magnitude</w:t>
      </w:r>
      <w:r w:rsidRPr="00D8046E">
        <w:t xml:space="preserve"> </w:t>
      </w:r>
      <w:r w:rsidR="000F5966" w:rsidRPr="00D8046E">
        <w:t>effects</w:t>
      </w:r>
      <w:r w:rsidRPr="00D8046E">
        <w:t xml:space="preserve"> with </w:t>
      </w:r>
      <w:r w:rsidR="007C3A26" w:rsidRPr="00D8046E">
        <w:t>low magnitude</w:t>
      </w:r>
      <w:r w:rsidRPr="00D8046E">
        <w:t xml:space="preserve"> causes</w:t>
      </w:r>
      <w:r w:rsidR="008F2338" w:rsidRPr="00D8046E">
        <w:t xml:space="preserve"> (</w:t>
      </w:r>
      <w:r w:rsidR="008F2338" w:rsidRPr="00D8046E">
        <w:rPr>
          <w:i/>
        </w:rPr>
        <w:t>M</w:t>
      </w:r>
      <w:r w:rsidR="008F2338" w:rsidRPr="00D8046E">
        <w:t xml:space="preserve"> = 5.91, </w:t>
      </w:r>
      <w:r w:rsidR="008F2338" w:rsidRPr="00D8046E">
        <w:rPr>
          <w:i/>
        </w:rPr>
        <w:t>SD</w:t>
      </w:r>
      <w:r w:rsidR="008F2338" w:rsidRPr="00D8046E">
        <w:t xml:space="preserve"> = 1.71)</w:t>
      </w:r>
      <w:r w:rsidRPr="00D8046E">
        <w:t xml:space="preserve"> more than </w:t>
      </w:r>
      <w:r w:rsidR="007C3A26" w:rsidRPr="00D8046E">
        <w:t>high magnitude</w:t>
      </w:r>
      <w:r w:rsidRPr="00D8046E">
        <w:t xml:space="preserve"> causes</w:t>
      </w:r>
      <w:r w:rsidR="00AC3267" w:rsidRPr="00D8046E">
        <w:t xml:space="preserve"> (</w:t>
      </w:r>
      <w:r w:rsidR="00AC3267" w:rsidRPr="00D8046E">
        <w:rPr>
          <w:i/>
        </w:rPr>
        <w:t>M</w:t>
      </w:r>
      <w:r w:rsidR="00AC3267" w:rsidRPr="00D8046E">
        <w:t xml:space="preserve"> = 4.54, </w:t>
      </w:r>
      <w:r w:rsidR="00AC3267" w:rsidRPr="00D8046E">
        <w:rPr>
          <w:i/>
        </w:rPr>
        <w:t>SD</w:t>
      </w:r>
      <w:r w:rsidR="00AC3267" w:rsidRPr="00D8046E">
        <w:t xml:space="preserve"> = 1.73)</w:t>
      </w:r>
      <w:r w:rsidRPr="00D8046E">
        <w:t xml:space="preserve">. </w:t>
      </w:r>
      <w:r w:rsidR="000D57C8">
        <w:t>Replicating the results from</w:t>
      </w:r>
      <w:r w:rsidR="0087784A" w:rsidRPr="00D8046E">
        <w:t xml:space="preserve"> Study 1</w:t>
      </w:r>
      <w:r w:rsidR="00404172" w:rsidRPr="00D8046E">
        <w:t xml:space="preserve">, the culture by </w:t>
      </w:r>
      <w:r w:rsidR="00FD466D" w:rsidRPr="00D8046E">
        <w:t>effect</w:t>
      </w:r>
      <w:r w:rsidRPr="00D8046E">
        <w:t xml:space="preserve"> </w:t>
      </w:r>
      <w:r w:rsidR="00404172" w:rsidRPr="00D8046E">
        <w:t>m</w:t>
      </w:r>
      <w:r w:rsidRPr="00D8046E">
        <w:t xml:space="preserve">agnitude by </w:t>
      </w:r>
      <w:r w:rsidR="00404172" w:rsidRPr="00D8046E">
        <w:t>c</w:t>
      </w:r>
      <w:r w:rsidRPr="00D8046E">
        <w:t xml:space="preserve">ause </w:t>
      </w:r>
      <w:r w:rsidR="00404172" w:rsidRPr="00D8046E">
        <w:t>m</w:t>
      </w:r>
      <w:r w:rsidRPr="00D8046E">
        <w:t xml:space="preserve">agnitude interaction was significant, </w:t>
      </w:r>
      <w:r w:rsidRPr="00D8046E">
        <w:rPr>
          <w:i/>
        </w:rPr>
        <w:t>F</w:t>
      </w:r>
      <w:r w:rsidRPr="00D8046E">
        <w:t xml:space="preserve">(1, </w:t>
      </w:r>
      <w:r w:rsidR="00CA2B9E" w:rsidRPr="00D8046E">
        <w:t>13</w:t>
      </w:r>
      <w:r w:rsidRPr="00D8046E">
        <w:t xml:space="preserve">4) = </w:t>
      </w:r>
      <w:r w:rsidR="00CA2B9E" w:rsidRPr="00D8046E">
        <w:t>7.48</w:t>
      </w:r>
      <w:r w:rsidRPr="00D8046E">
        <w:t xml:space="preserve">, </w:t>
      </w:r>
      <w:r w:rsidRPr="00D8046E">
        <w:rPr>
          <w:i/>
        </w:rPr>
        <w:t>p</w:t>
      </w:r>
      <w:r w:rsidRPr="00D8046E">
        <w:t xml:space="preserve"> </w:t>
      </w:r>
      <w:r w:rsidR="00CA2B9E" w:rsidRPr="00D8046E">
        <w:t>=</w:t>
      </w:r>
      <w:r w:rsidRPr="00D8046E">
        <w:t xml:space="preserve"> .00</w:t>
      </w:r>
      <w:r w:rsidR="00CA2B9E" w:rsidRPr="00D8046E">
        <w:t>7, η</w:t>
      </w:r>
      <w:r w:rsidR="00CA2B9E" w:rsidRPr="00D8046E">
        <w:rPr>
          <w:vertAlign w:val="subscript"/>
        </w:rPr>
        <w:t>p</w:t>
      </w:r>
      <w:r w:rsidR="00CA2B9E" w:rsidRPr="00D8046E">
        <w:rPr>
          <w:vertAlign w:val="superscript"/>
        </w:rPr>
        <w:t>2</w:t>
      </w:r>
      <w:r w:rsidR="00CA2B9E" w:rsidRPr="00D8046E">
        <w:t xml:space="preserve"> = .05</w:t>
      </w:r>
      <w:r w:rsidRPr="00D8046E">
        <w:t xml:space="preserve">. As hypothesized, Canadians </w:t>
      </w:r>
      <w:r w:rsidR="00F22E8D" w:rsidRPr="00D8046E">
        <w:t>exhibit</w:t>
      </w:r>
      <w:r w:rsidR="00FB70E8" w:rsidRPr="00D8046E">
        <w:t>ed</w:t>
      </w:r>
      <w:r w:rsidR="00F22E8D" w:rsidRPr="00D8046E">
        <w:t xml:space="preserve"> a stronger cause-effect magnitude correspondence</w:t>
      </w:r>
      <w:r w:rsidR="00CA2B9E" w:rsidRPr="00D8046E">
        <w:t xml:space="preserve"> than Chinese (see Figure </w:t>
      </w:r>
      <w:r w:rsidR="00FD466D" w:rsidRPr="00D8046E">
        <w:t>3</w:t>
      </w:r>
      <w:r w:rsidRPr="00D8046E">
        <w:t>).</w:t>
      </w:r>
      <w:r w:rsidR="001E3DCC" w:rsidRPr="00D8046E">
        <w:t xml:space="preserve"> </w:t>
      </w:r>
    </w:p>
    <w:p w:rsidR="00C03E7A" w:rsidRPr="00C03E7A" w:rsidRDefault="00C03E7A" w:rsidP="000D7980">
      <w:pPr>
        <w:spacing w:line="480" w:lineRule="auto"/>
        <w:ind w:firstLine="720"/>
      </w:pPr>
      <w:r w:rsidRPr="00C03E7A">
        <w:lastRenderedPageBreak/>
        <w:t xml:space="preserve">Follow-up independent-sample </w:t>
      </w:r>
      <w:r w:rsidRPr="006F7A84">
        <w:rPr>
          <w:i/>
        </w:rPr>
        <w:t>t</w:t>
      </w:r>
      <w:r w:rsidRPr="00C03E7A">
        <w:t xml:space="preserve"> tests on the interaction indicated that</w:t>
      </w:r>
      <w:r w:rsidR="000D7980">
        <w:t>,</w:t>
      </w:r>
      <w:r w:rsidRPr="00C03E7A">
        <w:t xml:space="preserve"> </w:t>
      </w:r>
      <w:r w:rsidR="000D7980">
        <w:t>to account f</w:t>
      </w:r>
      <w:r w:rsidRPr="00C03E7A">
        <w:t>or the high magnitude event, Canadians rated the high magnitude cause as more likely than did Chinese and rated the low magnitude cause a</w:t>
      </w:r>
      <w:r w:rsidR="006F7A84">
        <w:t>s</w:t>
      </w:r>
      <w:r w:rsidRPr="00C03E7A">
        <w:t xml:space="preserve"> less likely than did Chinese</w:t>
      </w:r>
      <w:r w:rsidR="000D7980">
        <w:t>.</w:t>
      </w:r>
      <w:r w:rsidRPr="00C03E7A">
        <w:t xml:space="preserve"> For the low magnitude event, Canadians rated the high magnitude cause as less likely than did Chinese and rated the low magnitude cause as more likely than did Chinese</w:t>
      </w:r>
      <w:r w:rsidR="000D7980">
        <w:t>,</w:t>
      </w:r>
      <w:r w:rsidRPr="00C03E7A">
        <w:t xml:space="preserve"> </w:t>
      </w:r>
      <w:r w:rsidR="000D7980" w:rsidRPr="00C03E7A">
        <w:t xml:space="preserve">ts &gt; </w:t>
      </w:r>
      <w:r w:rsidR="000D7980">
        <w:t>1.96</w:t>
      </w:r>
      <w:r w:rsidR="000D7980" w:rsidRPr="00C03E7A">
        <w:t>, ps &lt; .0</w:t>
      </w:r>
      <w:r w:rsidR="000D7980">
        <w:t>5</w:t>
      </w:r>
    </w:p>
    <w:p w:rsidR="00B7538A" w:rsidRPr="00D8046E" w:rsidRDefault="00B7538A" w:rsidP="00B7538A">
      <w:pPr>
        <w:spacing w:line="480" w:lineRule="auto"/>
        <w:ind w:firstLine="720"/>
      </w:pPr>
      <w:r w:rsidRPr="00D8046E">
        <w:t>Thus, in tw</w:t>
      </w:r>
      <w:r w:rsidR="004217DA" w:rsidRPr="00D8046E">
        <w:t xml:space="preserve">o detailed scenarios </w:t>
      </w:r>
      <w:r w:rsidR="00B702BD" w:rsidRPr="00D8046E">
        <w:t xml:space="preserve">represented by words </w:t>
      </w:r>
      <w:r w:rsidR="004217DA" w:rsidRPr="00D8046E">
        <w:t>in Study 1</w:t>
      </w:r>
      <w:r w:rsidRPr="00D8046E">
        <w:t xml:space="preserve"> and </w:t>
      </w:r>
      <w:r w:rsidR="002F576E" w:rsidRPr="00D8046E">
        <w:t>two</w:t>
      </w:r>
      <w:r w:rsidRPr="00D8046E">
        <w:t xml:space="preserve"> simple scenarios represented by pictures in Study 2, Canadians associate</w:t>
      </w:r>
      <w:r w:rsidR="00FB70E8" w:rsidRPr="00D8046E">
        <w:t>d</w:t>
      </w:r>
      <w:r w:rsidRPr="00D8046E">
        <w:t xml:space="preserve"> high magnitude </w:t>
      </w:r>
      <w:r w:rsidR="00B702BD" w:rsidRPr="00D8046E">
        <w:t>effects</w:t>
      </w:r>
      <w:r w:rsidRPr="00D8046E">
        <w:t xml:space="preserve"> with high magnitude causes more than low magnitude causes and low magnitude </w:t>
      </w:r>
      <w:r w:rsidR="00B702BD" w:rsidRPr="00D8046E">
        <w:t>effects</w:t>
      </w:r>
      <w:r w:rsidRPr="00D8046E">
        <w:t xml:space="preserve"> with low magnitude causes more than high magnitude causes. </w:t>
      </w:r>
      <w:r w:rsidR="004217DA" w:rsidRPr="00D8046E">
        <w:t>Furthermore,</w:t>
      </w:r>
      <w:r w:rsidRPr="00D8046E">
        <w:t xml:space="preserve"> </w:t>
      </w:r>
      <w:r w:rsidR="00460011" w:rsidRPr="00D8046E">
        <w:t>for</w:t>
      </w:r>
      <w:r w:rsidRPr="00D8046E">
        <w:t xml:space="preserve"> all </w:t>
      </w:r>
      <w:r w:rsidR="002F576E" w:rsidRPr="00D8046E">
        <w:t>four</w:t>
      </w:r>
      <w:r w:rsidRPr="00D8046E">
        <w:t xml:space="preserve"> scenarios, Chinese </w:t>
      </w:r>
      <w:r w:rsidR="00944145" w:rsidRPr="00D8046E">
        <w:t>exhibited this pattern to a</w:t>
      </w:r>
      <w:r w:rsidRPr="00D8046E">
        <w:t xml:space="preserve"> significantly</w:t>
      </w:r>
      <w:r w:rsidR="00944145" w:rsidRPr="00D8046E">
        <w:t xml:space="preserve"> </w:t>
      </w:r>
      <w:r w:rsidR="00B702BD" w:rsidRPr="00D8046E">
        <w:t>lesser</w:t>
      </w:r>
      <w:r w:rsidR="00944145" w:rsidRPr="00D8046E">
        <w:t xml:space="preserve"> degree</w:t>
      </w:r>
      <w:r w:rsidRPr="00D8046E">
        <w:t>.</w:t>
      </w:r>
      <w:r w:rsidR="00096412" w:rsidRPr="00D8046E">
        <w:t xml:space="preserve">         </w:t>
      </w:r>
    </w:p>
    <w:p w:rsidR="00206931" w:rsidRPr="00D8046E" w:rsidRDefault="00206931" w:rsidP="009C6F67">
      <w:pPr>
        <w:autoSpaceDE w:val="0"/>
        <w:autoSpaceDN w:val="0"/>
        <w:adjustRightInd w:val="0"/>
        <w:spacing w:line="480" w:lineRule="auto"/>
        <w:jc w:val="center"/>
      </w:pPr>
      <w:r w:rsidRPr="00D8046E">
        <w:t>Study 3</w:t>
      </w:r>
    </w:p>
    <w:p w:rsidR="0083325D" w:rsidRPr="00D8046E" w:rsidRDefault="00BA544C" w:rsidP="00206931">
      <w:pPr>
        <w:spacing w:line="480" w:lineRule="auto"/>
        <w:ind w:firstLine="720"/>
      </w:pPr>
      <w:r w:rsidRPr="00D8046E">
        <w:t xml:space="preserve">Studies 1 and 2 found that compared with Chinese, Canadians expect </w:t>
      </w:r>
      <w:r w:rsidR="000D0A61" w:rsidRPr="00D8046E">
        <w:t>effects</w:t>
      </w:r>
      <w:r w:rsidRPr="00D8046E">
        <w:t xml:space="preserve"> and their causes to correspond in magnitude to a greater degree. </w:t>
      </w:r>
      <w:r w:rsidR="008404FB" w:rsidRPr="00D8046E">
        <w:t>We argue that the pattern of results is caused by cultural differences in holistic reasoning. However, a simple alternative explanation exists</w:t>
      </w:r>
      <w:r w:rsidR="0083325D" w:rsidRPr="00D8046E">
        <w:t xml:space="preserve">: The results from Studies 1 and 2 could be explained by a stronger preference to choose midpoints </w:t>
      </w:r>
      <w:r w:rsidR="006B6E57" w:rsidRPr="00D8046E">
        <w:t xml:space="preserve">on scales </w:t>
      </w:r>
      <w:r w:rsidR="0083325D" w:rsidRPr="00D8046E">
        <w:t xml:space="preserve">by Chinese than by Canadians. </w:t>
      </w:r>
      <w:r w:rsidR="008404FB" w:rsidRPr="00D8046E">
        <w:t xml:space="preserve"> </w:t>
      </w:r>
      <w:r w:rsidR="00F20989" w:rsidRPr="00D8046E">
        <w:t>In both studies, participants rat</w:t>
      </w:r>
      <w:r w:rsidR="00052280" w:rsidRPr="00D8046E">
        <w:t>ed</w:t>
      </w:r>
      <w:r w:rsidR="00F20989" w:rsidRPr="00D8046E">
        <w:t xml:space="preserve"> their likelihood judgments on a Likert-type scale. </w:t>
      </w:r>
      <w:r w:rsidR="00C808CA" w:rsidRPr="00D8046E">
        <w:t>Chen, Lee</w:t>
      </w:r>
      <w:r w:rsidR="001A14E2" w:rsidRPr="00D8046E">
        <w:t>,</w:t>
      </w:r>
      <w:r w:rsidR="00C808CA" w:rsidRPr="00D8046E">
        <w:t xml:space="preserve"> and Stevenson (1995)</w:t>
      </w:r>
      <w:r w:rsidRPr="00D8046E">
        <w:t xml:space="preserve"> </w:t>
      </w:r>
      <w:r w:rsidR="00C808CA" w:rsidRPr="00D8046E">
        <w:t>found</w:t>
      </w:r>
      <w:r w:rsidRPr="00D8046E">
        <w:t xml:space="preserve"> evidence that East Asians </w:t>
      </w:r>
      <w:r w:rsidR="00FB70E8" w:rsidRPr="00D8046E">
        <w:t xml:space="preserve">typically </w:t>
      </w:r>
      <w:r w:rsidRPr="00D8046E">
        <w:t xml:space="preserve">prefer points closer to the midpoints of </w:t>
      </w:r>
      <w:r w:rsidR="00AC3D6B" w:rsidRPr="00D8046E">
        <w:t xml:space="preserve">such </w:t>
      </w:r>
      <w:r w:rsidRPr="00D8046E">
        <w:t>scales</w:t>
      </w:r>
      <w:r w:rsidR="0083325D" w:rsidRPr="00D8046E">
        <w:t>, even though</w:t>
      </w:r>
      <w:r w:rsidRPr="00D8046E">
        <w:t xml:space="preserve"> </w:t>
      </w:r>
      <w:r w:rsidR="0083325D" w:rsidRPr="00D8046E">
        <w:t>t</w:t>
      </w:r>
      <w:r w:rsidR="00AC3D6B" w:rsidRPr="00D8046E">
        <w:t>he</w:t>
      </w:r>
      <w:r w:rsidRPr="00D8046E">
        <w:t xml:space="preserve"> </w:t>
      </w:r>
      <w:r w:rsidR="00D55A48" w:rsidRPr="00D8046E">
        <w:t>degree of midpoint-response bias</w:t>
      </w:r>
      <w:r w:rsidRPr="00D8046E">
        <w:t xml:space="preserve"> </w:t>
      </w:r>
      <w:r w:rsidR="00AC3D6B" w:rsidRPr="00D8046E">
        <w:t xml:space="preserve">in </w:t>
      </w:r>
      <w:r w:rsidR="00143A4A" w:rsidRPr="00D8046E">
        <w:t>their</w:t>
      </w:r>
      <w:r w:rsidR="00AC3D6B" w:rsidRPr="00D8046E">
        <w:t xml:space="preserve"> study </w:t>
      </w:r>
      <w:r w:rsidRPr="00D8046E">
        <w:t>was weak,</w:t>
      </w:r>
      <w:r w:rsidR="00D55A48" w:rsidRPr="00D8046E">
        <w:t xml:space="preserve"> especially comparing Chinese and Canadians. Furthermore, </w:t>
      </w:r>
      <w:r w:rsidRPr="00D8046E">
        <w:t>other studies have found no such tendency (</w:t>
      </w:r>
      <w:r w:rsidR="00163AD7" w:rsidRPr="00D8046E">
        <w:t>e.g.</w:t>
      </w:r>
      <w:r w:rsidR="001479C7" w:rsidRPr="00D8046E">
        <w:t>,</w:t>
      </w:r>
      <w:r w:rsidRPr="00D8046E">
        <w:t xml:space="preserve"> Ji, Schwarz, </w:t>
      </w:r>
      <w:r w:rsidR="000804FB" w:rsidRPr="00D8046E">
        <w:t xml:space="preserve">&amp; </w:t>
      </w:r>
      <w:r w:rsidRPr="00D8046E">
        <w:t>Nisbett, 2000)</w:t>
      </w:r>
      <w:r w:rsidR="00C808CA" w:rsidRPr="00D8046E">
        <w:t xml:space="preserve">. </w:t>
      </w:r>
    </w:p>
    <w:p w:rsidR="00206931" w:rsidRPr="00D8046E" w:rsidRDefault="002E2680" w:rsidP="00206931">
      <w:pPr>
        <w:spacing w:line="480" w:lineRule="auto"/>
        <w:ind w:firstLine="720"/>
      </w:pPr>
      <w:r w:rsidRPr="00D8046E">
        <w:t>Nonetheless, w</w:t>
      </w:r>
      <w:r w:rsidR="0083325D" w:rsidRPr="00D8046E">
        <w:t>e</w:t>
      </w:r>
      <w:r w:rsidR="00BA544C" w:rsidRPr="00D8046E">
        <w:t xml:space="preserve"> designed Study 3 to rule out the possibility that </w:t>
      </w:r>
      <w:r w:rsidR="00206931" w:rsidRPr="00D8046E">
        <w:t xml:space="preserve">Chinese were engaging in </w:t>
      </w:r>
      <w:r w:rsidR="00C808CA" w:rsidRPr="00D8046E">
        <w:t xml:space="preserve">such </w:t>
      </w:r>
      <w:r w:rsidR="00206931" w:rsidRPr="00D8046E">
        <w:t>a moderacy-response bias.</w:t>
      </w:r>
      <w:r w:rsidR="0093407D" w:rsidRPr="00D8046E">
        <w:t xml:space="preserve"> </w:t>
      </w:r>
      <w:r w:rsidR="0083325D" w:rsidRPr="00D8046E">
        <w:t>Instead of rating</w:t>
      </w:r>
      <w:r w:rsidR="001A14E2" w:rsidRPr="00D8046E">
        <w:t xml:space="preserve"> the likelihood</w:t>
      </w:r>
      <w:r w:rsidR="00BA1B21" w:rsidRPr="00D8046E">
        <w:t>s</w:t>
      </w:r>
      <w:r w:rsidR="001A14E2" w:rsidRPr="00D8046E">
        <w:t xml:space="preserve"> of causes on a scale, </w:t>
      </w:r>
      <w:r w:rsidR="0093407D" w:rsidRPr="00D8046E">
        <w:lastRenderedPageBreak/>
        <w:t xml:space="preserve">participants chose the cause they perceived to </w:t>
      </w:r>
      <w:r w:rsidR="001A14E2" w:rsidRPr="00D8046E">
        <w:t>have</w:t>
      </w:r>
      <w:r w:rsidR="0093407D" w:rsidRPr="00D8046E">
        <w:t xml:space="preserve"> most likely </w:t>
      </w:r>
      <w:r w:rsidR="001A14E2" w:rsidRPr="00D8046E">
        <w:t xml:space="preserve">led to the </w:t>
      </w:r>
      <w:r w:rsidR="00281BBC" w:rsidRPr="00D8046E">
        <w:t>effect</w:t>
      </w:r>
      <w:r w:rsidR="0093407D" w:rsidRPr="00D8046E">
        <w:t xml:space="preserve">. If the same pattern of results as in Studies 1 and 2 </w:t>
      </w:r>
      <w:r w:rsidR="00474D28" w:rsidRPr="00D8046E">
        <w:t xml:space="preserve">emerged </w:t>
      </w:r>
      <w:r w:rsidR="0093407D" w:rsidRPr="00D8046E">
        <w:t xml:space="preserve">regarding participants’ choices, then </w:t>
      </w:r>
      <w:r w:rsidR="00EB1B34" w:rsidRPr="00D8046E">
        <w:t>these results</w:t>
      </w:r>
      <w:r w:rsidR="0093407D" w:rsidRPr="00D8046E">
        <w:t xml:space="preserve"> would provide strong evidence against the alternative explanation.</w:t>
      </w:r>
      <w:r w:rsidR="00206931" w:rsidRPr="00D8046E">
        <w:t xml:space="preserve"> </w:t>
      </w:r>
    </w:p>
    <w:p w:rsidR="00CC5B55" w:rsidRPr="00D8046E" w:rsidRDefault="00CC5B55" w:rsidP="00CC5B55">
      <w:pPr>
        <w:spacing w:line="480" w:lineRule="auto"/>
        <w:jc w:val="center"/>
      </w:pPr>
      <w:r w:rsidRPr="00D8046E">
        <w:t>Method</w:t>
      </w:r>
    </w:p>
    <w:p w:rsidR="00206931" w:rsidRPr="00D8046E" w:rsidRDefault="00206931" w:rsidP="00206931">
      <w:pPr>
        <w:pStyle w:val="Heading1"/>
        <w:jc w:val="left"/>
        <w:rPr>
          <w:i/>
          <w:iCs/>
          <w:u w:val="none"/>
        </w:rPr>
      </w:pPr>
      <w:r w:rsidRPr="00D8046E">
        <w:rPr>
          <w:i/>
          <w:iCs/>
          <w:u w:val="none"/>
        </w:rPr>
        <w:t>Participants</w:t>
      </w:r>
    </w:p>
    <w:p w:rsidR="00206931" w:rsidRPr="00D8046E" w:rsidRDefault="00237243" w:rsidP="00206931">
      <w:pPr>
        <w:pStyle w:val="BodyText2"/>
        <w:spacing w:after="0" w:line="480" w:lineRule="auto"/>
        <w:ind w:left="0" w:firstLine="720"/>
      </w:pPr>
      <w:r w:rsidRPr="00D8046E">
        <w:rPr>
          <w:lang w:eastAsia="zh-CN"/>
        </w:rPr>
        <w:t>Sixty</w:t>
      </w:r>
      <w:r w:rsidR="00FD4F51" w:rsidRPr="00D8046E">
        <w:rPr>
          <w:lang w:eastAsia="zh-CN"/>
        </w:rPr>
        <w:t>-</w:t>
      </w:r>
      <w:r w:rsidRPr="00D8046E">
        <w:rPr>
          <w:lang w:eastAsia="zh-CN"/>
        </w:rPr>
        <w:t>three</w:t>
      </w:r>
      <w:r w:rsidR="00206931" w:rsidRPr="00D8046E">
        <w:rPr>
          <w:lang w:eastAsia="zh-CN"/>
        </w:rPr>
        <w:t xml:space="preserve"> European-Canadians</w:t>
      </w:r>
      <w:r w:rsidR="00206931" w:rsidRPr="00D8046E">
        <w:t xml:space="preserve"> (</w:t>
      </w:r>
      <w:r w:rsidRPr="00D8046E">
        <w:t>4</w:t>
      </w:r>
      <w:r w:rsidR="006D79A7" w:rsidRPr="00D8046E">
        <w:t>8 women</w:t>
      </w:r>
      <w:r w:rsidR="00206931" w:rsidRPr="00D8046E">
        <w:t xml:space="preserve">) </w:t>
      </w:r>
      <w:r w:rsidRPr="00D8046E">
        <w:t xml:space="preserve">and 63 Chinese nationals living in </w:t>
      </w:r>
      <w:smartTag w:uri="urn:schemas-microsoft-com:office:smarttags" w:element="country-region">
        <w:smartTag w:uri="urn:schemas-microsoft-com:office:smarttags" w:element="place">
          <w:r w:rsidRPr="00D8046E">
            <w:t>Canada</w:t>
          </w:r>
        </w:smartTag>
      </w:smartTag>
      <w:r w:rsidRPr="00D8046E">
        <w:t xml:space="preserve"> (44 women) </w:t>
      </w:r>
      <w:r w:rsidR="00206931" w:rsidRPr="00D8046E">
        <w:t xml:space="preserve">were recruited from </w:t>
      </w:r>
      <w:r w:rsidR="009C5579" w:rsidRPr="00D8046E">
        <w:t>Queen’s University</w:t>
      </w:r>
      <w:r w:rsidR="00206931" w:rsidRPr="00D8046E">
        <w:t xml:space="preserve">. </w:t>
      </w:r>
      <w:r w:rsidRPr="00D8046E">
        <w:t>P</w:t>
      </w:r>
      <w:r w:rsidR="00206931" w:rsidRPr="00D8046E">
        <w:t xml:space="preserve">articipants received course credit or $5 for their participation. </w:t>
      </w:r>
      <w:r w:rsidR="00AE47D7" w:rsidRPr="00D8046E">
        <w:t xml:space="preserve">At the time of the study, </w:t>
      </w:r>
      <w:r w:rsidR="00775B7D" w:rsidRPr="00D8046E">
        <w:t xml:space="preserve">the </w:t>
      </w:r>
      <w:r w:rsidR="00AE47D7" w:rsidRPr="00D8046E">
        <w:t xml:space="preserve">Chinese nationals had lived in </w:t>
      </w:r>
      <w:smartTag w:uri="urn:schemas-microsoft-com:office:smarttags" w:element="country-region">
        <w:smartTag w:uri="urn:schemas-microsoft-com:office:smarttags" w:element="place">
          <w:r w:rsidR="00AE47D7" w:rsidRPr="00D8046E">
            <w:t>Canada</w:t>
          </w:r>
        </w:smartTag>
      </w:smartTag>
      <w:r w:rsidR="00AE47D7" w:rsidRPr="00D8046E">
        <w:t xml:space="preserve"> for an average of 28.83 months (</w:t>
      </w:r>
      <w:r w:rsidR="00AE47D7" w:rsidRPr="00D8046E">
        <w:rPr>
          <w:i/>
        </w:rPr>
        <w:t>SD</w:t>
      </w:r>
      <w:r w:rsidR="00AE47D7" w:rsidRPr="00D8046E">
        <w:t xml:space="preserve"> = 13.54)</w:t>
      </w:r>
      <w:r w:rsidR="003169A6" w:rsidRPr="00D8046E">
        <w:t>.</w:t>
      </w:r>
    </w:p>
    <w:p w:rsidR="00206931" w:rsidRPr="00D8046E" w:rsidRDefault="00206931" w:rsidP="00206931">
      <w:pPr>
        <w:pStyle w:val="BodyText2"/>
        <w:spacing w:after="0" w:line="480" w:lineRule="auto"/>
        <w:ind w:left="0"/>
        <w:rPr>
          <w:i/>
        </w:rPr>
      </w:pPr>
      <w:r w:rsidRPr="00D8046E">
        <w:rPr>
          <w:i/>
        </w:rPr>
        <w:t>Materials and Procedure</w:t>
      </w:r>
    </w:p>
    <w:p w:rsidR="00206931" w:rsidRPr="00D8046E" w:rsidRDefault="0083325D" w:rsidP="00206931">
      <w:pPr>
        <w:pStyle w:val="BodyText2"/>
        <w:spacing w:after="0" w:line="480" w:lineRule="auto"/>
        <w:ind w:left="0" w:firstLine="720"/>
      </w:pPr>
      <w:r w:rsidRPr="00D8046E">
        <w:t>Parti</w:t>
      </w:r>
      <w:r w:rsidR="00A76589" w:rsidRPr="00D8046E">
        <w:t>ci</w:t>
      </w:r>
      <w:r w:rsidRPr="00D8046E">
        <w:t>p</w:t>
      </w:r>
      <w:r w:rsidR="00A76589" w:rsidRPr="00D8046E">
        <w:t>a</w:t>
      </w:r>
      <w:r w:rsidRPr="00D8046E">
        <w:t xml:space="preserve">nts were randomly assigned to either the high or the low </w:t>
      </w:r>
      <w:r w:rsidR="00A76589" w:rsidRPr="00D8046E">
        <w:t>effect</w:t>
      </w:r>
      <w:r w:rsidRPr="00D8046E">
        <w:t xml:space="preserve"> </w:t>
      </w:r>
      <w:r w:rsidR="00A76589" w:rsidRPr="00D8046E">
        <w:t>magnitude</w:t>
      </w:r>
      <w:r w:rsidRPr="00D8046E">
        <w:t xml:space="preserve"> condition. Within each condition, participants read </w:t>
      </w:r>
      <w:r w:rsidR="00652461" w:rsidRPr="00D8046E">
        <w:t>three</w:t>
      </w:r>
      <w:r w:rsidR="00DE3C8B" w:rsidRPr="00D8046E">
        <w:t xml:space="preserve"> scenarios</w:t>
      </w:r>
      <w:r w:rsidR="00206931" w:rsidRPr="00D8046E">
        <w:t xml:space="preserve">. </w:t>
      </w:r>
      <w:r w:rsidR="002D3A11" w:rsidRPr="00D8046E">
        <w:t>One scenario was</w:t>
      </w:r>
      <w:r w:rsidR="00DE3C8B" w:rsidRPr="00D8046E">
        <w:t xml:space="preserve"> taken from </w:t>
      </w:r>
      <w:r w:rsidR="002D3A11" w:rsidRPr="00D8046E">
        <w:t xml:space="preserve">from Study 1 (disease outbreak described in words) and two scenarios were taken from </w:t>
      </w:r>
      <w:r w:rsidR="00DE3C8B" w:rsidRPr="00D8046E">
        <w:t xml:space="preserve">Study </w:t>
      </w:r>
      <w:r w:rsidR="00D232BF" w:rsidRPr="00D8046E">
        <w:t xml:space="preserve">2 </w:t>
      </w:r>
      <w:r w:rsidR="00DE3C8B" w:rsidRPr="00D8046E">
        <w:t>(</w:t>
      </w:r>
      <w:r w:rsidR="0074715D" w:rsidRPr="00D8046E">
        <w:t>basketball game and tornadoes</w:t>
      </w:r>
      <w:r w:rsidR="00FD40CB" w:rsidRPr="00D8046E">
        <w:t xml:space="preserve"> </w:t>
      </w:r>
      <w:r w:rsidR="00D232BF" w:rsidRPr="00D8046E">
        <w:t>depicted in pictures</w:t>
      </w:r>
      <w:r w:rsidR="00DE3C8B" w:rsidRPr="00D8046E">
        <w:t xml:space="preserve">). </w:t>
      </w:r>
      <w:r w:rsidR="00612BA3" w:rsidRPr="00D8046E">
        <w:t>In the</w:t>
      </w:r>
      <w:r w:rsidR="00187F4F" w:rsidRPr="00D8046E">
        <w:t xml:space="preserve"> high magnitude </w:t>
      </w:r>
      <w:r w:rsidR="00A76589" w:rsidRPr="00D8046E">
        <w:t>effect</w:t>
      </w:r>
      <w:r w:rsidR="00187F4F" w:rsidRPr="00D8046E">
        <w:t xml:space="preserve"> condition</w:t>
      </w:r>
      <w:r w:rsidR="00484C23" w:rsidRPr="00D8046E">
        <w:t>,</w:t>
      </w:r>
      <w:r w:rsidR="00612BA3" w:rsidRPr="00D8046E">
        <w:t xml:space="preserve"> all three scenarios </w:t>
      </w:r>
      <w:r w:rsidR="00AF65AA" w:rsidRPr="00D8046E">
        <w:t xml:space="preserve">described high magnitude </w:t>
      </w:r>
      <w:r w:rsidR="00A76589" w:rsidRPr="00D8046E">
        <w:t>effects</w:t>
      </w:r>
      <w:r w:rsidR="00612BA3" w:rsidRPr="00D8046E">
        <w:t xml:space="preserve"> and likewise in th</w:t>
      </w:r>
      <w:r w:rsidR="00187F4F" w:rsidRPr="00D8046E">
        <w:t xml:space="preserve">e low magnitude </w:t>
      </w:r>
      <w:r w:rsidR="00BF0212" w:rsidRPr="00D8046E">
        <w:t>effect</w:t>
      </w:r>
      <w:r w:rsidR="00187F4F" w:rsidRPr="00D8046E">
        <w:t xml:space="preserve"> condition</w:t>
      </w:r>
      <w:r w:rsidR="00484C23" w:rsidRPr="00D8046E">
        <w:t>,</w:t>
      </w:r>
      <w:r w:rsidR="00612BA3" w:rsidRPr="00D8046E">
        <w:t xml:space="preserve"> all three scenarios described low magnitude </w:t>
      </w:r>
      <w:r w:rsidR="00BF0212" w:rsidRPr="00D8046E">
        <w:t>effects</w:t>
      </w:r>
      <w:r w:rsidR="00612BA3" w:rsidRPr="00D8046E">
        <w:t xml:space="preserve">. </w:t>
      </w:r>
      <w:r w:rsidR="00DE3C8B" w:rsidRPr="00D8046E">
        <w:t xml:space="preserve">For each scenario, </w:t>
      </w:r>
      <w:r w:rsidR="00206931" w:rsidRPr="00D8046E">
        <w:t xml:space="preserve">participants </w:t>
      </w:r>
      <w:r w:rsidRPr="00D8046E">
        <w:t xml:space="preserve">chose </w:t>
      </w:r>
      <w:r w:rsidR="00DE3C8B" w:rsidRPr="00D8046E">
        <w:t xml:space="preserve">the </w:t>
      </w:r>
      <w:r w:rsidR="009139CD" w:rsidRPr="00D8046E">
        <w:t xml:space="preserve">more </w:t>
      </w:r>
      <w:r w:rsidR="00DE3C8B" w:rsidRPr="00D8046E">
        <w:t>likely cause</w:t>
      </w:r>
      <w:r w:rsidR="009139CD" w:rsidRPr="00D8046E">
        <w:t xml:space="preserve"> of the </w:t>
      </w:r>
      <w:r w:rsidR="00BF0212" w:rsidRPr="00D8046E">
        <w:t>effect</w:t>
      </w:r>
      <w:r w:rsidR="009139CD" w:rsidRPr="00D8046E">
        <w:t xml:space="preserve">, between the </w:t>
      </w:r>
      <w:r w:rsidR="00A722CF" w:rsidRPr="00D8046E">
        <w:t>high</w:t>
      </w:r>
      <w:r w:rsidR="00612BA3" w:rsidRPr="00D8046E">
        <w:t xml:space="preserve"> </w:t>
      </w:r>
      <w:r w:rsidR="009139CD" w:rsidRPr="00D8046E">
        <w:t xml:space="preserve">and the </w:t>
      </w:r>
      <w:r w:rsidR="00A722CF" w:rsidRPr="00D8046E">
        <w:t>low magnitude</w:t>
      </w:r>
      <w:r w:rsidR="009139CD" w:rsidRPr="00D8046E">
        <w:t xml:space="preserve"> causes</w:t>
      </w:r>
      <w:r w:rsidR="00BF0212" w:rsidRPr="00D8046E">
        <w:t>. Additionally, participants</w:t>
      </w:r>
      <w:r w:rsidR="00484C23" w:rsidRPr="00D8046E">
        <w:t xml:space="preserve"> </w:t>
      </w:r>
      <w:r w:rsidR="00DE3C8B" w:rsidRPr="00D8046E">
        <w:t xml:space="preserve">indicated their confidence in </w:t>
      </w:r>
      <w:r w:rsidR="00BF0212" w:rsidRPr="00D8046E">
        <w:t>each</w:t>
      </w:r>
      <w:r w:rsidR="00DE3C8B" w:rsidRPr="00D8046E">
        <w:t xml:space="preserve"> choice </w:t>
      </w:r>
      <w:r w:rsidR="00206931" w:rsidRPr="00D8046E">
        <w:t>on a</w:t>
      </w:r>
      <w:r w:rsidR="00DE3C8B" w:rsidRPr="00D8046E">
        <w:t xml:space="preserve">n </w:t>
      </w:r>
      <w:r w:rsidR="00002C8E" w:rsidRPr="00D8046E">
        <w:t>8</w:t>
      </w:r>
      <w:r w:rsidR="00206931" w:rsidRPr="00D8046E">
        <w:t xml:space="preserve">-point scale (1 = </w:t>
      </w:r>
      <w:r w:rsidR="00DE3C8B" w:rsidRPr="00D8046E">
        <w:rPr>
          <w:i/>
        </w:rPr>
        <w:t>not at all confident</w:t>
      </w:r>
      <w:r w:rsidR="00206931" w:rsidRPr="00D8046E">
        <w:t xml:space="preserve">, </w:t>
      </w:r>
      <w:r w:rsidR="00002C8E" w:rsidRPr="00D8046E">
        <w:t>8</w:t>
      </w:r>
      <w:r w:rsidR="00206931" w:rsidRPr="00D8046E">
        <w:t xml:space="preserve"> = </w:t>
      </w:r>
      <w:r w:rsidR="00206931" w:rsidRPr="00D8046E">
        <w:rPr>
          <w:i/>
        </w:rPr>
        <w:t xml:space="preserve">extremely </w:t>
      </w:r>
      <w:r w:rsidR="00DE3C8B" w:rsidRPr="00D8046E">
        <w:rPr>
          <w:i/>
        </w:rPr>
        <w:t>confident</w:t>
      </w:r>
      <w:r w:rsidR="00206931" w:rsidRPr="00D8046E">
        <w:t xml:space="preserve">). </w:t>
      </w:r>
      <w:r w:rsidR="0099353A" w:rsidRPr="00D8046E">
        <w:t xml:space="preserve">In summary, Study 3 </w:t>
      </w:r>
      <w:r w:rsidR="00484C23" w:rsidRPr="00D8046E">
        <w:t>had</w:t>
      </w:r>
      <w:r w:rsidR="0099353A" w:rsidRPr="00D8046E">
        <w:t xml:space="preserve"> a 2 (</w:t>
      </w:r>
      <w:r w:rsidR="006A1878" w:rsidRPr="00D8046E">
        <w:t>c</w:t>
      </w:r>
      <w:r w:rsidR="0099353A" w:rsidRPr="00D8046E">
        <w:t>ulture: Canadians vs. Chinese) by 2 (</w:t>
      </w:r>
      <w:r w:rsidR="00BF3FEC" w:rsidRPr="00D8046E">
        <w:t>effect</w:t>
      </w:r>
      <w:r w:rsidR="0099353A" w:rsidRPr="00D8046E">
        <w:t xml:space="preserve"> </w:t>
      </w:r>
      <w:r w:rsidR="006A1878" w:rsidRPr="00D8046E">
        <w:t>m</w:t>
      </w:r>
      <w:r w:rsidR="0099353A" w:rsidRPr="00D8046E">
        <w:t xml:space="preserve">agnitude: high vs. low) </w:t>
      </w:r>
      <w:r w:rsidR="006A1878" w:rsidRPr="00D8046E">
        <w:t>by 2 (cause m</w:t>
      </w:r>
      <w:r w:rsidR="0099353A" w:rsidRPr="00D8046E">
        <w:t xml:space="preserve">agnitude: high vs. low) design. </w:t>
      </w:r>
      <w:r w:rsidR="006A1878" w:rsidRPr="00D8046E">
        <w:t>The cause m</w:t>
      </w:r>
      <w:r w:rsidR="0099353A" w:rsidRPr="00D8046E">
        <w:t xml:space="preserve">agnitude factor </w:t>
      </w:r>
      <w:r w:rsidR="00577099" w:rsidRPr="00D8046E">
        <w:t>varied</w:t>
      </w:r>
      <w:r w:rsidR="0099353A" w:rsidRPr="00D8046E">
        <w:t xml:space="preserve"> within-</w:t>
      </w:r>
      <w:r w:rsidR="00334322" w:rsidRPr="00D8046E">
        <w:t>participants</w:t>
      </w:r>
      <w:r w:rsidR="00484C23" w:rsidRPr="00D8046E">
        <w:t>,</w:t>
      </w:r>
      <w:r w:rsidR="0099353A" w:rsidRPr="00D8046E">
        <w:t xml:space="preserve"> and the other factors </w:t>
      </w:r>
      <w:r w:rsidR="00577099" w:rsidRPr="00D8046E">
        <w:t>varied</w:t>
      </w:r>
      <w:r w:rsidR="0099353A" w:rsidRPr="00D8046E">
        <w:t xml:space="preserve"> between-</w:t>
      </w:r>
      <w:r w:rsidR="00334322" w:rsidRPr="00D8046E">
        <w:t>participant</w:t>
      </w:r>
      <w:r w:rsidR="00BF3FEC" w:rsidRPr="00D8046E">
        <w:t>s</w:t>
      </w:r>
      <w:r w:rsidR="0099353A" w:rsidRPr="00D8046E">
        <w:t>.</w:t>
      </w:r>
    </w:p>
    <w:p w:rsidR="00206931" w:rsidRPr="00D8046E" w:rsidRDefault="00206931" w:rsidP="00206931">
      <w:pPr>
        <w:spacing w:line="480" w:lineRule="auto"/>
        <w:jc w:val="center"/>
      </w:pPr>
      <w:r w:rsidRPr="00D8046E">
        <w:t>Results</w:t>
      </w:r>
    </w:p>
    <w:p w:rsidR="00916941" w:rsidRPr="00D8046E" w:rsidRDefault="00916941" w:rsidP="00916941">
      <w:pPr>
        <w:autoSpaceDE w:val="0"/>
        <w:autoSpaceDN w:val="0"/>
        <w:adjustRightInd w:val="0"/>
        <w:spacing w:line="480" w:lineRule="auto"/>
        <w:rPr>
          <w:i/>
        </w:rPr>
      </w:pPr>
      <w:r w:rsidRPr="00D8046E">
        <w:rPr>
          <w:i/>
        </w:rPr>
        <w:lastRenderedPageBreak/>
        <w:t xml:space="preserve">Test of </w:t>
      </w:r>
      <w:r w:rsidR="00BB08F0" w:rsidRPr="00D8046E">
        <w:rPr>
          <w:i/>
        </w:rPr>
        <w:t xml:space="preserve">Cause-Effect </w:t>
      </w:r>
      <w:r w:rsidRPr="00D8046E">
        <w:rPr>
          <w:i/>
        </w:rPr>
        <w:t>Magnitude Correspondence</w:t>
      </w:r>
      <w:r w:rsidR="00326BE6" w:rsidRPr="00D8046E">
        <w:rPr>
          <w:i/>
        </w:rPr>
        <w:t>.</w:t>
      </w:r>
    </w:p>
    <w:p w:rsidR="00326BE6" w:rsidRPr="00D8046E" w:rsidRDefault="00E17150" w:rsidP="00326BE6">
      <w:pPr>
        <w:autoSpaceDE w:val="0"/>
        <w:autoSpaceDN w:val="0"/>
        <w:adjustRightInd w:val="0"/>
        <w:spacing w:line="480" w:lineRule="auto"/>
      </w:pPr>
      <w:r w:rsidRPr="00D8046E">
        <w:rPr>
          <w:i/>
        </w:rPr>
        <w:tab/>
      </w:r>
      <w:r w:rsidRPr="00D8046E">
        <w:t xml:space="preserve">Each participant chose </w:t>
      </w:r>
      <w:r w:rsidR="00402C14" w:rsidRPr="00D8046E">
        <w:t>three</w:t>
      </w:r>
      <w:r w:rsidRPr="00D8046E">
        <w:t xml:space="preserve"> causes, one for each scenario. Each choice was analyz</w:t>
      </w:r>
      <w:r w:rsidR="00B61181" w:rsidRPr="00D8046E">
        <w:t xml:space="preserve">ed separately by conducting </w:t>
      </w:r>
      <w:r w:rsidR="00484C23" w:rsidRPr="00D8046E">
        <w:t xml:space="preserve">a </w:t>
      </w:r>
      <w:r w:rsidR="00B61181" w:rsidRPr="00D8046E">
        <w:t>2 (c</w:t>
      </w:r>
      <w:r w:rsidRPr="00D8046E">
        <w:t>ulture) by 2 (</w:t>
      </w:r>
      <w:r w:rsidR="00BB534B" w:rsidRPr="00D8046E">
        <w:t>effect</w:t>
      </w:r>
      <w:r w:rsidR="00B61181" w:rsidRPr="00D8046E">
        <w:t xml:space="preserve"> magnitude) by 2 (c</w:t>
      </w:r>
      <w:r w:rsidRPr="00D8046E">
        <w:t>aus</w:t>
      </w:r>
      <w:r w:rsidR="00F65021" w:rsidRPr="00D8046E">
        <w:t>e</w:t>
      </w:r>
      <w:r w:rsidR="00B61181" w:rsidRPr="00D8046E">
        <w:t xml:space="preserve"> m</w:t>
      </w:r>
      <w:r w:rsidR="00484C23" w:rsidRPr="00D8046E">
        <w:t>agnitude) log-linear analysi</w:t>
      </w:r>
      <w:r w:rsidRPr="00D8046E">
        <w:t xml:space="preserve">s. </w:t>
      </w:r>
      <w:r w:rsidR="00E2578F" w:rsidRPr="00D8046E">
        <w:t xml:space="preserve">For all </w:t>
      </w:r>
      <w:r w:rsidR="008750F4" w:rsidRPr="00D8046E">
        <w:t>three</w:t>
      </w:r>
      <w:r w:rsidR="00E2578F" w:rsidRPr="00D8046E">
        <w:t xml:space="preserve"> scenarios, the analyses revealed si</w:t>
      </w:r>
      <w:r w:rsidR="00294710" w:rsidRPr="00D8046E">
        <w:t xml:space="preserve">gnificant interactions between </w:t>
      </w:r>
      <w:r w:rsidR="00BB534B" w:rsidRPr="00D8046E">
        <w:t>effect</w:t>
      </w:r>
      <w:r w:rsidR="00E2578F" w:rsidRPr="00D8046E">
        <w:t xml:space="preserve"> </w:t>
      </w:r>
      <w:r w:rsidR="00294710" w:rsidRPr="00D8046E">
        <w:t>m</w:t>
      </w:r>
      <w:r w:rsidR="00E2578F" w:rsidRPr="00D8046E">
        <w:t xml:space="preserve">agnitude and </w:t>
      </w:r>
      <w:r w:rsidR="00294710" w:rsidRPr="00D8046E">
        <w:t>c</w:t>
      </w:r>
      <w:r w:rsidR="00E2578F" w:rsidRPr="00D8046E">
        <w:t>aus</w:t>
      </w:r>
      <w:r w:rsidR="003020D3" w:rsidRPr="00D8046E">
        <w:t>e</w:t>
      </w:r>
      <w:r w:rsidR="00E2578F" w:rsidRPr="00D8046E">
        <w:t xml:space="preserve"> </w:t>
      </w:r>
      <w:r w:rsidR="00294710" w:rsidRPr="00D8046E">
        <w:t>m</w:t>
      </w:r>
      <w:r w:rsidR="00E2578F" w:rsidRPr="00D8046E">
        <w:t xml:space="preserve">agnitude, </w:t>
      </w:r>
      <w:r w:rsidR="00A035F2" w:rsidRPr="00D8046E">
        <w:t xml:space="preserve">all </w:t>
      </w:r>
      <w:r w:rsidR="00E2578F" w:rsidRPr="00D8046E">
        <w:t>G</w:t>
      </w:r>
      <w:r w:rsidR="00E2578F" w:rsidRPr="00D8046E">
        <w:rPr>
          <w:vertAlign w:val="superscript"/>
        </w:rPr>
        <w:t>2</w:t>
      </w:r>
      <w:r w:rsidR="00A035F2" w:rsidRPr="00D8046E">
        <w:t>s &gt;</w:t>
      </w:r>
      <w:r w:rsidR="00E2578F" w:rsidRPr="00D8046E">
        <w:t xml:space="preserve"> </w:t>
      </w:r>
      <w:r w:rsidR="003169A6" w:rsidRPr="00D8046E">
        <w:t>25.72</w:t>
      </w:r>
      <w:r w:rsidR="00E2578F" w:rsidRPr="00D8046E">
        <w:t xml:space="preserve">, </w:t>
      </w:r>
      <w:r w:rsidR="00A035F2" w:rsidRPr="00D8046E">
        <w:t xml:space="preserve">all </w:t>
      </w:r>
      <w:r w:rsidR="008A7A9A" w:rsidRPr="00D8046E">
        <w:rPr>
          <w:i/>
        </w:rPr>
        <w:t>df</w:t>
      </w:r>
      <w:r w:rsidR="00E2578F" w:rsidRPr="00D8046E">
        <w:rPr>
          <w:i/>
        </w:rPr>
        <w:t xml:space="preserve"> </w:t>
      </w:r>
      <w:r w:rsidR="00E2578F" w:rsidRPr="00D8046E">
        <w:t xml:space="preserve">= 1, </w:t>
      </w:r>
      <w:r w:rsidR="00A035F2" w:rsidRPr="00D8046E">
        <w:t xml:space="preserve">all </w:t>
      </w:r>
      <w:r w:rsidR="00E2578F" w:rsidRPr="00D8046E">
        <w:rPr>
          <w:i/>
        </w:rPr>
        <w:t>p</w:t>
      </w:r>
      <w:r w:rsidR="00A035F2" w:rsidRPr="00D8046E">
        <w:t>s &lt; .0</w:t>
      </w:r>
      <w:r w:rsidR="003169A6" w:rsidRPr="00D8046E">
        <w:t>0</w:t>
      </w:r>
      <w:r w:rsidR="009D12CB" w:rsidRPr="00D8046E">
        <w:t>1, indicating that</w:t>
      </w:r>
      <w:r w:rsidR="00E2578F" w:rsidRPr="00D8046E">
        <w:t xml:space="preserve"> </w:t>
      </w:r>
      <w:r w:rsidR="009D12CB" w:rsidRPr="00D8046E">
        <w:t>f</w:t>
      </w:r>
      <w:r w:rsidR="00FD4F51" w:rsidRPr="00D8046E">
        <w:t>or each scenario</w:t>
      </w:r>
      <w:r w:rsidR="00E2578F" w:rsidRPr="00D8046E">
        <w:t xml:space="preserve">, participants were more likely to associate </w:t>
      </w:r>
      <w:r w:rsidR="00AF7D11" w:rsidRPr="00D8046E">
        <w:t>high magnitude</w:t>
      </w:r>
      <w:r w:rsidR="00E2578F" w:rsidRPr="00D8046E">
        <w:t xml:space="preserve"> </w:t>
      </w:r>
      <w:r w:rsidR="00D9541F" w:rsidRPr="00D8046E">
        <w:t>effects</w:t>
      </w:r>
      <w:r w:rsidR="00E2578F" w:rsidRPr="00D8046E">
        <w:t xml:space="preserve"> with </w:t>
      </w:r>
      <w:r w:rsidR="00AF7D11" w:rsidRPr="00D8046E">
        <w:t>high magnitude</w:t>
      </w:r>
      <w:r w:rsidR="00E2578F" w:rsidRPr="00D8046E">
        <w:t xml:space="preserve"> causes than with </w:t>
      </w:r>
      <w:r w:rsidR="00AF7D11" w:rsidRPr="00D8046E">
        <w:t>low magnitude</w:t>
      </w:r>
      <w:r w:rsidR="00E2578F" w:rsidRPr="00D8046E">
        <w:t xml:space="preserve"> causes, and </w:t>
      </w:r>
      <w:r w:rsidR="00AF7D11" w:rsidRPr="00D8046E">
        <w:t>low magnitude</w:t>
      </w:r>
      <w:r w:rsidR="00E2578F" w:rsidRPr="00D8046E">
        <w:t xml:space="preserve"> </w:t>
      </w:r>
      <w:r w:rsidR="00D9541F" w:rsidRPr="00D8046E">
        <w:t>effects</w:t>
      </w:r>
      <w:r w:rsidR="00E2578F" w:rsidRPr="00D8046E">
        <w:t xml:space="preserve"> with </w:t>
      </w:r>
      <w:r w:rsidR="00AF7D11" w:rsidRPr="00D8046E">
        <w:t>low magnitude</w:t>
      </w:r>
      <w:r w:rsidR="00E2578F" w:rsidRPr="00D8046E">
        <w:t xml:space="preserve"> causes</w:t>
      </w:r>
      <w:r w:rsidR="00A30EEB" w:rsidRPr="00D8046E">
        <w:t xml:space="preserve"> </w:t>
      </w:r>
      <w:r w:rsidR="00E2578F" w:rsidRPr="00D8046E">
        <w:t xml:space="preserve">than with </w:t>
      </w:r>
      <w:r w:rsidR="00AF7D11" w:rsidRPr="00D8046E">
        <w:t>high magnitude</w:t>
      </w:r>
      <w:r w:rsidR="00E2578F" w:rsidRPr="00D8046E">
        <w:t xml:space="preserve"> causes.</w:t>
      </w:r>
      <w:r w:rsidR="00A30EEB" w:rsidRPr="00D8046E">
        <w:t xml:space="preserve"> More importantly, for all </w:t>
      </w:r>
      <w:r w:rsidR="008750F4" w:rsidRPr="00D8046E">
        <w:t>three</w:t>
      </w:r>
      <w:r w:rsidR="00A30EEB" w:rsidRPr="00D8046E">
        <w:t xml:space="preserve"> scenarios, the analyses revealed sign</w:t>
      </w:r>
      <w:r w:rsidR="002A73FE" w:rsidRPr="00D8046E">
        <w:t>ificant c</w:t>
      </w:r>
      <w:r w:rsidR="00A30EEB" w:rsidRPr="00D8046E">
        <w:t xml:space="preserve">ulture by </w:t>
      </w:r>
      <w:r w:rsidR="00D9541F" w:rsidRPr="00D8046E">
        <w:t>effect</w:t>
      </w:r>
      <w:r w:rsidR="00A30EEB" w:rsidRPr="00D8046E">
        <w:t xml:space="preserve"> </w:t>
      </w:r>
      <w:r w:rsidR="002A73FE" w:rsidRPr="00D8046E">
        <w:t>m</w:t>
      </w:r>
      <w:r w:rsidR="00A30EEB" w:rsidRPr="00D8046E">
        <w:t xml:space="preserve">agnitude by </w:t>
      </w:r>
      <w:r w:rsidR="002A73FE" w:rsidRPr="00D8046E">
        <w:t>c</w:t>
      </w:r>
      <w:r w:rsidR="00A30EEB" w:rsidRPr="00D8046E">
        <w:t>aus</w:t>
      </w:r>
      <w:r w:rsidR="008750F4" w:rsidRPr="00D8046E">
        <w:t>e</w:t>
      </w:r>
      <w:r w:rsidR="002A73FE" w:rsidRPr="00D8046E">
        <w:t xml:space="preserve"> m</w:t>
      </w:r>
      <w:r w:rsidR="00A30EEB" w:rsidRPr="00D8046E">
        <w:t>agnitude interactions, all G</w:t>
      </w:r>
      <w:r w:rsidR="00A30EEB" w:rsidRPr="00D8046E">
        <w:rPr>
          <w:vertAlign w:val="superscript"/>
        </w:rPr>
        <w:t>2</w:t>
      </w:r>
      <w:r w:rsidR="00A30EEB" w:rsidRPr="00D8046E">
        <w:t>s &gt; 13.</w:t>
      </w:r>
      <w:r w:rsidR="003169A6" w:rsidRPr="00D8046E">
        <w:t>58</w:t>
      </w:r>
      <w:r w:rsidR="00A30EEB" w:rsidRPr="00D8046E">
        <w:t xml:space="preserve">, all </w:t>
      </w:r>
      <w:r w:rsidR="00A30EEB" w:rsidRPr="00D8046E">
        <w:rPr>
          <w:i/>
        </w:rPr>
        <w:t xml:space="preserve">df </w:t>
      </w:r>
      <w:r w:rsidR="00A30EEB" w:rsidRPr="00D8046E">
        <w:t xml:space="preserve">= 1, all </w:t>
      </w:r>
      <w:r w:rsidR="00A30EEB" w:rsidRPr="00D8046E">
        <w:rPr>
          <w:i/>
        </w:rPr>
        <w:t>p</w:t>
      </w:r>
      <w:r w:rsidR="00A30EEB" w:rsidRPr="00D8046E">
        <w:t xml:space="preserve">s &lt; .001. </w:t>
      </w:r>
      <w:r w:rsidR="00EB0D32" w:rsidRPr="00D8046E">
        <w:t>For all three scenarios</w:t>
      </w:r>
      <w:r w:rsidR="00A30EEB" w:rsidRPr="00D8046E">
        <w:t xml:space="preserve">, </w:t>
      </w:r>
      <w:r w:rsidR="001B4D51" w:rsidRPr="00D8046E">
        <w:t>Canadians were more likely to exhibit th</w:t>
      </w:r>
      <w:r w:rsidR="00EB0D32" w:rsidRPr="00D8046E">
        <w:t>e</w:t>
      </w:r>
      <w:r w:rsidR="001B4D51" w:rsidRPr="00D8046E">
        <w:t xml:space="preserve"> </w:t>
      </w:r>
      <w:r w:rsidR="00EB0D32" w:rsidRPr="00D8046E">
        <w:t xml:space="preserve">magnitude matching </w:t>
      </w:r>
      <w:r w:rsidR="001B4D51" w:rsidRPr="00D8046E">
        <w:t>pattern than were Chinese (see Table 1</w:t>
      </w:r>
      <w:r w:rsidR="00411BE8" w:rsidRPr="00D8046E">
        <w:t xml:space="preserve"> for </w:t>
      </w:r>
      <w:r w:rsidR="000013DE" w:rsidRPr="00D8046E">
        <w:t>frequency counts</w:t>
      </w:r>
      <w:r w:rsidR="001B4D51" w:rsidRPr="00D8046E">
        <w:t>)</w:t>
      </w:r>
      <w:r w:rsidR="00A30EEB" w:rsidRPr="00D8046E">
        <w:t>.</w:t>
      </w:r>
      <w:r w:rsidR="00A81150" w:rsidRPr="00D8046E">
        <w:t xml:space="preserve"> </w:t>
      </w:r>
      <w:r w:rsidR="00FD4F51" w:rsidRPr="00D8046E">
        <w:t>Thus, w</w:t>
      </w:r>
      <w:r w:rsidR="00A81150" w:rsidRPr="00D8046E">
        <w:t>e successfully replicated the results from Studies 1 and 2 using a method that did not rely on a Likert</w:t>
      </w:r>
      <w:r w:rsidR="00D9541F" w:rsidRPr="00D8046E">
        <w:t>-type</w:t>
      </w:r>
      <w:r w:rsidR="00A81150" w:rsidRPr="00D8046E">
        <w:t xml:space="preserve"> scale</w:t>
      </w:r>
      <w:r w:rsidR="008A61D1" w:rsidRPr="00D8046E">
        <w:t>, suggesting that a midpoint preference by Chinese was unlikely to account for the results obtained in Studies 1 and 2.</w:t>
      </w:r>
      <w:r w:rsidR="00A81150" w:rsidRPr="00D8046E">
        <w:t xml:space="preserve"> </w:t>
      </w:r>
    </w:p>
    <w:p w:rsidR="00326BE6" w:rsidRPr="00D8046E" w:rsidRDefault="00916941" w:rsidP="00326BE6">
      <w:pPr>
        <w:autoSpaceDE w:val="0"/>
        <w:autoSpaceDN w:val="0"/>
        <w:adjustRightInd w:val="0"/>
        <w:spacing w:line="480" w:lineRule="auto"/>
      </w:pPr>
      <w:r w:rsidRPr="00D8046E">
        <w:rPr>
          <w:i/>
        </w:rPr>
        <w:t>Confidence</w:t>
      </w:r>
      <w:r w:rsidR="003020D3" w:rsidRPr="00D8046E">
        <w:rPr>
          <w:i/>
        </w:rPr>
        <w:t xml:space="preserve"> </w:t>
      </w:r>
      <w:r w:rsidR="00993CCC" w:rsidRPr="00D8046E">
        <w:rPr>
          <w:i/>
        </w:rPr>
        <w:t>R</w:t>
      </w:r>
      <w:r w:rsidR="003020D3" w:rsidRPr="00D8046E">
        <w:rPr>
          <w:i/>
        </w:rPr>
        <w:t>atings</w:t>
      </w:r>
      <w:r w:rsidRPr="00D8046E">
        <w:rPr>
          <w:i/>
        </w:rPr>
        <w:t>.</w:t>
      </w:r>
      <w:r w:rsidRPr="00D8046E">
        <w:t xml:space="preserve"> </w:t>
      </w:r>
    </w:p>
    <w:p w:rsidR="00D71DD3" w:rsidRDefault="00341EC4" w:rsidP="00D71DD3">
      <w:pPr>
        <w:autoSpaceDE w:val="0"/>
        <w:autoSpaceDN w:val="0"/>
        <w:adjustRightInd w:val="0"/>
        <w:spacing w:line="480" w:lineRule="auto"/>
        <w:ind w:firstLine="720"/>
      </w:pPr>
      <w:r w:rsidRPr="00D8046E">
        <w:t>A 2 (c</w:t>
      </w:r>
      <w:r w:rsidR="00916941" w:rsidRPr="00D8046E">
        <w:t>ulture) by 2 (</w:t>
      </w:r>
      <w:r w:rsidR="008A61D1" w:rsidRPr="00D8046E">
        <w:t>effect</w:t>
      </w:r>
      <w:r w:rsidR="00916941" w:rsidRPr="00D8046E">
        <w:t xml:space="preserve"> </w:t>
      </w:r>
      <w:r w:rsidRPr="00D8046E">
        <w:t>m</w:t>
      </w:r>
      <w:r w:rsidR="00916941" w:rsidRPr="00D8046E">
        <w:t>agnitude) by 3 (</w:t>
      </w:r>
      <w:r w:rsidR="008A61D1" w:rsidRPr="00D8046E">
        <w:t>scenario</w:t>
      </w:r>
      <w:r w:rsidR="00916941" w:rsidRPr="00D8046E">
        <w:t xml:space="preserve">) </w:t>
      </w:r>
      <w:r w:rsidR="0043484E">
        <w:t>mixed-model</w:t>
      </w:r>
      <w:r w:rsidR="00916941" w:rsidRPr="00D8046E">
        <w:t xml:space="preserve"> ANOVA indicated no significant interactions, all </w:t>
      </w:r>
      <w:r w:rsidR="00916941" w:rsidRPr="00D8046E">
        <w:rPr>
          <w:i/>
        </w:rPr>
        <w:t>p</w:t>
      </w:r>
      <w:r w:rsidR="00916941" w:rsidRPr="00D8046E">
        <w:t>s &gt; .7</w:t>
      </w:r>
      <w:r w:rsidR="00EA23E0" w:rsidRPr="00D8046E">
        <w:t>9</w:t>
      </w:r>
      <w:r w:rsidR="00916941" w:rsidRPr="00D8046E">
        <w:t xml:space="preserve">. The </w:t>
      </w:r>
      <w:r w:rsidR="008A61D1" w:rsidRPr="00D8046E">
        <w:t>effect</w:t>
      </w:r>
      <w:r w:rsidR="00BF60A8" w:rsidRPr="00D8046E">
        <w:t xml:space="preserve"> m</w:t>
      </w:r>
      <w:r w:rsidR="00916941" w:rsidRPr="00D8046E">
        <w:t xml:space="preserve">agnitude main effect was significant, </w:t>
      </w:r>
      <w:r w:rsidR="00916941" w:rsidRPr="00D8046E">
        <w:rPr>
          <w:i/>
        </w:rPr>
        <w:t>F</w:t>
      </w:r>
      <w:r w:rsidR="00916941" w:rsidRPr="00D8046E">
        <w:t>(1, 1</w:t>
      </w:r>
      <w:r w:rsidR="00EA23E0" w:rsidRPr="00D8046E">
        <w:t>22</w:t>
      </w:r>
      <w:r w:rsidR="00916941" w:rsidRPr="00D8046E">
        <w:t xml:space="preserve">) = </w:t>
      </w:r>
      <w:r w:rsidR="00EA23E0" w:rsidRPr="00D8046E">
        <w:t>5.94</w:t>
      </w:r>
      <w:r w:rsidR="00916941" w:rsidRPr="00D8046E">
        <w:t xml:space="preserve">, </w:t>
      </w:r>
      <w:r w:rsidR="00916941" w:rsidRPr="00D8046E">
        <w:rPr>
          <w:i/>
        </w:rPr>
        <w:t>p</w:t>
      </w:r>
      <w:r w:rsidR="00916941" w:rsidRPr="00D8046E">
        <w:t xml:space="preserve"> = .0</w:t>
      </w:r>
      <w:r w:rsidR="00EA23E0" w:rsidRPr="00D8046E">
        <w:t>2</w:t>
      </w:r>
      <w:r w:rsidR="00916941" w:rsidRPr="00D8046E">
        <w:t xml:space="preserve">, </w:t>
      </w:r>
      <w:r w:rsidR="009F4710" w:rsidRPr="00D8046E">
        <w:t>η</w:t>
      </w:r>
      <w:r w:rsidR="009F4710" w:rsidRPr="00D8046E">
        <w:rPr>
          <w:vertAlign w:val="subscript"/>
        </w:rPr>
        <w:t>p</w:t>
      </w:r>
      <w:r w:rsidR="009F4710" w:rsidRPr="00D8046E">
        <w:rPr>
          <w:vertAlign w:val="superscript"/>
        </w:rPr>
        <w:t>2</w:t>
      </w:r>
      <w:r w:rsidR="009F4710" w:rsidRPr="00D8046E">
        <w:t xml:space="preserve"> = .05, </w:t>
      </w:r>
      <w:r w:rsidR="00916941" w:rsidRPr="00D8046E">
        <w:t xml:space="preserve">indicating that </w:t>
      </w:r>
      <w:r w:rsidR="00E4371D" w:rsidRPr="00D8046E">
        <w:t xml:space="preserve">participants were more confident </w:t>
      </w:r>
      <w:r w:rsidR="0015025E" w:rsidRPr="00D8046E">
        <w:t>in</w:t>
      </w:r>
      <w:r w:rsidR="00E4371D" w:rsidRPr="00D8046E">
        <w:t xml:space="preserve"> their choices in the </w:t>
      </w:r>
      <w:r w:rsidR="00A722CF" w:rsidRPr="00D8046E">
        <w:t>low magnitude</w:t>
      </w:r>
      <w:r w:rsidR="00E4371D" w:rsidRPr="00D8046E">
        <w:t xml:space="preserve"> condition </w:t>
      </w:r>
      <w:r w:rsidR="00267C43" w:rsidRPr="00D8046E">
        <w:t>(</w:t>
      </w:r>
      <w:r w:rsidR="00267C43" w:rsidRPr="00D8046E">
        <w:rPr>
          <w:i/>
        </w:rPr>
        <w:t>M</w:t>
      </w:r>
      <w:r w:rsidR="00267C43" w:rsidRPr="00D8046E">
        <w:t xml:space="preserve"> = 6.2</w:t>
      </w:r>
      <w:r w:rsidR="00EA23E0" w:rsidRPr="00D8046E">
        <w:t>5</w:t>
      </w:r>
      <w:r w:rsidR="00267C43" w:rsidRPr="00D8046E">
        <w:t xml:space="preserve">, </w:t>
      </w:r>
      <w:r w:rsidR="00267C43" w:rsidRPr="00D8046E">
        <w:rPr>
          <w:i/>
        </w:rPr>
        <w:t>S</w:t>
      </w:r>
      <w:r w:rsidR="009F4710" w:rsidRPr="00D8046E">
        <w:rPr>
          <w:i/>
        </w:rPr>
        <w:t>D</w:t>
      </w:r>
      <w:r w:rsidR="00267C43" w:rsidRPr="00D8046E">
        <w:t xml:space="preserve"> = .</w:t>
      </w:r>
      <w:r w:rsidR="009F4710" w:rsidRPr="00D8046E">
        <w:t>99</w:t>
      </w:r>
      <w:r w:rsidR="00267C43" w:rsidRPr="00D8046E">
        <w:t xml:space="preserve">) </w:t>
      </w:r>
      <w:r w:rsidR="00E4371D" w:rsidRPr="00D8046E">
        <w:t xml:space="preserve">than in the </w:t>
      </w:r>
      <w:r w:rsidR="00A722CF" w:rsidRPr="00D8046E">
        <w:t>high magnitude</w:t>
      </w:r>
      <w:r w:rsidR="00E4371D" w:rsidRPr="00D8046E">
        <w:t xml:space="preserve"> condition </w:t>
      </w:r>
      <w:r w:rsidR="00267C43" w:rsidRPr="00D8046E">
        <w:t>(</w:t>
      </w:r>
      <w:r w:rsidR="00267C43" w:rsidRPr="00D8046E">
        <w:rPr>
          <w:i/>
        </w:rPr>
        <w:t>M</w:t>
      </w:r>
      <w:r w:rsidR="00267C43" w:rsidRPr="00D8046E">
        <w:t xml:space="preserve"> = 5.</w:t>
      </w:r>
      <w:r w:rsidR="00EA23E0" w:rsidRPr="00D8046E">
        <w:t>80</w:t>
      </w:r>
      <w:r w:rsidR="00267C43" w:rsidRPr="00D8046E">
        <w:t xml:space="preserve">, </w:t>
      </w:r>
      <w:r w:rsidR="00267C43" w:rsidRPr="00D8046E">
        <w:rPr>
          <w:i/>
        </w:rPr>
        <w:t>S</w:t>
      </w:r>
      <w:r w:rsidR="009F4710" w:rsidRPr="00D8046E">
        <w:rPr>
          <w:i/>
        </w:rPr>
        <w:t>D</w:t>
      </w:r>
      <w:r w:rsidR="00267C43" w:rsidRPr="00D8046E">
        <w:t xml:space="preserve"> = </w:t>
      </w:r>
      <w:r w:rsidR="009F4710" w:rsidRPr="00D8046E">
        <w:t>1</w:t>
      </w:r>
      <w:r w:rsidR="00267C43" w:rsidRPr="00D8046E">
        <w:t>.1</w:t>
      </w:r>
      <w:r w:rsidR="009F4710" w:rsidRPr="00D8046E">
        <w:t>5</w:t>
      </w:r>
      <w:r w:rsidR="00BF60A8" w:rsidRPr="00D8046E">
        <w:t xml:space="preserve">). </w:t>
      </w:r>
      <w:r w:rsidR="00A81150" w:rsidRPr="00D8046E">
        <w:t>In addition</w:t>
      </w:r>
      <w:r w:rsidR="00BF60A8" w:rsidRPr="00D8046E">
        <w:t>, the c</w:t>
      </w:r>
      <w:r w:rsidR="00267C43" w:rsidRPr="00D8046E">
        <w:t xml:space="preserve">ulture main effect was significant, </w:t>
      </w:r>
      <w:r w:rsidR="00267C43" w:rsidRPr="00D8046E">
        <w:rPr>
          <w:i/>
        </w:rPr>
        <w:t>F</w:t>
      </w:r>
      <w:r w:rsidR="00267C43" w:rsidRPr="00D8046E">
        <w:t>(1, 1</w:t>
      </w:r>
      <w:r w:rsidR="00EA23E0" w:rsidRPr="00D8046E">
        <w:t>22</w:t>
      </w:r>
      <w:r w:rsidR="00267C43" w:rsidRPr="00D8046E">
        <w:t xml:space="preserve">) = </w:t>
      </w:r>
      <w:r w:rsidR="00EA23E0" w:rsidRPr="00D8046E">
        <w:t>11.20</w:t>
      </w:r>
      <w:r w:rsidR="00267C43" w:rsidRPr="00D8046E">
        <w:t xml:space="preserve">, </w:t>
      </w:r>
      <w:r w:rsidR="00267C43" w:rsidRPr="00D8046E">
        <w:rPr>
          <w:i/>
        </w:rPr>
        <w:t>p</w:t>
      </w:r>
      <w:r w:rsidR="00267C43" w:rsidRPr="00D8046E">
        <w:t xml:space="preserve"> </w:t>
      </w:r>
      <w:r w:rsidR="00EA23E0" w:rsidRPr="00D8046E">
        <w:t>&lt;</w:t>
      </w:r>
      <w:r w:rsidR="00267C43" w:rsidRPr="00D8046E">
        <w:t xml:space="preserve"> .00</w:t>
      </w:r>
      <w:r w:rsidR="00EA23E0" w:rsidRPr="00D8046E">
        <w:t>1</w:t>
      </w:r>
      <w:r w:rsidR="00267C43" w:rsidRPr="00D8046E">
        <w:t xml:space="preserve">, </w:t>
      </w:r>
      <w:r w:rsidR="009F4710" w:rsidRPr="00D8046E">
        <w:t>η</w:t>
      </w:r>
      <w:r w:rsidR="009F4710" w:rsidRPr="00D8046E">
        <w:rPr>
          <w:vertAlign w:val="subscript"/>
        </w:rPr>
        <w:t>p</w:t>
      </w:r>
      <w:r w:rsidR="009F4710" w:rsidRPr="00D8046E">
        <w:rPr>
          <w:vertAlign w:val="superscript"/>
        </w:rPr>
        <w:t>2</w:t>
      </w:r>
      <w:r w:rsidR="009F4710" w:rsidRPr="00D8046E">
        <w:t xml:space="preserve"> = .0</w:t>
      </w:r>
      <w:r w:rsidR="00EA23E0" w:rsidRPr="00D8046E">
        <w:t>8</w:t>
      </w:r>
      <w:r w:rsidR="009F4710" w:rsidRPr="00D8046E">
        <w:t xml:space="preserve">, </w:t>
      </w:r>
      <w:r w:rsidR="00A81150" w:rsidRPr="00D8046E">
        <w:t xml:space="preserve">such </w:t>
      </w:r>
      <w:r w:rsidR="00267C43" w:rsidRPr="00D8046E">
        <w:t>that Chinese were more confident of their choices overall (</w:t>
      </w:r>
      <w:r w:rsidR="00267C43" w:rsidRPr="00D8046E">
        <w:rPr>
          <w:i/>
        </w:rPr>
        <w:t>M</w:t>
      </w:r>
      <w:r w:rsidR="00267C43" w:rsidRPr="00D8046E">
        <w:t xml:space="preserve"> = 6.</w:t>
      </w:r>
      <w:r w:rsidR="00EA23E0" w:rsidRPr="00D8046E">
        <w:t>33</w:t>
      </w:r>
      <w:r w:rsidR="00267C43" w:rsidRPr="00D8046E">
        <w:t xml:space="preserve">, </w:t>
      </w:r>
      <w:r w:rsidR="00267C43" w:rsidRPr="00D8046E">
        <w:rPr>
          <w:i/>
        </w:rPr>
        <w:t>S</w:t>
      </w:r>
      <w:r w:rsidR="00767540" w:rsidRPr="00D8046E">
        <w:rPr>
          <w:i/>
        </w:rPr>
        <w:t xml:space="preserve">D </w:t>
      </w:r>
      <w:r w:rsidR="00267C43" w:rsidRPr="00D8046E">
        <w:t>= .</w:t>
      </w:r>
      <w:r w:rsidR="00767540" w:rsidRPr="00D8046E">
        <w:t>8</w:t>
      </w:r>
      <w:r w:rsidR="00EA23E0" w:rsidRPr="00D8046E">
        <w:t>2</w:t>
      </w:r>
      <w:r w:rsidR="00267C43" w:rsidRPr="00D8046E">
        <w:t>) than were Canadians (</w:t>
      </w:r>
      <w:r w:rsidR="00267C43" w:rsidRPr="00D8046E">
        <w:rPr>
          <w:i/>
        </w:rPr>
        <w:t>M</w:t>
      </w:r>
      <w:r w:rsidR="00267C43" w:rsidRPr="00D8046E">
        <w:t xml:space="preserve"> = 5.7</w:t>
      </w:r>
      <w:r w:rsidR="00EA23E0" w:rsidRPr="00D8046E">
        <w:t>1</w:t>
      </w:r>
      <w:r w:rsidR="00267C43" w:rsidRPr="00D8046E">
        <w:t xml:space="preserve">, </w:t>
      </w:r>
      <w:r w:rsidR="00267C43" w:rsidRPr="00D8046E">
        <w:rPr>
          <w:i/>
        </w:rPr>
        <w:t>S</w:t>
      </w:r>
      <w:r w:rsidR="00767540" w:rsidRPr="00D8046E">
        <w:rPr>
          <w:i/>
        </w:rPr>
        <w:t>D</w:t>
      </w:r>
      <w:r w:rsidR="00267C43" w:rsidRPr="00D8046E">
        <w:t xml:space="preserve"> = </w:t>
      </w:r>
      <w:r w:rsidR="00767540" w:rsidRPr="00D8046E">
        <w:t>1.2</w:t>
      </w:r>
      <w:r w:rsidR="00EA23E0" w:rsidRPr="00D8046E">
        <w:t>4</w:t>
      </w:r>
      <w:r w:rsidR="00267C43" w:rsidRPr="00D8046E">
        <w:t>)</w:t>
      </w:r>
      <w:r w:rsidR="00916941" w:rsidRPr="00D8046E">
        <w:t>.</w:t>
      </w:r>
      <w:r w:rsidR="00267C43" w:rsidRPr="00D8046E">
        <w:t xml:space="preserve"> Therefore, </w:t>
      </w:r>
      <w:r w:rsidR="0015025E" w:rsidRPr="00D8046E">
        <w:t xml:space="preserve">on this scale, </w:t>
      </w:r>
      <w:r w:rsidR="00267C43" w:rsidRPr="00D8046E">
        <w:t xml:space="preserve">Chinese were not more likely than Canadians to </w:t>
      </w:r>
      <w:r w:rsidR="00DE247C" w:rsidRPr="00D8046E">
        <w:t xml:space="preserve">prefer </w:t>
      </w:r>
      <w:r w:rsidR="00BD5350" w:rsidRPr="00D8046E">
        <w:t xml:space="preserve">responses near </w:t>
      </w:r>
      <w:r w:rsidR="00DE247C" w:rsidRPr="00D8046E">
        <w:t>the midpoint</w:t>
      </w:r>
      <w:r w:rsidR="00AA31A0" w:rsidRPr="00D8046E">
        <w:t xml:space="preserve"> of the scale</w:t>
      </w:r>
      <w:r w:rsidR="00D32766" w:rsidRPr="00D8046E">
        <w:t>,</w:t>
      </w:r>
      <w:r w:rsidR="009D12CB" w:rsidRPr="00D8046E">
        <w:t xml:space="preserve"> </w:t>
      </w:r>
      <w:r w:rsidR="006118D4" w:rsidRPr="00D8046E">
        <w:t>providing further evidence</w:t>
      </w:r>
      <w:r w:rsidR="00B1571A" w:rsidRPr="00D8046E">
        <w:t xml:space="preserve"> that </w:t>
      </w:r>
      <w:r w:rsidR="006118D4" w:rsidRPr="00D8046E">
        <w:lastRenderedPageBreak/>
        <w:t xml:space="preserve">a </w:t>
      </w:r>
      <w:r w:rsidR="00B1571A" w:rsidRPr="00D8046E">
        <w:t xml:space="preserve">midpoint preference </w:t>
      </w:r>
      <w:r w:rsidR="006118D4" w:rsidRPr="00D8046E">
        <w:t xml:space="preserve">by Chinese </w:t>
      </w:r>
      <w:r w:rsidR="00B1571A" w:rsidRPr="00D8046E">
        <w:t xml:space="preserve">was unlikely to account for the results obtained in Studies 1 </w:t>
      </w:r>
      <w:r w:rsidR="003927E8" w:rsidRPr="00D8046E">
        <w:t>and 2.</w:t>
      </w:r>
      <w:r w:rsidR="00DE247C" w:rsidRPr="00D8046E">
        <w:t xml:space="preserve"> </w:t>
      </w:r>
    </w:p>
    <w:p w:rsidR="00AF7DB6" w:rsidRPr="00D8046E" w:rsidRDefault="00CF6939" w:rsidP="005A4B35">
      <w:pPr>
        <w:autoSpaceDE w:val="0"/>
        <w:autoSpaceDN w:val="0"/>
        <w:adjustRightInd w:val="0"/>
        <w:spacing w:line="480" w:lineRule="auto"/>
        <w:ind w:firstLine="720"/>
      </w:pPr>
      <w:r>
        <w:t xml:space="preserve">In summary, </w:t>
      </w:r>
      <w:r w:rsidR="005A4B35" w:rsidRPr="00D8046E">
        <w:t>Study 3 replicate</w:t>
      </w:r>
      <w:r w:rsidR="004E75B5" w:rsidRPr="00D8046E">
        <w:t>d</w:t>
      </w:r>
      <w:r w:rsidR="005A4B35" w:rsidRPr="00D8046E">
        <w:t xml:space="preserve"> the results of Studies 1 and 2 using a different method and ruled out the potential alternative explanation that Chinese were engaging in a moder</w:t>
      </w:r>
      <w:r w:rsidR="004E75B5" w:rsidRPr="00D8046E">
        <w:t>a</w:t>
      </w:r>
      <w:r w:rsidR="005A4B35" w:rsidRPr="00D8046E">
        <w:t>cy-re</w:t>
      </w:r>
      <w:r w:rsidR="004E75B5" w:rsidRPr="00D8046E">
        <w:t>s</w:t>
      </w:r>
      <w:r w:rsidR="005A4B35" w:rsidRPr="00D8046E">
        <w:t xml:space="preserve">ponse bias. </w:t>
      </w:r>
      <w:r w:rsidR="00DA2173" w:rsidRPr="00D8046E">
        <w:t>In fact</w:t>
      </w:r>
      <w:r w:rsidR="00267C43" w:rsidRPr="00D8046E">
        <w:t xml:space="preserve">, </w:t>
      </w:r>
      <w:r w:rsidR="00AD5DB4" w:rsidRPr="00D8046E">
        <w:t>Chinese</w:t>
      </w:r>
      <w:r w:rsidR="00D32766" w:rsidRPr="00D8046E">
        <w:t xml:space="preserve"> responded significantly further from the midpoint </w:t>
      </w:r>
      <w:r w:rsidR="00DE247C" w:rsidRPr="00D8046E">
        <w:t>than did Canadians</w:t>
      </w:r>
      <w:r w:rsidR="00BB5A17" w:rsidRPr="00D8046E">
        <w:t xml:space="preserve"> on </w:t>
      </w:r>
      <w:r w:rsidR="00A036B2" w:rsidRPr="00D8046E">
        <w:t xml:space="preserve">confidence </w:t>
      </w:r>
      <w:r w:rsidR="00BB5A17" w:rsidRPr="00D8046E">
        <w:t xml:space="preserve">ratings of their </w:t>
      </w:r>
      <w:r w:rsidR="004900E5" w:rsidRPr="00D8046E">
        <w:t xml:space="preserve">likelihood </w:t>
      </w:r>
      <w:r w:rsidR="00BB5A17" w:rsidRPr="00D8046E">
        <w:t>judgments</w:t>
      </w:r>
      <w:r w:rsidR="00267C43" w:rsidRPr="00D8046E">
        <w:t xml:space="preserve">. </w:t>
      </w:r>
      <w:r w:rsidR="005A4B35" w:rsidRPr="00D8046E">
        <w:t xml:space="preserve"> </w:t>
      </w:r>
    </w:p>
    <w:p w:rsidR="00FC0216" w:rsidRPr="00D8046E" w:rsidRDefault="00910D47" w:rsidP="0059239B">
      <w:pPr>
        <w:autoSpaceDE w:val="0"/>
        <w:autoSpaceDN w:val="0"/>
        <w:adjustRightInd w:val="0"/>
        <w:spacing w:line="480" w:lineRule="auto"/>
        <w:jc w:val="center"/>
      </w:pPr>
      <w:r w:rsidRPr="00D8046E">
        <w:t>Study 4</w:t>
      </w:r>
    </w:p>
    <w:p w:rsidR="00910D47" w:rsidRPr="00D8046E" w:rsidRDefault="00910D47" w:rsidP="0059239B">
      <w:pPr>
        <w:spacing w:line="480" w:lineRule="auto"/>
        <w:ind w:firstLine="720"/>
      </w:pPr>
      <w:r w:rsidRPr="00D8046E">
        <w:t xml:space="preserve">The purpose of Study </w:t>
      </w:r>
      <w:r w:rsidR="008964E1" w:rsidRPr="00D8046E">
        <w:t>4</w:t>
      </w:r>
      <w:r w:rsidRPr="00D8046E">
        <w:t xml:space="preserve"> was to </w:t>
      </w:r>
      <w:r w:rsidR="008964E1" w:rsidRPr="00D8046E">
        <w:t xml:space="preserve">directly test </w:t>
      </w:r>
      <w:r w:rsidR="00423AFE" w:rsidRPr="00D8046E">
        <w:t xml:space="preserve">the hypothesis that </w:t>
      </w:r>
      <w:r w:rsidR="001A52F3" w:rsidRPr="00D8046E">
        <w:t xml:space="preserve">analytic and </w:t>
      </w:r>
      <w:r w:rsidR="00423AFE" w:rsidRPr="00D8046E">
        <w:t>h</w:t>
      </w:r>
      <w:r w:rsidR="008964E1" w:rsidRPr="00D8046E">
        <w:t>olistic reasoning</w:t>
      </w:r>
      <w:r w:rsidR="0043484E">
        <w:t xml:space="preserve"> </w:t>
      </w:r>
      <w:r w:rsidR="00EC4156" w:rsidRPr="00D8046E">
        <w:t xml:space="preserve">was </w:t>
      </w:r>
      <w:r w:rsidR="008964E1" w:rsidRPr="00D8046E">
        <w:t>responsible for the cultural differences in the tendency to expect a correspondence in magnitude between cause and effect</w:t>
      </w:r>
      <w:r w:rsidRPr="00D8046E">
        <w:t xml:space="preserve">. </w:t>
      </w:r>
      <w:r w:rsidR="00235483" w:rsidRPr="00D8046E">
        <w:t>We</w:t>
      </w:r>
      <w:r w:rsidR="00586D8D" w:rsidRPr="00D8046E">
        <w:t xml:space="preserve"> </w:t>
      </w:r>
      <w:r w:rsidR="008964E1" w:rsidRPr="00D8046E">
        <w:t>developed an exercise t</w:t>
      </w:r>
      <w:r w:rsidR="00423AFE" w:rsidRPr="00D8046E">
        <w:t>o prime either analytic or h</w:t>
      </w:r>
      <w:r w:rsidR="008964E1" w:rsidRPr="00D8046E">
        <w:t>olistic reasoning</w:t>
      </w:r>
      <w:r w:rsidR="0043484E">
        <w:t xml:space="preserve"> </w:t>
      </w:r>
      <w:r w:rsidR="008964E1" w:rsidRPr="00D8046E">
        <w:t xml:space="preserve">in </w:t>
      </w:r>
      <w:r w:rsidR="00423AFE" w:rsidRPr="00D8046E">
        <w:t xml:space="preserve">Canadian </w:t>
      </w:r>
      <w:r w:rsidR="008964E1" w:rsidRPr="00D8046E">
        <w:t xml:space="preserve">participants. </w:t>
      </w:r>
      <w:r w:rsidR="004E6C02" w:rsidRPr="00D8046E">
        <w:t xml:space="preserve">Participants </w:t>
      </w:r>
      <w:r w:rsidR="005F48C4" w:rsidRPr="00D8046E">
        <w:t>completed the exercise</w:t>
      </w:r>
      <w:r w:rsidR="009A6563" w:rsidRPr="00D8046E">
        <w:t>,</w:t>
      </w:r>
      <w:r w:rsidR="005F48C4" w:rsidRPr="00D8046E">
        <w:t xml:space="preserve"> </w:t>
      </w:r>
      <w:r w:rsidR="004E6C02" w:rsidRPr="00D8046E">
        <w:t xml:space="preserve">then read a scenario describing </w:t>
      </w:r>
      <w:r w:rsidR="002612C3" w:rsidRPr="00D8046E">
        <w:t xml:space="preserve">a high or low magnitude </w:t>
      </w:r>
      <w:r w:rsidR="00B1084E" w:rsidRPr="00D8046E">
        <w:t>effect</w:t>
      </w:r>
      <w:r w:rsidR="004E6C02" w:rsidRPr="00D8046E">
        <w:t xml:space="preserve">, and rated the likelihood that </w:t>
      </w:r>
      <w:r w:rsidR="002612C3" w:rsidRPr="00D8046E">
        <w:t>high or low magnitude</w:t>
      </w:r>
      <w:r w:rsidR="004E6C02" w:rsidRPr="00D8046E">
        <w:t xml:space="preserve"> causes had </w:t>
      </w:r>
      <w:r w:rsidR="00501200" w:rsidRPr="00D8046E">
        <w:t>led to</w:t>
      </w:r>
      <w:r w:rsidR="004E6C02" w:rsidRPr="00D8046E">
        <w:t xml:space="preserve"> that </w:t>
      </w:r>
      <w:r w:rsidR="00B1084E" w:rsidRPr="00D8046E">
        <w:t>effect</w:t>
      </w:r>
      <w:r w:rsidR="004E6C02" w:rsidRPr="00D8046E">
        <w:t>.</w:t>
      </w:r>
      <w:r w:rsidR="004E25E8" w:rsidRPr="00D8046E">
        <w:t xml:space="preserve"> </w:t>
      </w:r>
      <w:r w:rsidR="00FD4F51" w:rsidRPr="00D8046E">
        <w:t>We used</w:t>
      </w:r>
      <w:r w:rsidR="004E25E8" w:rsidRPr="00D8046E">
        <w:t xml:space="preserve"> two different versions of scenarios</w:t>
      </w:r>
      <w:r w:rsidR="00FD4F51" w:rsidRPr="00D8046E">
        <w:t xml:space="preserve"> with two separate samples</w:t>
      </w:r>
      <w:r w:rsidR="004E25E8" w:rsidRPr="00D8046E">
        <w:t>, one in Study 4a and the other in Study 4b.</w:t>
      </w:r>
    </w:p>
    <w:p w:rsidR="008E06D6" w:rsidRPr="00D8046E" w:rsidRDefault="008E06D6" w:rsidP="008E06D6">
      <w:pPr>
        <w:spacing w:line="480" w:lineRule="auto"/>
        <w:ind w:firstLine="720"/>
        <w:jc w:val="center"/>
      </w:pPr>
      <w:r w:rsidRPr="00D8046E">
        <w:t>Study 4a</w:t>
      </w:r>
    </w:p>
    <w:p w:rsidR="00910D47" w:rsidRPr="00D8046E" w:rsidRDefault="00910D47" w:rsidP="00910D47">
      <w:pPr>
        <w:pStyle w:val="Heading1"/>
        <w:jc w:val="left"/>
        <w:rPr>
          <w:i/>
          <w:iCs/>
          <w:u w:val="none"/>
        </w:rPr>
      </w:pPr>
      <w:r w:rsidRPr="00D8046E">
        <w:rPr>
          <w:i/>
          <w:iCs/>
          <w:u w:val="none"/>
        </w:rPr>
        <w:t>Participants</w:t>
      </w:r>
    </w:p>
    <w:p w:rsidR="00910D47" w:rsidRPr="00D8046E" w:rsidRDefault="00A57072" w:rsidP="00910D47">
      <w:pPr>
        <w:pStyle w:val="BodyText2"/>
        <w:spacing w:after="0" w:line="480" w:lineRule="auto"/>
        <w:ind w:left="0" w:firstLine="720"/>
      </w:pPr>
      <w:r w:rsidRPr="00D8046E">
        <w:rPr>
          <w:lang w:eastAsia="zh-CN"/>
        </w:rPr>
        <w:t>Sixty</w:t>
      </w:r>
      <w:r w:rsidR="00390551" w:rsidRPr="00D8046E">
        <w:rPr>
          <w:lang w:eastAsia="zh-CN"/>
        </w:rPr>
        <w:t>-</w:t>
      </w:r>
      <w:r w:rsidRPr="00D8046E">
        <w:rPr>
          <w:lang w:eastAsia="zh-CN"/>
        </w:rPr>
        <w:t>seven</w:t>
      </w:r>
      <w:r w:rsidR="00910D47" w:rsidRPr="00D8046E">
        <w:rPr>
          <w:lang w:eastAsia="zh-CN"/>
        </w:rPr>
        <w:t xml:space="preserve"> European-Canadians</w:t>
      </w:r>
      <w:r w:rsidR="00910D47" w:rsidRPr="00D8046E">
        <w:t xml:space="preserve"> (</w:t>
      </w:r>
      <w:r w:rsidRPr="00D8046E">
        <w:t>4</w:t>
      </w:r>
      <w:r w:rsidR="00387A84" w:rsidRPr="00D8046E">
        <w:t>9</w:t>
      </w:r>
      <w:r w:rsidRPr="00D8046E">
        <w:t xml:space="preserve"> women</w:t>
      </w:r>
      <w:r w:rsidR="00910D47" w:rsidRPr="00D8046E">
        <w:t xml:space="preserve">) were recruited from </w:t>
      </w:r>
      <w:r w:rsidRPr="00D8046E">
        <w:t>Queen’s University</w:t>
      </w:r>
      <w:r w:rsidR="00910D47" w:rsidRPr="00D8046E">
        <w:t xml:space="preserve">. </w:t>
      </w:r>
      <w:r w:rsidR="00E941BB" w:rsidRPr="00D8046E">
        <w:t>P</w:t>
      </w:r>
      <w:r w:rsidR="00910D47" w:rsidRPr="00D8046E">
        <w:t xml:space="preserve">articipants received course credit or $5 for their participation. </w:t>
      </w:r>
    </w:p>
    <w:p w:rsidR="00910D47" w:rsidRPr="00D8046E" w:rsidRDefault="00910D47" w:rsidP="00910D47">
      <w:pPr>
        <w:pStyle w:val="BodyText2"/>
        <w:spacing w:after="0" w:line="480" w:lineRule="auto"/>
        <w:ind w:left="0"/>
        <w:rPr>
          <w:i/>
        </w:rPr>
      </w:pPr>
      <w:r w:rsidRPr="00D8046E">
        <w:rPr>
          <w:i/>
        </w:rPr>
        <w:t>Materials and Procedure</w:t>
      </w:r>
    </w:p>
    <w:p w:rsidR="00ED4113" w:rsidRPr="00D8046E" w:rsidRDefault="00ED4113" w:rsidP="00910D47">
      <w:pPr>
        <w:pStyle w:val="BodyText2"/>
        <w:spacing w:after="0" w:line="480" w:lineRule="auto"/>
        <w:ind w:left="0" w:firstLine="720"/>
      </w:pPr>
      <w:r w:rsidRPr="00D8046E">
        <w:rPr>
          <w:i/>
        </w:rPr>
        <w:t>Analytic versus Holis</w:t>
      </w:r>
      <w:r w:rsidR="00E873C1" w:rsidRPr="00D8046E">
        <w:rPr>
          <w:i/>
        </w:rPr>
        <w:t>tic</w:t>
      </w:r>
      <w:r w:rsidR="00332675">
        <w:rPr>
          <w:i/>
        </w:rPr>
        <w:t xml:space="preserve"> </w:t>
      </w:r>
      <w:r w:rsidRPr="00D8046E">
        <w:rPr>
          <w:i/>
        </w:rPr>
        <w:t>Prime.</w:t>
      </w:r>
      <w:r w:rsidRPr="00D8046E">
        <w:t xml:space="preserve"> </w:t>
      </w:r>
      <w:r w:rsidR="00162E6E">
        <w:rPr>
          <w:rFonts w:cs="Arial"/>
        </w:rPr>
        <w:t>W</w:t>
      </w:r>
      <w:r w:rsidR="00E26782" w:rsidRPr="00D8046E">
        <w:rPr>
          <w:rFonts w:cs="Arial"/>
        </w:rPr>
        <w:t xml:space="preserve">e </w:t>
      </w:r>
      <w:r w:rsidR="006E6EC5" w:rsidRPr="00D8046E">
        <w:rPr>
          <w:rFonts w:cs="Arial"/>
        </w:rPr>
        <w:t>prime</w:t>
      </w:r>
      <w:r w:rsidR="00162E6E">
        <w:rPr>
          <w:rFonts w:cs="Arial"/>
        </w:rPr>
        <w:t>d</w:t>
      </w:r>
      <w:r w:rsidR="006E6EC5" w:rsidRPr="00D8046E">
        <w:rPr>
          <w:rFonts w:cs="Arial"/>
        </w:rPr>
        <w:t xml:space="preserve"> analytic and holistic thinking by focusing participants’ attention on </w:t>
      </w:r>
      <w:r w:rsidR="007E20C2" w:rsidRPr="00D8046E">
        <w:rPr>
          <w:rFonts w:cs="Arial"/>
        </w:rPr>
        <w:t xml:space="preserve">either </w:t>
      </w:r>
      <w:r w:rsidR="00B47E18" w:rsidRPr="00D8046E">
        <w:rPr>
          <w:rFonts w:cs="Arial"/>
        </w:rPr>
        <w:t>a simple or a complex causal field</w:t>
      </w:r>
      <w:r w:rsidR="00D8046E" w:rsidRPr="00D8046E">
        <w:rPr>
          <w:rFonts w:cs="Arial"/>
        </w:rPr>
        <w:t>, respectively</w:t>
      </w:r>
      <w:r w:rsidR="00E26782" w:rsidRPr="00D8046E">
        <w:rPr>
          <w:rFonts w:cs="Arial"/>
        </w:rPr>
        <w:t xml:space="preserve">. </w:t>
      </w:r>
      <w:r w:rsidR="00723B94" w:rsidRPr="00D8046E">
        <w:t>For the prime, p</w:t>
      </w:r>
      <w:r w:rsidRPr="00D8046E">
        <w:t xml:space="preserve">articipants completed an exercise ostensibly unrelated to the </w:t>
      </w:r>
      <w:r w:rsidR="00E873C1" w:rsidRPr="00D8046E">
        <w:t>rest of the study</w:t>
      </w:r>
      <w:r w:rsidRPr="00D8046E">
        <w:t xml:space="preserve">. All participants read that “Getting into a competitive university such as Queen’s University is a major </w:t>
      </w:r>
      <w:r w:rsidRPr="00D8046E">
        <w:lastRenderedPageBreak/>
        <w:t>achievement. The majority of high school students do not make it into any university at all, and a large number of applicants to Queen’s are t</w:t>
      </w:r>
      <w:r w:rsidR="009A6563" w:rsidRPr="00D8046E">
        <w:t>urned away every year.”</w:t>
      </w:r>
      <w:r w:rsidR="007956EF" w:rsidRPr="00D8046E">
        <w:t xml:space="preserve"> In the analytic p</w:t>
      </w:r>
      <w:r w:rsidRPr="00D8046E">
        <w:t xml:space="preserve">rime condition, participants then listed the most significant event in their life that </w:t>
      </w:r>
      <w:r w:rsidR="0090789C" w:rsidRPr="00D8046E">
        <w:t xml:space="preserve">had </w:t>
      </w:r>
      <w:r w:rsidRPr="00D8046E">
        <w:t>enabled them to get into Queen’s</w:t>
      </w:r>
      <w:r w:rsidR="001E6EEC" w:rsidRPr="00D8046E">
        <w:t xml:space="preserve"> and described how it had done so</w:t>
      </w:r>
      <w:r w:rsidRPr="00D8046E">
        <w:t xml:space="preserve">. </w:t>
      </w:r>
      <w:r w:rsidR="001E6EEC" w:rsidRPr="00D8046E">
        <w:t>Lastly</w:t>
      </w:r>
      <w:r w:rsidRPr="00D8046E">
        <w:t xml:space="preserve">, they completed a diagram </w:t>
      </w:r>
      <w:r w:rsidR="0065526F" w:rsidRPr="00D8046E">
        <w:t>consisting of</w:t>
      </w:r>
      <w:r w:rsidRPr="00D8046E">
        <w:t xml:space="preserve"> </w:t>
      </w:r>
      <w:r w:rsidR="00C37C15" w:rsidRPr="00D8046E">
        <w:t>two</w:t>
      </w:r>
      <w:r w:rsidR="0065526F" w:rsidRPr="00D8046E">
        <w:t xml:space="preserve"> ellipses, one labeled “</w:t>
      </w:r>
      <w:r w:rsidRPr="00D8046E">
        <w:t>Event</w:t>
      </w:r>
      <w:r w:rsidR="0065526F" w:rsidRPr="00D8046E">
        <w:t>” and the other “Getting into Queen’s</w:t>
      </w:r>
      <w:r w:rsidR="00DC64F2" w:rsidRPr="00D8046E">
        <w:t>,</w:t>
      </w:r>
      <w:r w:rsidR="0065526F" w:rsidRPr="00D8046E">
        <w:t>”</w:t>
      </w:r>
      <w:r w:rsidRPr="00D8046E">
        <w:t xml:space="preserve"> by writing the </w:t>
      </w:r>
      <w:r w:rsidR="00A54725" w:rsidRPr="00D8046E">
        <w:t xml:space="preserve">significant </w:t>
      </w:r>
      <w:r w:rsidRPr="00D8046E">
        <w:t xml:space="preserve">event </w:t>
      </w:r>
      <w:r w:rsidR="001E6EEC" w:rsidRPr="00D8046E">
        <w:t xml:space="preserve">in the </w:t>
      </w:r>
      <w:r w:rsidR="00501200" w:rsidRPr="00D8046E">
        <w:t>event</w:t>
      </w:r>
      <w:r w:rsidR="001E6EEC" w:rsidRPr="00D8046E">
        <w:t xml:space="preserve"> ellipse </w:t>
      </w:r>
      <w:r w:rsidRPr="00D8046E">
        <w:t xml:space="preserve">and </w:t>
      </w:r>
      <w:r w:rsidR="001E6EEC" w:rsidRPr="00D8046E">
        <w:t xml:space="preserve">by </w:t>
      </w:r>
      <w:r w:rsidRPr="00D8046E">
        <w:t xml:space="preserve">drawing an arrow between </w:t>
      </w:r>
      <w:r w:rsidR="00501200" w:rsidRPr="00D8046E">
        <w:t>it and the getting into Queen’s</w:t>
      </w:r>
      <w:r w:rsidRPr="00D8046E">
        <w:t xml:space="preserve"> ellip</w:t>
      </w:r>
      <w:r w:rsidR="00501200" w:rsidRPr="00D8046E">
        <w:t>se</w:t>
      </w:r>
      <w:r w:rsidRPr="00D8046E">
        <w:t>.</w:t>
      </w:r>
      <w:r w:rsidR="001E6EEC" w:rsidRPr="00D8046E">
        <w:t xml:space="preserve"> The exercise was designed to focus each participant’s attention on a single cause that had led to a major event in his or her life.</w:t>
      </w:r>
      <w:r w:rsidR="007956EF" w:rsidRPr="00D8046E">
        <w:t xml:space="preserve"> </w:t>
      </w:r>
      <w:r w:rsidR="00893E20" w:rsidRPr="00D8046E">
        <w:t>T</w:t>
      </w:r>
      <w:r w:rsidR="007956EF" w:rsidRPr="00D8046E">
        <w:t>he holistic p</w:t>
      </w:r>
      <w:r w:rsidRPr="00D8046E">
        <w:t xml:space="preserve">rime </w:t>
      </w:r>
      <w:r w:rsidR="00893E20" w:rsidRPr="00D8046E">
        <w:t xml:space="preserve">was identical to the analytic prime, except that </w:t>
      </w:r>
      <w:r w:rsidRPr="00D8046E">
        <w:t xml:space="preserve">participants listed the </w:t>
      </w:r>
      <w:r w:rsidR="00C37C15" w:rsidRPr="00D8046E">
        <w:t>three</w:t>
      </w:r>
      <w:r w:rsidRPr="00D8046E">
        <w:t xml:space="preserve"> most significant events.</w:t>
      </w:r>
      <w:r w:rsidR="00BE7315" w:rsidRPr="00D8046E">
        <w:t xml:space="preserve">  H</w:t>
      </w:r>
      <w:r w:rsidR="001E6EEC" w:rsidRPr="00D8046E">
        <w:t>olis</w:t>
      </w:r>
      <w:r w:rsidR="00BE7315" w:rsidRPr="00D8046E">
        <w:t xml:space="preserve">tic reasoning </w:t>
      </w:r>
      <w:r w:rsidR="001E6EEC" w:rsidRPr="00D8046E">
        <w:t xml:space="preserve">not only involves focusing on numerous causes, but also focusing on the interactions between such causes. Therefore, participants </w:t>
      </w:r>
      <w:r w:rsidR="003429CB" w:rsidRPr="00D8046E">
        <w:t xml:space="preserve">also </w:t>
      </w:r>
      <w:r w:rsidR="001E6EEC" w:rsidRPr="00D8046E">
        <w:t>described how the three events had influenced each other.</w:t>
      </w:r>
      <w:r w:rsidRPr="00D8046E">
        <w:t xml:space="preserve"> </w:t>
      </w:r>
      <w:r w:rsidR="006C07C9" w:rsidRPr="00D8046E">
        <w:t>The</w:t>
      </w:r>
      <w:r w:rsidRPr="00D8046E">
        <w:t xml:space="preserve"> diagram </w:t>
      </w:r>
      <w:r w:rsidR="004C13E0" w:rsidRPr="00D8046E">
        <w:t>consist</w:t>
      </w:r>
      <w:r w:rsidR="006C07C9" w:rsidRPr="00D8046E">
        <w:t>ed</w:t>
      </w:r>
      <w:r w:rsidR="004C13E0" w:rsidRPr="00D8046E">
        <w:t xml:space="preserve"> of</w:t>
      </w:r>
      <w:r w:rsidRPr="00D8046E">
        <w:t xml:space="preserve"> </w:t>
      </w:r>
      <w:r w:rsidR="00C37C15" w:rsidRPr="00D8046E">
        <w:t>four</w:t>
      </w:r>
      <w:r w:rsidRPr="00D8046E">
        <w:t xml:space="preserve"> </w:t>
      </w:r>
      <w:r w:rsidR="00C54803" w:rsidRPr="00D8046E">
        <w:t>ellipses</w:t>
      </w:r>
      <w:r w:rsidR="004C13E0" w:rsidRPr="00D8046E">
        <w:t>, three on the periphery labeled “Event” and one in the center</w:t>
      </w:r>
      <w:r w:rsidR="006C07C9" w:rsidRPr="00D8046E">
        <w:t xml:space="preserve"> labeled “Getting into Queen’s</w:t>
      </w:r>
      <w:r w:rsidR="00DC64F2" w:rsidRPr="00D8046E">
        <w:t>.</w:t>
      </w:r>
      <w:r w:rsidR="006C07C9" w:rsidRPr="00D8046E">
        <w:t>”</w:t>
      </w:r>
      <w:r w:rsidRPr="00D8046E">
        <w:t xml:space="preserve"> </w:t>
      </w:r>
      <w:r w:rsidR="00723B94" w:rsidRPr="00D8046E">
        <w:t>After writing the three events in the event ellipses, p</w:t>
      </w:r>
      <w:r w:rsidR="006C07C9" w:rsidRPr="00D8046E">
        <w:t>articipants</w:t>
      </w:r>
      <w:r w:rsidR="001E6EEC" w:rsidRPr="00D8046E">
        <w:t xml:space="preserve"> </w:t>
      </w:r>
      <w:r w:rsidRPr="00D8046E">
        <w:t xml:space="preserve">drew arrows from </w:t>
      </w:r>
      <w:r w:rsidR="00723B94" w:rsidRPr="00D8046E">
        <w:t>each one</w:t>
      </w:r>
      <w:r w:rsidRPr="00D8046E">
        <w:t xml:space="preserve"> to the Queen’s ellipse</w:t>
      </w:r>
      <w:r w:rsidR="003429CB" w:rsidRPr="00D8046E">
        <w:t>. Lastly, they</w:t>
      </w:r>
      <w:r w:rsidRPr="00D8046E">
        <w:t xml:space="preserve"> drew arrows connecting the </w:t>
      </w:r>
      <w:r w:rsidR="00C37C15" w:rsidRPr="00D8046E">
        <w:t>three</w:t>
      </w:r>
      <w:r w:rsidRPr="00D8046E">
        <w:t xml:space="preserve"> events to describe how the</w:t>
      </w:r>
      <w:r w:rsidR="004C13E0" w:rsidRPr="00D8046E">
        <w:t>se events</w:t>
      </w:r>
      <w:r w:rsidRPr="00D8046E">
        <w:t xml:space="preserve"> </w:t>
      </w:r>
      <w:r w:rsidR="00FF2553" w:rsidRPr="00D8046E">
        <w:t xml:space="preserve">had </w:t>
      </w:r>
      <w:r w:rsidRPr="00D8046E">
        <w:t>influence</w:t>
      </w:r>
      <w:r w:rsidR="001E6EEC" w:rsidRPr="00D8046E">
        <w:t>d</w:t>
      </w:r>
      <w:r w:rsidRPr="00D8046E">
        <w:t xml:space="preserve"> </w:t>
      </w:r>
      <w:r w:rsidR="00FF2553" w:rsidRPr="00D8046E">
        <w:t xml:space="preserve">or interacted with </w:t>
      </w:r>
      <w:r w:rsidRPr="00D8046E">
        <w:t>each other.</w:t>
      </w:r>
      <w:r w:rsidR="00C37C15" w:rsidRPr="00D8046E">
        <w:t xml:space="preserve"> The holistic prime was designed to focus participants’ attention on a larger causal field</w:t>
      </w:r>
      <w:r w:rsidR="00D21AC8" w:rsidRPr="00D8046E">
        <w:t xml:space="preserve"> and on the connectedness of causes within that field</w:t>
      </w:r>
      <w:r w:rsidR="00C37C15" w:rsidRPr="00D8046E">
        <w:t>.</w:t>
      </w:r>
    </w:p>
    <w:p w:rsidR="00910D47" w:rsidRPr="00D8046E" w:rsidRDefault="005B6A66" w:rsidP="00910D47">
      <w:pPr>
        <w:pStyle w:val="BodyText2"/>
        <w:spacing w:after="0" w:line="480" w:lineRule="auto"/>
        <w:ind w:left="0" w:firstLine="720"/>
      </w:pPr>
      <w:r w:rsidRPr="00D8046E">
        <w:rPr>
          <w:i/>
        </w:rPr>
        <w:t xml:space="preserve">Magnitude </w:t>
      </w:r>
      <w:r w:rsidR="00910D47" w:rsidRPr="00D8046E">
        <w:rPr>
          <w:i/>
        </w:rPr>
        <w:t xml:space="preserve">Manipulations. </w:t>
      </w:r>
      <w:r w:rsidR="00910D47" w:rsidRPr="00D8046E">
        <w:t xml:space="preserve"> </w:t>
      </w:r>
      <w:r w:rsidR="00EB6B33" w:rsidRPr="00D8046E">
        <w:t>After the prime, p</w:t>
      </w:r>
      <w:r w:rsidR="00ED4113" w:rsidRPr="00D8046E">
        <w:t xml:space="preserve">articipants read </w:t>
      </w:r>
      <w:r w:rsidR="009950F2" w:rsidRPr="00D8046E">
        <w:t>the d</w:t>
      </w:r>
      <w:r w:rsidR="00ED4113" w:rsidRPr="00D8046E">
        <w:t xml:space="preserve">isease scenario from Study </w:t>
      </w:r>
      <w:r w:rsidR="008B4A59" w:rsidRPr="00D8046E">
        <w:t>1</w:t>
      </w:r>
      <w:r w:rsidR="00076F8A" w:rsidRPr="00D8046E">
        <w:t xml:space="preserve"> and </w:t>
      </w:r>
      <w:r w:rsidR="00910D47" w:rsidRPr="00D8046E">
        <w:t xml:space="preserve">rated the likelihood that each of the </w:t>
      </w:r>
      <w:r w:rsidR="000E1AFE" w:rsidRPr="00D8046E">
        <w:t>two</w:t>
      </w:r>
      <w:r w:rsidR="00910D47" w:rsidRPr="00D8046E">
        <w:t xml:space="preserve"> caus</w:t>
      </w:r>
      <w:r w:rsidR="000E1AFE" w:rsidRPr="00D8046E">
        <w:t>es</w:t>
      </w:r>
      <w:r w:rsidR="00910D47" w:rsidRPr="00D8046E">
        <w:t xml:space="preserve"> had led to the </w:t>
      </w:r>
      <w:r w:rsidR="0084049F" w:rsidRPr="00D8046E">
        <w:t>effect</w:t>
      </w:r>
      <w:r w:rsidR="00910D47" w:rsidRPr="00D8046E">
        <w:t xml:space="preserve"> on a 9-point scale (1 = </w:t>
      </w:r>
      <w:r w:rsidR="002F2052" w:rsidRPr="00D8046E">
        <w:rPr>
          <w:i/>
        </w:rPr>
        <w:t>not likely at all</w:t>
      </w:r>
      <w:r w:rsidR="00910D47" w:rsidRPr="00D8046E">
        <w:t xml:space="preserve">, 9 = </w:t>
      </w:r>
      <w:r w:rsidR="00910D47" w:rsidRPr="00D8046E">
        <w:rPr>
          <w:i/>
        </w:rPr>
        <w:t>extremely likely</w:t>
      </w:r>
      <w:r w:rsidR="00910D47" w:rsidRPr="00D8046E">
        <w:t>).</w:t>
      </w:r>
      <w:r w:rsidR="00387A84" w:rsidRPr="00D8046E">
        <w:t xml:space="preserve"> </w:t>
      </w:r>
      <w:r w:rsidR="004E6C02" w:rsidRPr="00D8046E">
        <w:t>In summary, Study 4</w:t>
      </w:r>
      <w:r w:rsidR="00076F8A" w:rsidRPr="00D8046E">
        <w:t>a</w:t>
      </w:r>
      <w:r w:rsidR="004E6C02" w:rsidRPr="00D8046E">
        <w:t xml:space="preserve"> </w:t>
      </w:r>
      <w:r w:rsidR="007B7C9E" w:rsidRPr="00D8046E">
        <w:t>had</w:t>
      </w:r>
      <w:r w:rsidR="004E6C02" w:rsidRPr="00D8046E">
        <w:t xml:space="preserve"> a </w:t>
      </w:r>
      <w:r w:rsidR="00F904AE" w:rsidRPr="00D8046E">
        <w:t>2 (p</w:t>
      </w:r>
      <w:r w:rsidR="004E6C02" w:rsidRPr="00D8046E">
        <w:t xml:space="preserve">rime: </w:t>
      </w:r>
      <w:r w:rsidR="00F904AE" w:rsidRPr="00D8046E">
        <w:t>analytic vs. h</w:t>
      </w:r>
      <w:r w:rsidR="004E6C02" w:rsidRPr="00D8046E">
        <w:t>olistic) by 2 (</w:t>
      </w:r>
      <w:r w:rsidR="0084049F" w:rsidRPr="00D8046E">
        <w:t>effect</w:t>
      </w:r>
      <w:r w:rsidR="004E6C02" w:rsidRPr="00D8046E">
        <w:t xml:space="preserve"> </w:t>
      </w:r>
      <w:r w:rsidR="00F904AE" w:rsidRPr="00D8046E">
        <w:t>m</w:t>
      </w:r>
      <w:r w:rsidR="004E6C02" w:rsidRPr="00D8046E">
        <w:t xml:space="preserve">agnitude: high vs. low) </w:t>
      </w:r>
      <w:r w:rsidR="00F904AE" w:rsidRPr="00D8046E">
        <w:t>by 2 (cause m</w:t>
      </w:r>
      <w:r w:rsidR="004E6C02" w:rsidRPr="00D8046E">
        <w:t xml:space="preserve">agnitude: high vs. low) design. The causal magnitude factor </w:t>
      </w:r>
      <w:r w:rsidR="006D1A66" w:rsidRPr="00D8046E">
        <w:t>varied</w:t>
      </w:r>
      <w:r w:rsidR="004E6C02" w:rsidRPr="00D8046E">
        <w:t xml:space="preserve"> within-</w:t>
      </w:r>
      <w:r w:rsidR="00E941BB" w:rsidRPr="00D8046E">
        <w:t>participants</w:t>
      </w:r>
      <w:r w:rsidR="007B7C9E" w:rsidRPr="00D8046E">
        <w:t>,</w:t>
      </w:r>
      <w:r w:rsidR="004E6C02" w:rsidRPr="00D8046E">
        <w:t xml:space="preserve"> and the other factors </w:t>
      </w:r>
      <w:r w:rsidR="006D1A66" w:rsidRPr="00D8046E">
        <w:t>varied</w:t>
      </w:r>
      <w:r w:rsidR="004E6C02" w:rsidRPr="00D8046E">
        <w:t xml:space="preserve"> between-</w:t>
      </w:r>
      <w:r w:rsidR="00E941BB" w:rsidRPr="00D8046E">
        <w:t>participants</w:t>
      </w:r>
      <w:r w:rsidR="004E6C02" w:rsidRPr="00D8046E">
        <w:t>.</w:t>
      </w:r>
    </w:p>
    <w:p w:rsidR="00910D47" w:rsidRPr="00D8046E" w:rsidRDefault="00910D47" w:rsidP="00910D47">
      <w:pPr>
        <w:spacing w:line="480" w:lineRule="auto"/>
        <w:jc w:val="center"/>
      </w:pPr>
      <w:r w:rsidRPr="00D8046E">
        <w:lastRenderedPageBreak/>
        <w:t>Results</w:t>
      </w:r>
    </w:p>
    <w:p w:rsidR="00387A84" w:rsidRPr="00D8046E" w:rsidRDefault="00387A84" w:rsidP="00387A84">
      <w:pPr>
        <w:autoSpaceDE w:val="0"/>
        <w:autoSpaceDN w:val="0"/>
        <w:adjustRightInd w:val="0"/>
        <w:spacing w:line="480" w:lineRule="auto"/>
        <w:rPr>
          <w:i/>
        </w:rPr>
      </w:pPr>
      <w:r w:rsidRPr="00D8046E">
        <w:rPr>
          <w:i/>
        </w:rPr>
        <w:t xml:space="preserve">Test of </w:t>
      </w:r>
      <w:r w:rsidR="00BB08F0" w:rsidRPr="00D8046E">
        <w:rPr>
          <w:i/>
        </w:rPr>
        <w:t xml:space="preserve">Cause-Effect </w:t>
      </w:r>
      <w:r w:rsidRPr="00D8046E">
        <w:rPr>
          <w:i/>
        </w:rPr>
        <w:t>Magnitude Correspondence</w:t>
      </w:r>
    </w:p>
    <w:p w:rsidR="00387A84" w:rsidRPr="00D8046E" w:rsidRDefault="00387A84" w:rsidP="00387A84">
      <w:pPr>
        <w:spacing w:line="480" w:lineRule="auto"/>
      </w:pPr>
      <w:r w:rsidRPr="00D8046E">
        <w:rPr>
          <w:i/>
        </w:rPr>
        <w:tab/>
      </w:r>
      <w:r w:rsidR="00AE7E46" w:rsidRPr="00D8046E">
        <w:t>A</w:t>
      </w:r>
      <w:r w:rsidR="00032843" w:rsidRPr="00D8046E">
        <w:t xml:space="preserve"> 2 (prime: analytic versus h</w:t>
      </w:r>
      <w:r w:rsidR="00AE7E46" w:rsidRPr="00D8046E">
        <w:t xml:space="preserve">olistic) X 2 (effect magnitude) X 2 (cause magnitude) </w:t>
      </w:r>
      <w:r w:rsidR="0043484E">
        <w:t>mixed-model</w:t>
      </w:r>
      <w:r w:rsidR="00AE7E46" w:rsidRPr="00D8046E">
        <w:t xml:space="preserve"> analysis of variance (ANOVA) revealed a significant</w:t>
      </w:r>
      <w:r w:rsidR="00AE7E46" w:rsidRPr="00D8046E" w:rsidDel="00DE4F84">
        <w:t xml:space="preserve"> </w:t>
      </w:r>
      <w:r w:rsidR="00AE7E46" w:rsidRPr="00D8046E">
        <w:t xml:space="preserve">main effect of effect magnitude, </w:t>
      </w:r>
      <w:r w:rsidR="005B6A66" w:rsidRPr="00D8046E">
        <w:rPr>
          <w:i/>
        </w:rPr>
        <w:t>F</w:t>
      </w:r>
      <w:r w:rsidR="005B6A66" w:rsidRPr="00D8046E">
        <w:t xml:space="preserve">(1, 63) = 12.47, </w:t>
      </w:r>
      <w:r w:rsidR="005B6A66" w:rsidRPr="00D8046E">
        <w:rPr>
          <w:i/>
        </w:rPr>
        <w:t>p</w:t>
      </w:r>
      <w:r w:rsidR="00C5349B" w:rsidRPr="00D8046E">
        <w:t xml:space="preserve"> &lt; .001, </w:t>
      </w:r>
      <w:r w:rsidR="001B6408" w:rsidRPr="00D8046E">
        <w:t>such that participants in the high magnitude effect condition gave higher likelihood ratings for the causes</w:t>
      </w:r>
      <w:r w:rsidR="00DC64F2" w:rsidRPr="00D8046E">
        <w:t xml:space="preserve"> </w:t>
      </w:r>
      <w:r w:rsidR="00DA443F" w:rsidRPr="00D8046E">
        <w:t>(</w:t>
      </w:r>
      <w:r w:rsidR="00DA443F" w:rsidRPr="00D8046E">
        <w:rPr>
          <w:i/>
        </w:rPr>
        <w:t>M</w:t>
      </w:r>
      <w:r w:rsidR="00DA443F" w:rsidRPr="00D8046E">
        <w:t xml:space="preserve"> = 5.97, </w:t>
      </w:r>
      <w:r w:rsidR="00DA443F" w:rsidRPr="00D8046E">
        <w:rPr>
          <w:i/>
        </w:rPr>
        <w:t>SD</w:t>
      </w:r>
      <w:r w:rsidR="00DA443F" w:rsidRPr="00D8046E">
        <w:t xml:space="preserve"> = .94)</w:t>
      </w:r>
      <w:r w:rsidR="001B6408" w:rsidRPr="00D8046E">
        <w:t>, in comparison with those in the low magnitude effect condition</w:t>
      </w:r>
      <w:r w:rsidR="00DC64F2" w:rsidRPr="00D8046E">
        <w:t xml:space="preserve"> (</w:t>
      </w:r>
      <w:r w:rsidR="00DC64F2" w:rsidRPr="00D8046E">
        <w:rPr>
          <w:i/>
        </w:rPr>
        <w:t>M</w:t>
      </w:r>
      <w:r w:rsidR="00DC64F2" w:rsidRPr="00D8046E">
        <w:t xml:space="preserve"> = </w:t>
      </w:r>
      <w:r w:rsidR="00DA443F" w:rsidRPr="00D8046E">
        <w:t>5.35</w:t>
      </w:r>
      <w:r w:rsidR="00DC64F2" w:rsidRPr="00D8046E">
        <w:t xml:space="preserve">, </w:t>
      </w:r>
      <w:r w:rsidR="00DC64F2" w:rsidRPr="00D8046E">
        <w:rPr>
          <w:i/>
        </w:rPr>
        <w:t>SD</w:t>
      </w:r>
      <w:r w:rsidR="00DC64F2" w:rsidRPr="00D8046E">
        <w:t xml:space="preserve"> = </w:t>
      </w:r>
      <w:r w:rsidR="00DA443F" w:rsidRPr="00D8046E">
        <w:t>.92</w:t>
      </w:r>
      <w:r w:rsidR="00DC64F2" w:rsidRPr="00D8046E">
        <w:t>)</w:t>
      </w:r>
      <w:r w:rsidR="00C5349B" w:rsidRPr="00D8046E">
        <w:t xml:space="preserve">. </w:t>
      </w:r>
      <w:r w:rsidRPr="00D8046E">
        <w:t xml:space="preserve">The </w:t>
      </w:r>
      <w:r w:rsidR="00C5349B" w:rsidRPr="00D8046E">
        <w:t>effect</w:t>
      </w:r>
      <w:r w:rsidRPr="00D8046E">
        <w:t xml:space="preserve"> </w:t>
      </w:r>
      <w:r w:rsidR="00EB6B33" w:rsidRPr="00D8046E">
        <w:t>m</w:t>
      </w:r>
      <w:r w:rsidRPr="00D8046E">
        <w:t xml:space="preserve">agnitude by </w:t>
      </w:r>
      <w:r w:rsidR="00EB6B33" w:rsidRPr="00D8046E">
        <w:t>c</w:t>
      </w:r>
      <w:r w:rsidRPr="00D8046E">
        <w:t>aus</w:t>
      </w:r>
      <w:r w:rsidR="001A70D9" w:rsidRPr="00D8046E">
        <w:t>e</w:t>
      </w:r>
      <w:r w:rsidRPr="00D8046E">
        <w:t xml:space="preserve"> </w:t>
      </w:r>
      <w:r w:rsidR="00EB6B33" w:rsidRPr="00D8046E">
        <w:t>m</w:t>
      </w:r>
      <w:r w:rsidRPr="00D8046E">
        <w:t xml:space="preserve">agnitude interaction was significant, </w:t>
      </w:r>
      <w:r w:rsidRPr="00D8046E">
        <w:rPr>
          <w:i/>
        </w:rPr>
        <w:t>F</w:t>
      </w:r>
      <w:r w:rsidRPr="00D8046E">
        <w:t xml:space="preserve">(1, </w:t>
      </w:r>
      <w:r w:rsidR="00EB6B33" w:rsidRPr="00D8046E">
        <w:t>63</w:t>
      </w:r>
      <w:r w:rsidRPr="00D8046E">
        <w:t xml:space="preserve">) = </w:t>
      </w:r>
      <w:r w:rsidR="00EB6B33" w:rsidRPr="00D8046E">
        <w:t>78.92</w:t>
      </w:r>
      <w:r w:rsidRPr="00D8046E">
        <w:t xml:space="preserve">, </w:t>
      </w:r>
      <w:r w:rsidRPr="00D8046E">
        <w:rPr>
          <w:i/>
        </w:rPr>
        <w:t>p</w:t>
      </w:r>
      <w:r w:rsidRPr="00D8046E">
        <w:t xml:space="preserve"> &lt; .001, η</w:t>
      </w:r>
      <w:r w:rsidRPr="00D8046E">
        <w:rPr>
          <w:vertAlign w:val="subscript"/>
        </w:rPr>
        <w:t>p</w:t>
      </w:r>
      <w:r w:rsidRPr="00D8046E">
        <w:rPr>
          <w:vertAlign w:val="superscript"/>
        </w:rPr>
        <w:t>2</w:t>
      </w:r>
      <w:r w:rsidRPr="00D8046E">
        <w:t xml:space="preserve"> = .</w:t>
      </w:r>
      <w:r w:rsidR="00EB6B33" w:rsidRPr="00D8046E">
        <w:t>5</w:t>
      </w:r>
      <w:r w:rsidR="006D5AAD" w:rsidRPr="00D8046E">
        <w:t>6</w:t>
      </w:r>
      <w:r w:rsidRPr="00D8046E">
        <w:t xml:space="preserve">. </w:t>
      </w:r>
      <w:r w:rsidR="001A70D9" w:rsidRPr="00D8046E">
        <w:t>Overall, p</w:t>
      </w:r>
      <w:r w:rsidRPr="00D8046E">
        <w:t xml:space="preserve">articipants tended to associate </w:t>
      </w:r>
      <w:r w:rsidR="00EB6B33" w:rsidRPr="00D8046E">
        <w:t>high magnitude</w:t>
      </w:r>
      <w:r w:rsidRPr="00D8046E">
        <w:t xml:space="preserve"> </w:t>
      </w:r>
      <w:r w:rsidR="00C5349B" w:rsidRPr="00D8046E">
        <w:t>effects</w:t>
      </w:r>
      <w:r w:rsidRPr="00D8046E">
        <w:t xml:space="preserve"> with </w:t>
      </w:r>
      <w:r w:rsidR="00EB6B33" w:rsidRPr="00D8046E">
        <w:t>high magnitude</w:t>
      </w:r>
      <w:r w:rsidRPr="00D8046E">
        <w:t xml:space="preserve"> causes (</w:t>
      </w:r>
      <w:r w:rsidRPr="00D8046E">
        <w:rPr>
          <w:i/>
        </w:rPr>
        <w:t>M</w:t>
      </w:r>
      <w:r w:rsidRPr="00D8046E">
        <w:t xml:space="preserve"> = </w:t>
      </w:r>
      <w:r w:rsidR="00F70E72" w:rsidRPr="00D8046E">
        <w:t>7.17</w:t>
      </w:r>
      <w:r w:rsidRPr="00D8046E">
        <w:t xml:space="preserve">, </w:t>
      </w:r>
      <w:r w:rsidRPr="00D8046E">
        <w:rPr>
          <w:i/>
        </w:rPr>
        <w:t>SD</w:t>
      </w:r>
      <w:r w:rsidRPr="00D8046E">
        <w:t xml:space="preserve"> = 1.</w:t>
      </w:r>
      <w:r w:rsidR="00F70E72" w:rsidRPr="00D8046E">
        <w:t>56</w:t>
      </w:r>
      <w:r w:rsidRPr="00D8046E">
        <w:t xml:space="preserve">) more than </w:t>
      </w:r>
      <w:r w:rsidR="00EB6B33" w:rsidRPr="00D8046E">
        <w:t>low magnitude</w:t>
      </w:r>
      <w:r w:rsidRPr="00D8046E">
        <w:t xml:space="preserve"> causes (</w:t>
      </w:r>
      <w:r w:rsidRPr="00D8046E">
        <w:rPr>
          <w:i/>
        </w:rPr>
        <w:t>M</w:t>
      </w:r>
      <w:r w:rsidRPr="00D8046E">
        <w:t xml:space="preserve"> = </w:t>
      </w:r>
      <w:r w:rsidR="00F70E72" w:rsidRPr="00D8046E">
        <w:t>4.51</w:t>
      </w:r>
      <w:r w:rsidRPr="00D8046E">
        <w:t xml:space="preserve">, </w:t>
      </w:r>
      <w:r w:rsidRPr="00D8046E">
        <w:rPr>
          <w:i/>
        </w:rPr>
        <w:t>SD</w:t>
      </w:r>
      <w:r w:rsidRPr="00D8046E">
        <w:t xml:space="preserve"> = 1.</w:t>
      </w:r>
      <w:r w:rsidR="00F70E72" w:rsidRPr="00D8046E">
        <w:t>98</w:t>
      </w:r>
      <w:r w:rsidRPr="00D8046E">
        <w:t xml:space="preserve">), and </w:t>
      </w:r>
      <w:r w:rsidR="00EB6B33" w:rsidRPr="00D8046E">
        <w:t>low magnitude</w:t>
      </w:r>
      <w:r w:rsidRPr="00D8046E">
        <w:t xml:space="preserve"> </w:t>
      </w:r>
      <w:r w:rsidR="00C5349B" w:rsidRPr="00D8046E">
        <w:t>effects</w:t>
      </w:r>
      <w:r w:rsidRPr="00D8046E">
        <w:t xml:space="preserve"> with </w:t>
      </w:r>
      <w:r w:rsidR="00EB6B33" w:rsidRPr="00D8046E">
        <w:t>low magnitude</w:t>
      </w:r>
      <w:r w:rsidRPr="00D8046E">
        <w:t xml:space="preserve"> causes (</w:t>
      </w:r>
      <w:r w:rsidRPr="00D8046E">
        <w:rPr>
          <w:i/>
        </w:rPr>
        <w:t>M</w:t>
      </w:r>
      <w:r w:rsidRPr="00D8046E">
        <w:t xml:space="preserve"> = </w:t>
      </w:r>
      <w:r w:rsidR="00F70E72" w:rsidRPr="00D8046E">
        <w:t>7.00</w:t>
      </w:r>
      <w:r w:rsidRPr="00D8046E">
        <w:t xml:space="preserve">, </w:t>
      </w:r>
      <w:r w:rsidRPr="00D8046E">
        <w:rPr>
          <w:i/>
        </w:rPr>
        <w:t>SD</w:t>
      </w:r>
      <w:r w:rsidRPr="00D8046E">
        <w:t xml:space="preserve"> = 1.</w:t>
      </w:r>
      <w:r w:rsidR="0036667E" w:rsidRPr="00D8046E">
        <w:t>3</w:t>
      </w:r>
      <w:r w:rsidR="00F70E72" w:rsidRPr="00D8046E">
        <w:t>0</w:t>
      </w:r>
      <w:r w:rsidRPr="00D8046E">
        <w:t xml:space="preserve">) more than </w:t>
      </w:r>
      <w:r w:rsidR="00353397" w:rsidRPr="00D8046E">
        <w:t>high magnitude</w:t>
      </w:r>
      <w:r w:rsidRPr="00D8046E">
        <w:t xml:space="preserve"> causes (</w:t>
      </w:r>
      <w:r w:rsidRPr="00D8046E">
        <w:rPr>
          <w:i/>
        </w:rPr>
        <w:t>M</w:t>
      </w:r>
      <w:r w:rsidRPr="00D8046E">
        <w:t xml:space="preserve"> = </w:t>
      </w:r>
      <w:r w:rsidR="0036667E" w:rsidRPr="00D8046E">
        <w:t>4.4</w:t>
      </w:r>
      <w:r w:rsidR="00F70E72" w:rsidRPr="00D8046E">
        <w:t>4</w:t>
      </w:r>
      <w:r w:rsidRPr="00D8046E">
        <w:t xml:space="preserve">, </w:t>
      </w:r>
      <w:r w:rsidRPr="00D8046E">
        <w:rPr>
          <w:i/>
        </w:rPr>
        <w:t>SD</w:t>
      </w:r>
      <w:r w:rsidRPr="00D8046E">
        <w:t xml:space="preserve"> = 1.</w:t>
      </w:r>
      <w:r w:rsidR="0036667E" w:rsidRPr="00D8046E">
        <w:t>7</w:t>
      </w:r>
      <w:r w:rsidR="00F70E72" w:rsidRPr="00D8046E">
        <w:t>6</w:t>
      </w:r>
      <w:r w:rsidRPr="00D8046E">
        <w:t xml:space="preserve">). More importantly, the </w:t>
      </w:r>
      <w:r w:rsidR="00EB6B33" w:rsidRPr="00D8046E">
        <w:t>p</w:t>
      </w:r>
      <w:r w:rsidR="00D43E0B" w:rsidRPr="00D8046E">
        <w:t>rime</w:t>
      </w:r>
      <w:r w:rsidRPr="00D8046E">
        <w:t xml:space="preserve"> by </w:t>
      </w:r>
      <w:r w:rsidR="00C5349B" w:rsidRPr="00D8046E">
        <w:t>effect</w:t>
      </w:r>
      <w:r w:rsidRPr="00D8046E">
        <w:t xml:space="preserve"> </w:t>
      </w:r>
      <w:r w:rsidR="00EB6B33" w:rsidRPr="00D8046E">
        <w:t>m</w:t>
      </w:r>
      <w:r w:rsidRPr="00D8046E">
        <w:t xml:space="preserve">agnitude by </w:t>
      </w:r>
      <w:r w:rsidR="00EB6B33" w:rsidRPr="00D8046E">
        <w:t>c</w:t>
      </w:r>
      <w:r w:rsidRPr="00D8046E">
        <w:t>aus</w:t>
      </w:r>
      <w:r w:rsidR="001A70D9" w:rsidRPr="00D8046E">
        <w:t>e</w:t>
      </w:r>
      <w:r w:rsidRPr="00D8046E">
        <w:t xml:space="preserve"> </w:t>
      </w:r>
      <w:r w:rsidR="00EB6B33" w:rsidRPr="00D8046E">
        <w:t>m</w:t>
      </w:r>
      <w:r w:rsidRPr="00D8046E">
        <w:t xml:space="preserve">agnitude interaction was significant, </w:t>
      </w:r>
      <w:r w:rsidRPr="00D8046E">
        <w:rPr>
          <w:i/>
        </w:rPr>
        <w:t>F</w:t>
      </w:r>
      <w:r w:rsidRPr="00D8046E">
        <w:t xml:space="preserve">(1, </w:t>
      </w:r>
      <w:r w:rsidR="003C706E" w:rsidRPr="00D8046E">
        <w:t>63</w:t>
      </w:r>
      <w:r w:rsidRPr="00D8046E">
        <w:t xml:space="preserve">) = </w:t>
      </w:r>
      <w:r w:rsidR="003C706E" w:rsidRPr="00D8046E">
        <w:t>12.02</w:t>
      </w:r>
      <w:r w:rsidRPr="00D8046E">
        <w:t xml:space="preserve">, </w:t>
      </w:r>
      <w:r w:rsidRPr="00D8046E">
        <w:rPr>
          <w:i/>
        </w:rPr>
        <w:t>p</w:t>
      </w:r>
      <w:r w:rsidRPr="00D8046E">
        <w:t xml:space="preserve"> &lt; .001, η</w:t>
      </w:r>
      <w:r w:rsidRPr="00D8046E">
        <w:rPr>
          <w:vertAlign w:val="subscript"/>
        </w:rPr>
        <w:t>p</w:t>
      </w:r>
      <w:r w:rsidRPr="00D8046E">
        <w:rPr>
          <w:vertAlign w:val="superscript"/>
        </w:rPr>
        <w:t>2</w:t>
      </w:r>
      <w:r w:rsidRPr="00D8046E">
        <w:t xml:space="preserve"> = .1</w:t>
      </w:r>
      <w:r w:rsidR="003C706E" w:rsidRPr="00D8046E">
        <w:t>6</w:t>
      </w:r>
      <w:r w:rsidRPr="00D8046E">
        <w:t>. As hypothesized, Canadians</w:t>
      </w:r>
      <w:r w:rsidR="00D43E0B" w:rsidRPr="00D8046E">
        <w:t xml:space="preserve"> primed to reason analytically</w:t>
      </w:r>
      <w:r w:rsidRPr="00D8046E">
        <w:t xml:space="preserve"> </w:t>
      </w:r>
      <w:r w:rsidR="00DB196F" w:rsidRPr="00D8046E">
        <w:t>exhibit</w:t>
      </w:r>
      <w:r w:rsidR="001346E4" w:rsidRPr="00D8046E">
        <w:t>ed</w:t>
      </w:r>
      <w:r w:rsidR="00DB196F" w:rsidRPr="00D8046E">
        <w:t xml:space="preserve"> a stronger cause-effect magnitude correspondence </w:t>
      </w:r>
      <w:r w:rsidRPr="00D8046E">
        <w:t xml:space="preserve">than </w:t>
      </w:r>
      <w:r w:rsidR="00D43E0B" w:rsidRPr="00D8046E">
        <w:t xml:space="preserve">Canadians primed to reason </w:t>
      </w:r>
      <w:r w:rsidR="0016761E" w:rsidRPr="00D8046E">
        <w:t>holistically</w:t>
      </w:r>
      <w:r w:rsidRPr="00D8046E">
        <w:t xml:space="preserve"> (</w:t>
      </w:r>
      <w:r w:rsidR="007B7C9E" w:rsidRPr="00D8046E">
        <w:t>s</w:t>
      </w:r>
      <w:r w:rsidR="0016761E" w:rsidRPr="00D8046E">
        <w:t>ee</w:t>
      </w:r>
      <w:r w:rsidRPr="00D8046E">
        <w:t xml:space="preserve"> Figure </w:t>
      </w:r>
      <w:r w:rsidR="00466B2B" w:rsidRPr="00D8046E">
        <w:t>4</w:t>
      </w:r>
      <w:r w:rsidRPr="00D8046E">
        <w:t>).</w:t>
      </w:r>
    </w:p>
    <w:p w:rsidR="0000128D" w:rsidRPr="00D8046E" w:rsidRDefault="00C64CC4" w:rsidP="0000128D">
      <w:pPr>
        <w:spacing w:line="480" w:lineRule="auto"/>
      </w:pPr>
      <w:r>
        <w:rPr>
          <w:i/>
        </w:rPr>
        <w:tab/>
      </w:r>
      <w:r w:rsidR="0000128D" w:rsidRPr="00042D29">
        <w:t xml:space="preserve">Follow-up </w:t>
      </w:r>
      <w:r w:rsidR="0000128D">
        <w:t xml:space="preserve">independent-sample </w:t>
      </w:r>
      <w:r w:rsidR="0000128D" w:rsidRPr="00C37B99">
        <w:rPr>
          <w:i/>
        </w:rPr>
        <w:t>t</w:t>
      </w:r>
      <w:r w:rsidR="0000128D">
        <w:t xml:space="preserve"> </w:t>
      </w:r>
      <w:r w:rsidR="0000128D" w:rsidRPr="00042D29">
        <w:t>tests on the interaction</w:t>
      </w:r>
      <w:r w:rsidR="0000128D">
        <w:t xml:space="preserve"> indicated that</w:t>
      </w:r>
      <w:r>
        <w:t>,</w:t>
      </w:r>
      <w:r w:rsidR="0000128D">
        <w:t xml:space="preserve"> </w:t>
      </w:r>
      <w:r>
        <w:t>to account f</w:t>
      </w:r>
      <w:r w:rsidR="0000128D">
        <w:t xml:space="preserve">or the high magnitude event, </w:t>
      </w:r>
      <w:r w:rsidR="00EF6F3D">
        <w:t xml:space="preserve">analytically-primed </w:t>
      </w:r>
      <w:r w:rsidR="0000128D">
        <w:t xml:space="preserve">Canadians rated the high magnitude cause as more likely than did </w:t>
      </w:r>
      <w:r w:rsidR="00EF6F3D">
        <w:t>holistically-primed Canadians</w:t>
      </w:r>
      <w:r w:rsidR="0000128D">
        <w:t xml:space="preserve"> and rated the low magnitude cause a</w:t>
      </w:r>
      <w:r w:rsidR="00EF6F3D">
        <w:t>s</w:t>
      </w:r>
      <w:r w:rsidR="0000128D">
        <w:t xml:space="preserve"> less likely than did </w:t>
      </w:r>
      <w:r w:rsidR="00EF6F3D">
        <w:t>holistically-primed Canadians</w:t>
      </w:r>
      <w:r>
        <w:t>.</w:t>
      </w:r>
      <w:r w:rsidR="0000128D">
        <w:t xml:space="preserve"> For the low magnitude event, </w:t>
      </w:r>
      <w:r w:rsidR="00EF6F3D">
        <w:t xml:space="preserve">analytically-primed </w:t>
      </w:r>
      <w:r w:rsidR="0000128D">
        <w:t xml:space="preserve">Canadians rated the high magnitude cause as less likely than did </w:t>
      </w:r>
      <w:r w:rsidR="00EF6F3D">
        <w:t xml:space="preserve">holistically-primed Canadians </w:t>
      </w:r>
      <w:r w:rsidR="0000128D">
        <w:t xml:space="preserve">and rated the low magnitude cause as more likely than did </w:t>
      </w:r>
      <w:r w:rsidR="00EF6F3D">
        <w:t>holistically-primed Canadians</w:t>
      </w:r>
      <w:r>
        <w:t>,</w:t>
      </w:r>
      <w:r w:rsidR="0000128D">
        <w:t xml:space="preserve"> </w:t>
      </w:r>
      <w:r w:rsidRPr="006E7AA1">
        <w:rPr>
          <w:i/>
        </w:rPr>
        <w:t>t</w:t>
      </w:r>
      <w:r>
        <w:t xml:space="preserve">s &gt; 1.96, </w:t>
      </w:r>
      <w:r w:rsidRPr="006E7AA1">
        <w:rPr>
          <w:i/>
        </w:rPr>
        <w:t>p</w:t>
      </w:r>
      <w:r>
        <w:t>s &lt; .05</w:t>
      </w:r>
    </w:p>
    <w:p w:rsidR="00C15ACF" w:rsidRPr="00D8046E" w:rsidRDefault="001B4BC8" w:rsidP="001B4BC8">
      <w:pPr>
        <w:autoSpaceDE w:val="0"/>
        <w:autoSpaceDN w:val="0"/>
        <w:adjustRightInd w:val="0"/>
        <w:spacing w:line="480" w:lineRule="auto"/>
        <w:rPr>
          <w:i/>
        </w:rPr>
      </w:pPr>
      <w:r w:rsidRPr="00D8046E">
        <w:rPr>
          <w:i/>
        </w:rPr>
        <w:t xml:space="preserve">Comparison with </w:t>
      </w:r>
      <w:r w:rsidR="00C20CEE" w:rsidRPr="00D8046E">
        <w:rPr>
          <w:i/>
        </w:rPr>
        <w:t>N</w:t>
      </w:r>
      <w:r w:rsidRPr="00D8046E">
        <w:rPr>
          <w:i/>
        </w:rPr>
        <w:t>on-</w:t>
      </w:r>
      <w:r w:rsidR="00C20CEE" w:rsidRPr="00D8046E">
        <w:rPr>
          <w:i/>
        </w:rPr>
        <w:t>P</w:t>
      </w:r>
      <w:r w:rsidRPr="00D8046E">
        <w:rPr>
          <w:i/>
        </w:rPr>
        <w:t xml:space="preserve">rimed </w:t>
      </w:r>
      <w:r w:rsidR="006C6D42" w:rsidRPr="00D8046E">
        <w:rPr>
          <w:i/>
        </w:rPr>
        <w:t xml:space="preserve">Participants </w:t>
      </w:r>
      <w:r w:rsidRPr="00D8046E">
        <w:rPr>
          <w:i/>
        </w:rPr>
        <w:t>from Study 1a</w:t>
      </w:r>
    </w:p>
    <w:p w:rsidR="001B4BC8" w:rsidRPr="00D8046E" w:rsidRDefault="00206A61" w:rsidP="001B4BC8">
      <w:pPr>
        <w:autoSpaceDE w:val="0"/>
        <w:autoSpaceDN w:val="0"/>
        <w:adjustRightInd w:val="0"/>
        <w:spacing w:line="480" w:lineRule="auto"/>
        <w:ind w:firstLine="720"/>
      </w:pPr>
      <w:r w:rsidRPr="00D8046E">
        <w:lastRenderedPageBreak/>
        <w:t>Participants in Study 1a completed the identical disease scenario</w:t>
      </w:r>
      <w:r w:rsidR="007C6C0C" w:rsidRPr="00D8046E">
        <w:t xml:space="preserve"> but</w:t>
      </w:r>
      <w:r w:rsidRPr="00D8046E">
        <w:t xml:space="preserve"> without any prime. Therefore, </w:t>
      </w:r>
      <w:r w:rsidR="00CE7D1B" w:rsidRPr="00D8046E">
        <w:t xml:space="preserve">we compared </w:t>
      </w:r>
      <w:r w:rsidRPr="00D8046E">
        <w:t>p</w:t>
      </w:r>
      <w:r w:rsidR="001B4BC8" w:rsidRPr="00D8046E">
        <w:t xml:space="preserve">articipants from Study 4a with those from Study 1a to determine more specifically </w:t>
      </w:r>
      <w:r w:rsidR="003B681C" w:rsidRPr="00D8046E">
        <w:t xml:space="preserve">what </w:t>
      </w:r>
      <w:r w:rsidR="001B4BC8" w:rsidRPr="00D8046E">
        <w:t xml:space="preserve">effect the </w:t>
      </w:r>
      <w:r w:rsidRPr="00D8046E">
        <w:t>analytic and holistic</w:t>
      </w:r>
      <w:r w:rsidR="00FC02A0" w:rsidRPr="00D8046E">
        <w:t xml:space="preserve"> </w:t>
      </w:r>
      <w:r w:rsidR="001B4BC8" w:rsidRPr="00D8046E">
        <w:t>prime</w:t>
      </w:r>
      <w:r w:rsidR="003B681C" w:rsidRPr="00D8046E">
        <w:t>s had on participants</w:t>
      </w:r>
      <w:r w:rsidR="001B4BC8" w:rsidRPr="00D8046E">
        <w:t xml:space="preserve">. </w:t>
      </w:r>
      <w:r w:rsidR="00FC02A0" w:rsidRPr="00D8046E">
        <w:t>First</w:t>
      </w:r>
      <w:r w:rsidR="00076C0E" w:rsidRPr="00D8046E">
        <w:t>,</w:t>
      </w:r>
      <w:r w:rsidR="00FC02A0" w:rsidRPr="00D8046E">
        <w:t xml:space="preserve"> we compared analytically primed Canadians with those who received no prime. The prime by effect magnitude by cause magnitude interaction was not significant,</w:t>
      </w:r>
      <w:r w:rsidR="001B4BC8" w:rsidRPr="00D8046E">
        <w:t xml:space="preserve"> </w:t>
      </w:r>
      <w:r w:rsidR="001B4BC8" w:rsidRPr="00D8046E">
        <w:rPr>
          <w:i/>
        </w:rPr>
        <w:t>F</w:t>
      </w:r>
      <w:r w:rsidR="001B4BC8" w:rsidRPr="00D8046E">
        <w:t xml:space="preserve">(1, 86) = 1.36, </w:t>
      </w:r>
      <w:r w:rsidR="001B4BC8" w:rsidRPr="00D8046E">
        <w:rPr>
          <w:i/>
        </w:rPr>
        <w:t>p</w:t>
      </w:r>
      <w:r w:rsidR="001B4BC8" w:rsidRPr="00D8046E">
        <w:t xml:space="preserve"> =</w:t>
      </w:r>
      <w:r w:rsidR="00FC02A0" w:rsidRPr="00D8046E">
        <w:t xml:space="preserve"> .25, revealing that</w:t>
      </w:r>
      <w:r w:rsidR="001B4BC8" w:rsidRPr="00D8046E">
        <w:t xml:space="preserve"> Canadians primed to reason analytically did not differ from those who received no prime. </w:t>
      </w:r>
      <w:r w:rsidR="00FC02A0" w:rsidRPr="00D8046E">
        <w:t>Next w</w:t>
      </w:r>
      <w:r w:rsidR="003B681C" w:rsidRPr="00D8046E">
        <w:t xml:space="preserve">e </w:t>
      </w:r>
      <w:r w:rsidR="00FC02A0" w:rsidRPr="00D8046E">
        <w:t xml:space="preserve">compared </w:t>
      </w:r>
      <w:r w:rsidR="00776D12" w:rsidRPr="00D8046E">
        <w:t>holistically</w:t>
      </w:r>
      <w:r w:rsidR="00FC02A0" w:rsidRPr="00D8046E">
        <w:t xml:space="preserve"> primed Canadians with those who received no prime. The prime by effect magnitude by cause magnitude interaction was significant, </w:t>
      </w:r>
      <w:r w:rsidR="00FC02A0" w:rsidRPr="00D8046E">
        <w:rPr>
          <w:i/>
        </w:rPr>
        <w:t>F</w:t>
      </w:r>
      <w:r w:rsidR="00FC02A0" w:rsidRPr="00D8046E">
        <w:t xml:space="preserve">(1, </w:t>
      </w:r>
      <w:r w:rsidR="008B49CB" w:rsidRPr="00D8046E">
        <w:t>91</w:t>
      </w:r>
      <w:r w:rsidR="00FC02A0" w:rsidRPr="00D8046E">
        <w:t xml:space="preserve">) = </w:t>
      </w:r>
      <w:r w:rsidR="008B49CB" w:rsidRPr="00D8046E">
        <w:t>2</w:t>
      </w:r>
      <w:r w:rsidR="00FC02A0" w:rsidRPr="00D8046E">
        <w:t>1.3</w:t>
      </w:r>
      <w:r w:rsidR="008B49CB" w:rsidRPr="00D8046E">
        <w:t>9</w:t>
      </w:r>
      <w:r w:rsidR="00FC02A0" w:rsidRPr="00D8046E">
        <w:t xml:space="preserve">, </w:t>
      </w:r>
      <w:r w:rsidR="00FC02A0" w:rsidRPr="00D8046E">
        <w:rPr>
          <w:i/>
        </w:rPr>
        <w:t>p</w:t>
      </w:r>
      <w:r w:rsidR="00FC02A0" w:rsidRPr="00D8046E">
        <w:t xml:space="preserve"> </w:t>
      </w:r>
      <w:r w:rsidR="008B49CB" w:rsidRPr="00D8046E">
        <w:t>&lt; .001, η</w:t>
      </w:r>
      <w:r w:rsidR="008B49CB" w:rsidRPr="00D8046E">
        <w:rPr>
          <w:vertAlign w:val="subscript"/>
        </w:rPr>
        <w:t>p</w:t>
      </w:r>
      <w:r w:rsidR="008B49CB" w:rsidRPr="00D8046E">
        <w:rPr>
          <w:vertAlign w:val="superscript"/>
        </w:rPr>
        <w:t>2</w:t>
      </w:r>
      <w:r w:rsidR="008B49CB" w:rsidRPr="00D8046E">
        <w:t xml:space="preserve"> = .19</w:t>
      </w:r>
      <w:r w:rsidR="00FC02A0" w:rsidRPr="00D8046E">
        <w:t xml:space="preserve">, revealing that Canadians primed to reason </w:t>
      </w:r>
      <w:r w:rsidR="00A46489" w:rsidRPr="00D8046E">
        <w:t xml:space="preserve">holistically expected less cause-effect magnitude correspondence than </w:t>
      </w:r>
      <w:r w:rsidR="00076C0E" w:rsidRPr="00D8046E">
        <w:t xml:space="preserve">did </w:t>
      </w:r>
      <w:r w:rsidR="00A46489" w:rsidRPr="00D8046E">
        <w:t xml:space="preserve">Canadians </w:t>
      </w:r>
      <w:r w:rsidR="00FC02A0" w:rsidRPr="00D8046E">
        <w:t>who received no prime.</w:t>
      </w:r>
      <w:r w:rsidR="00CD186E" w:rsidRPr="00D8046E">
        <w:t xml:space="preserve"> Lastly, we compared holistically primed Canadians with Chinese </w:t>
      </w:r>
      <w:r w:rsidR="00215B14" w:rsidRPr="00D8046E">
        <w:t xml:space="preserve">from Study 1a </w:t>
      </w:r>
      <w:r w:rsidR="00CD186E" w:rsidRPr="00D8046E">
        <w:t xml:space="preserve">who received no prime. The culture by effect magnitude by cause magnitude interaction was not significant, </w:t>
      </w:r>
      <w:r w:rsidR="00CD186E" w:rsidRPr="00D8046E">
        <w:rPr>
          <w:i/>
        </w:rPr>
        <w:t>F</w:t>
      </w:r>
      <w:r w:rsidR="00CD186E" w:rsidRPr="00D8046E">
        <w:t xml:space="preserve">(1, 91) = 1.47, </w:t>
      </w:r>
      <w:r w:rsidR="00CD186E" w:rsidRPr="00D8046E">
        <w:rPr>
          <w:i/>
        </w:rPr>
        <w:t>p</w:t>
      </w:r>
      <w:r w:rsidR="00CD186E" w:rsidRPr="00D8046E">
        <w:t xml:space="preserve"> =.23, revealing that Canadians primed to reason holistically did not differ from Chinese who received no prime.</w:t>
      </w:r>
    </w:p>
    <w:p w:rsidR="00933334" w:rsidRPr="00D8046E" w:rsidRDefault="00933334" w:rsidP="001B4BC8">
      <w:pPr>
        <w:spacing w:line="480" w:lineRule="auto"/>
        <w:ind w:firstLine="720"/>
        <w:jc w:val="center"/>
      </w:pPr>
      <w:r w:rsidRPr="00D8046E">
        <w:t>Study 4b</w:t>
      </w:r>
    </w:p>
    <w:p w:rsidR="00933334" w:rsidRPr="00D8046E" w:rsidRDefault="00933334" w:rsidP="00933334">
      <w:pPr>
        <w:pStyle w:val="Heading1"/>
        <w:jc w:val="left"/>
        <w:rPr>
          <w:i/>
          <w:iCs/>
          <w:u w:val="none"/>
        </w:rPr>
      </w:pPr>
      <w:r w:rsidRPr="00D8046E">
        <w:rPr>
          <w:i/>
          <w:iCs/>
          <w:u w:val="none"/>
        </w:rPr>
        <w:t>Participants</w:t>
      </w:r>
    </w:p>
    <w:p w:rsidR="00933334" w:rsidRPr="00D8046E" w:rsidRDefault="00735CE5" w:rsidP="00933334">
      <w:pPr>
        <w:pStyle w:val="BodyText2"/>
        <w:spacing w:after="0" w:line="480" w:lineRule="auto"/>
        <w:ind w:left="0" w:firstLine="720"/>
      </w:pPr>
      <w:r w:rsidRPr="00D8046E">
        <w:rPr>
          <w:lang w:eastAsia="zh-CN"/>
        </w:rPr>
        <w:t>One hundred twenty-one</w:t>
      </w:r>
      <w:r w:rsidR="00933334" w:rsidRPr="00D8046E">
        <w:rPr>
          <w:lang w:eastAsia="zh-CN"/>
        </w:rPr>
        <w:t xml:space="preserve"> European-Canadians</w:t>
      </w:r>
      <w:r w:rsidR="00933334" w:rsidRPr="00D8046E">
        <w:t xml:space="preserve"> (</w:t>
      </w:r>
      <w:r w:rsidRPr="00D8046E">
        <w:t>75</w:t>
      </w:r>
      <w:r w:rsidR="00933334" w:rsidRPr="00D8046E">
        <w:t xml:space="preserve"> women) were recruited from Queen’s University. Participants received course credit or $5 for their participation. </w:t>
      </w:r>
    </w:p>
    <w:p w:rsidR="00076F8A" w:rsidRPr="00D8046E" w:rsidRDefault="00933334" w:rsidP="00933334">
      <w:pPr>
        <w:autoSpaceDE w:val="0"/>
        <w:autoSpaceDN w:val="0"/>
        <w:adjustRightInd w:val="0"/>
        <w:spacing w:line="480" w:lineRule="auto"/>
        <w:rPr>
          <w:i/>
        </w:rPr>
      </w:pPr>
      <w:r w:rsidRPr="00D8046E">
        <w:rPr>
          <w:i/>
        </w:rPr>
        <w:t>Materials and Procedure</w:t>
      </w:r>
    </w:p>
    <w:p w:rsidR="00933334" w:rsidRPr="00D8046E" w:rsidRDefault="00147A5C" w:rsidP="00933334">
      <w:pPr>
        <w:pStyle w:val="BodyText2"/>
        <w:spacing w:after="0" w:line="480" w:lineRule="auto"/>
        <w:ind w:left="0" w:firstLine="720"/>
      </w:pPr>
      <w:r w:rsidRPr="00D8046E">
        <w:t>The procedure was</w:t>
      </w:r>
      <w:r w:rsidR="00EA1ADF" w:rsidRPr="00D8046E">
        <w:t xml:space="preserve"> identical to Study 4a except that p</w:t>
      </w:r>
      <w:r w:rsidR="00933334" w:rsidRPr="00D8046E">
        <w:t xml:space="preserve">articipants read a </w:t>
      </w:r>
      <w:r w:rsidR="00076F8A" w:rsidRPr="00D8046E">
        <w:t>money scenario</w:t>
      </w:r>
      <w:r w:rsidRPr="00D8046E">
        <w:t xml:space="preserve"> after the prime</w:t>
      </w:r>
      <w:r w:rsidR="00EA1ADF" w:rsidRPr="00D8046E">
        <w:t xml:space="preserve">. </w:t>
      </w:r>
      <w:r w:rsidR="0003056B" w:rsidRPr="00D8046E">
        <w:t xml:space="preserve">We also included a control condition in which participants did not receive any prime. </w:t>
      </w:r>
      <w:r w:rsidR="00EA1ADF" w:rsidRPr="00D8046E">
        <w:t xml:space="preserve">The </w:t>
      </w:r>
      <w:r w:rsidR="0003056B" w:rsidRPr="00D8046E">
        <w:t xml:space="preserve">money </w:t>
      </w:r>
      <w:r w:rsidR="00EA1ADF" w:rsidRPr="00D8046E">
        <w:t>scenario</w:t>
      </w:r>
      <w:r w:rsidR="00076F8A" w:rsidRPr="00D8046E">
        <w:t xml:space="preserve"> </w:t>
      </w:r>
      <w:r w:rsidR="00933334" w:rsidRPr="00D8046E">
        <w:t>describ</w:t>
      </w:r>
      <w:r w:rsidR="00EA1ADF" w:rsidRPr="00D8046E">
        <w:t>ed</w:t>
      </w:r>
      <w:r w:rsidR="00076F8A" w:rsidRPr="00D8046E">
        <w:t xml:space="preserve"> a Canadian</w:t>
      </w:r>
      <w:r w:rsidR="00683AA4" w:rsidRPr="00D8046E">
        <w:t xml:space="preserve"> </w:t>
      </w:r>
      <w:r w:rsidR="003F1301" w:rsidRPr="00D8046E">
        <w:t>individual</w:t>
      </w:r>
      <w:r w:rsidR="00076F8A" w:rsidRPr="00D8046E">
        <w:t xml:space="preserve"> </w:t>
      </w:r>
      <w:r w:rsidR="00933334" w:rsidRPr="00D8046E">
        <w:t xml:space="preserve">who </w:t>
      </w:r>
      <w:r w:rsidR="00076F8A" w:rsidRPr="00D8046E">
        <w:t xml:space="preserve">had either accumulated greater than average savings (high magnitude </w:t>
      </w:r>
      <w:r w:rsidR="004C6321" w:rsidRPr="00D8046E">
        <w:t>effect</w:t>
      </w:r>
      <w:r w:rsidR="00076F8A" w:rsidRPr="00D8046E">
        <w:t>) or less</w:t>
      </w:r>
      <w:r w:rsidR="002413A3" w:rsidRPr="00D8046E">
        <w:t>er</w:t>
      </w:r>
      <w:r w:rsidR="00076F8A" w:rsidRPr="00D8046E">
        <w:t xml:space="preserve"> than average savings (low magnitude </w:t>
      </w:r>
      <w:r w:rsidR="004C6321" w:rsidRPr="00D8046E">
        <w:lastRenderedPageBreak/>
        <w:t>effect</w:t>
      </w:r>
      <w:r w:rsidR="00076F8A" w:rsidRPr="00D8046E">
        <w:t>).</w:t>
      </w:r>
      <w:r w:rsidR="00EA1ADF" w:rsidRPr="00D8046E">
        <w:t xml:space="preserve"> </w:t>
      </w:r>
      <w:r w:rsidRPr="00D8046E">
        <w:t>The scenario was followed by</w:t>
      </w:r>
      <w:r w:rsidR="00933334" w:rsidRPr="00D8046E">
        <w:t xml:space="preserve"> two potential causes</w:t>
      </w:r>
      <w:r w:rsidR="00EA1ADF" w:rsidRPr="00D8046E">
        <w:t>, one</w:t>
      </w:r>
      <w:r w:rsidR="00933334" w:rsidRPr="00D8046E">
        <w:t xml:space="preserve"> of high </w:t>
      </w:r>
      <w:r w:rsidR="00EA1ADF" w:rsidRPr="00D8046E">
        <w:t xml:space="preserve">magnitude (the </w:t>
      </w:r>
      <w:r w:rsidR="003F1301" w:rsidRPr="00D8046E">
        <w:t xml:space="preserve">individual </w:t>
      </w:r>
      <w:r w:rsidR="00EA1ADF" w:rsidRPr="00D8046E">
        <w:t>had a higher than average income) and one of</w:t>
      </w:r>
      <w:r w:rsidR="00933334" w:rsidRPr="00D8046E">
        <w:t xml:space="preserve"> low magnitude </w:t>
      </w:r>
      <w:r w:rsidR="00EA1ADF" w:rsidRPr="00D8046E">
        <w:t xml:space="preserve">(the </w:t>
      </w:r>
      <w:r w:rsidR="003F1301" w:rsidRPr="00D8046E">
        <w:t xml:space="preserve">individual </w:t>
      </w:r>
      <w:r w:rsidR="00EA1ADF" w:rsidRPr="00D8046E">
        <w:t xml:space="preserve">had a lower than average income). </w:t>
      </w:r>
      <w:r w:rsidR="00933334" w:rsidRPr="00D8046E">
        <w:t>In summary, Study 4</w:t>
      </w:r>
      <w:r w:rsidR="00EA1ADF" w:rsidRPr="00D8046E">
        <w:t>b</w:t>
      </w:r>
      <w:r w:rsidR="00933334" w:rsidRPr="00D8046E">
        <w:t xml:space="preserve"> </w:t>
      </w:r>
      <w:r w:rsidR="008D471D" w:rsidRPr="00D8046E">
        <w:t>had</w:t>
      </w:r>
      <w:r w:rsidR="00933334" w:rsidRPr="00D8046E">
        <w:t xml:space="preserve"> a </w:t>
      </w:r>
      <w:r w:rsidR="0003056B" w:rsidRPr="00D8046E">
        <w:t>3</w:t>
      </w:r>
      <w:r w:rsidR="00933334" w:rsidRPr="00D8046E">
        <w:t xml:space="preserve"> (prime: </w:t>
      </w:r>
      <w:r w:rsidR="00583DEA" w:rsidRPr="00D8046E">
        <w:t xml:space="preserve">none, </w:t>
      </w:r>
      <w:r w:rsidR="00933334" w:rsidRPr="00D8046E">
        <w:t>analytic</w:t>
      </w:r>
      <w:r w:rsidR="0003056B" w:rsidRPr="00D8046E">
        <w:t>,</w:t>
      </w:r>
      <w:r w:rsidR="00933334" w:rsidRPr="00D8046E">
        <w:t xml:space="preserve"> </w:t>
      </w:r>
      <w:r w:rsidR="00583DEA" w:rsidRPr="00D8046E">
        <w:t xml:space="preserve">or </w:t>
      </w:r>
      <w:r w:rsidR="00933334" w:rsidRPr="00D8046E">
        <w:t>holistic) by 2 (</w:t>
      </w:r>
      <w:r w:rsidR="004C6321" w:rsidRPr="00D8046E">
        <w:t>effect</w:t>
      </w:r>
      <w:r w:rsidR="00933334" w:rsidRPr="00D8046E">
        <w:t xml:space="preserve"> magnitude: high vs. low) by 2 (cause magnitude: high vs. low) design. The causal magnitude factor </w:t>
      </w:r>
      <w:r w:rsidR="00583DEA" w:rsidRPr="00D8046E">
        <w:t>varied</w:t>
      </w:r>
      <w:r w:rsidR="00933334" w:rsidRPr="00D8046E">
        <w:t xml:space="preserve"> within-participants</w:t>
      </w:r>
      <w:r w:rsidR="008D471D" w:rsidRPr="00D8046E">
        <w:t>,</w:t>
      </w:r>
      <w:r w:rsidR="00933334" w:rsidRPr="00D8046E">
        <w:t xml:space="preserve"> and the other factors </w:t>
      </w:r>
      <w:r w:rsidR="00583DEA" w:rsidRPr="00D8046E">
        <w:t>varied</w:t>
      </w:r>
      <w:r w:rsidR="00933334" w:rsidRPr="00D8046E">
        <w:t xml:space="preserve"> between-participants.</w:t>
      </w:r>
    </w:p>
    <w:p w:rsidR="003E26CB" w:rsidRPr="00D8046E" w:rsidRDefault="003E26CB" w:rsidP="003E26CB">
      <w:pPr>
        <w:spacing w:line="480" w:lineRule="auto"/>
        <w:jc w:val="center"/>
      </w:pPr>
      <w:r w:rsidRPr="00D8046E">
        <w:t>Results</w:t>
      </w:r>
    </w:p>
    <w:p w:rsidR="003E26CB" w:rsidRPr="00D8046E" w:rsidRDefault="003E26CB" w:rsidP="003E26CB">
      <w:pPr>
        <w:autoSpaceDE w:val="0"/>
        <w:autoSpaceDN w:val="0"/>
        <w:adjustRightInd w:val="0"/>
        <w:spacing w:line="480" w:lineRule="auto"/>
        <w:rPr>
          <w:i/>
        </w:rPr>
      </w:pPr>
      <w:r w:rsidRPr="00D8046E">
        <w:rPr>
          <w:i/>
        </w:rPr>
        <w:t xml:space="preserve">Test of </w:t>
      </w:r>
      <w:r w:rsidR="00BB08F0" w:rsidRPr="00D8046E">
        <w:rPr>
          <w:i/>
        </w:rPr>
        <w:t xml:space="preserve">Cause-Effect </w:t>
      </w:r>
      <w:r w:rsidRPr="00D8046E">
        <w:rPr>
          <w:i/>
        </w:rPr>
        <w:t>Magnitude Correspondence</w:t>
      </w:r>
    </w:p>
    <w:p w:rsidR="003E26CB" w:rsidRPr="00D8046E" w:rsidRDefault="004C6321" w:rsidP="003E26CB">
      <w:pPr>
        <w:pStyle w:val="BodyText2"/>
        <w:spacing w:after="0" w:line="480" w:lineRule="auto"/>
        <w:ind w:left="0" w:firstLine="720"/>
      </w:pPr>
      <w:r w:rsidRPr="00D8046E">
        <w:t>A</w:t>
      </w:r>
      <w:r w:rsidR="00032843" w:rsidRPr="00D8046E">
        <w:t xml:space="preserve"> </w:t>
      </w:r>
      <w:r w:rsidR="004E16C7" w:rsidRPr="00D8046E">
        <w:t>3 (prime</w:t>
      </w:r>
      <w:r w:rsidRPr="00D8046E">
        <w:t xml:space="preserve">) X 2 (effect magnitude) X 2 (cause magnitude) </w:t>
      </w:r>
      <w:r w:rsidR="0043484E">
        <w:t>mixed-model</w:t>
      </w:r>
      <w:r w:rsidRPr="00D8046E">
        <w:t xml:space="preserve"> analysis of variance (ANOVA) revealed a significant</w:t>
      </w:r>
      <w:r w:rsidRPr="00D8046E" w:rsidDel="00DE4F84">
        <w:t xml:space="preserve"> </w:t>
      </w:r>
      <w:r w:rsidRPr="00D8046E">
        <w:t xml:space="preserve">main effect of effect magnitude, </w:t>
      </w:r>
      <w:r w:rsidRPr="00D8046E">
        <w:rPr>
          <w:i/>
        </w:rPr>
        <w:t>F</w:t>
      </w:r>
      <w:r w:rsidRPr="00D8046E">
        <w:t xml:space="preserve">(1, </w:t>
      </w:r>
      <w:r w:rsidR="0097205D" w:rsidRPr="00D8046E">
        <w:t>115</w:t>
      </w:r>
      <w:r w:rsidRPr="00D8046E">
        <w:t xml:space="preserve">) = </w:t>
      </w:r>
      <w:r w:rsidR="0097205D" w:rsidRPr="00D8046E">
        <w:t>8.72</w:t>
      </w:r>
      <w:r w:rsidRPr="00D8046E">
        <w:t xml:space="preserve">, </w:t>
      </w:r>
      <w:r w:rsidRPr="00D8046E">
        <w:rPr>
          <w:i/>
        </w:rPr>
        <w:t>p</w:t>
      </w:r>
      <w:r w:rsidRPr="00D8046E">
        <w:t xml:space="preserve"> = .004, </w:t>
      </w:r>
      <w:r w:rsidR="006B4DF0" w:rsidRPr="00D8046E">
        <w:t>such that participants in the high magnitude effect condition gave higher likelihood ratings for the causes</w:t>
      </w:r>
      <w:r w:rsidR="00076C0E" w:rsidRPr="00D8046E">
        <w:t xml:space="preserve"> (</w:t>
      </w:r>
      <w:r w:rsidR="00076C0E" w:rsidRPr="00D8046E">
        <w:rPr>
          <w:i/>
        </w:rPr>
        <w:t>M</w:t>
      </w:r>
      <w:r w:rsidR="00076C0E" w:rsidRPr="00D8046E">
        <w:t xml:space="preserve"> = 5.52, </w:t>
      </w:r>
      <w:r w:rsidR="00076C0E" w:rsidRPr="00D8046E">
        <w:rPr>
          <w:i/>
        </w:rPr>
        <w:t>SD</w:t>
      </w:r>
      <w:r w:rsidR="00076C0E" w:rsidRPr="00D8046E">
        <w:t xml:space="preserve"> = .97)</w:t>
      </w:r>
      <w:r w:rsidR="006B4DF0" w:rsidRPr="00D8046E">
        <w:t>, in comparison with those in the low magnitude effect condition</w:t>
      </w:r>
      <w:r w:rsidR="00076C0E" w:rsidRPr="00D8046E">
        <w:t xml:space="preserve"> (</w:t>
      </w:r>
      <w:r w:rsidR="00076C0E" w:rsidRPr="00D8046E">
        <w:rPr>
          <w:i/>
        </w:rPr>
        <w:t>M</w:t>
      </w:r>
      <w:r w:rsidR="00076C0E" w:rsidRPr="00D8046E">
        <w:t xml:space="preserve"> = 4.77, </w:t>
      </w:r>
      <w:r w:rsidR="00076C0E" w:rsidRPr="00D8046E">
        <w:rPr>
          <w:i/>
        </w:rPr>
        <w:t>SD</w:t>
      </w:r>
      <w:r w:rsidR="00076C0E" w:rsidRPr="00D8046E">
        <w:t xml:space="preserve"> = .98)</w:t>
      </w:r>
      <w:r w:rsidRPr="00D8046E">
        <w:t xml:space="preserve">. </w:t>
      </w:r>
      <w:r w:rsidR="002F755C" w:rsidRPr="00D8046E">
        <w:t xml:space="preserve">The </w:t>
      </w:r>
      <w:r w:rsidR="00CA2421" w:rsidRPr="00D8046E">
        <w:t>effect</w:t>
      </w:r>
      <w:r w:rsidR="003E26CB" w:rsidRPr="00D8046E">
        <w:t xml:space="preserve"> </w:t>
      </w:r>
      <w:r w:rsidR="002F755C" w:rsidRPr="00D8046E">
        <w:t>m</w:t>
      </w:r>
      <w:r w:rsidR="003E26CB" w:rsidRPr="00D8046E">
        <w:t xml:space="preserve">agnitude by </w:t>
      </w:r>
      <w:r w:rsidR="002F755C" w:rsidRPr="00D8046E">
        <w:t>c</w:t>
      </w:r>
      <w:r w:rsidR="003E26CB" w:rsidRPr="00D8046E">
        <w:t xml:space="preserve">ause </w:t>
      </w:r>
      <w:r w:rsidR="002F755C" w:rsidRPr="00D8046E">
        <w:t>m</w:t>
      </w:r>
      <w:r w:rsidR="003E26CB" w:rsidRPr="00D8046E">
        <w:t xml:space="preserve">agnitude interaction was significant, </w:t>
      </w:r>
      <w:r w:rsidR="003E26CB" w:rsidRPr="00D8046E">
        <w:rPr>
          <w:i/>
        </w:rPr>
        <w:t>F</w:t>
      </w:r>
      <w:r w:rsidR="003E26CB" w:rsidRPr="00D8046E">
        <w:t xml:space="preserve">(1, </w:t>
      </w:r>
      <w:r w:rsidR="0097205D" w:rsidRPr="00D8046E">
        <w:t>115</w:t>
      </w:r>
      <w:r w:rsidR="003E26CB" w:rsidRPr="00D8046E">
        <w:t xml:space="preserve">) = </w:t>
      </w:r>
      <w:r w:rsidR="0097205D" w:rsidRPr="00D8046E">
        <w:t>239.66</w:t>
      </w:r>
      <w:r w:rsidR="003E26CB" w:rsidRPr="00D8046E">
        <w:t xml:space="preserve">, </w:t>
      </w:r>
      <w:r w:rsidR="003E26CB" w:rsidRPr="00D8046E">
        <w:rPr>
          <w:i/>
        </w:rPr>
        <w:t>p</w:t>
      </w:r>
      <w:r w:rsidR="003E26CB" w:rsidRPr="00D8046E">
        <w:t xml:space="preserve"> &lt; .001, η</w:t>
      </w:r>
      <w:r w:rsidR="003E26CB" w:rsidRPr="00D8046E">
        <w:rPr>
          <w:vertAlign w:val="subscript"/>
        </w:rPr>
        <w:t>p</w:t>
      </w:r>
      <w:r w:rsidR="003E26CB" w:rsidRPr="00D8046E">
        <w:rPr>
          <w:vertAlign w:val="superscript"/>
        </w:rPr>
        <w:t>2</w:t>
      </w:r>
      <w:r w:rsidR="003E26CB" w:rsidRPr="00D8046E">
        <w:t xml:space="preserve"> = .6</w:t>
      </w:r>
      <w:r w:rsidR="0097205D" w:rsidRPr="00D8046E">
        <w:t>8</w:t>
      </w:r>
      <w:r w:rsidR="003E26CB" w:rsidRPr="00D8046E">
        <w:t xml:space="preserve">. Overall, participants tended to associate </w:t>
      </w:r>
      <w:r w:rsidR="002F755C" w:rsidRPr="00D8046E">
        <w:t>high magnitude</w:t>
      </w:r>
      <w:r w:rsidR="003E26CB" w:rsidRPr="00D8046E">
        <w:t xml:space="preserve"> </w:t>
      </w:r>
      <w:r w:rsidR="00CA2421" w:rsidRPr="00D8046E">
        <w:t>effects</w:t>
      </w:r>
      <w:r w:rsidR="003E26CB" w:rsidRPr="00D8046E">
        <w:t xml:space="preserve"> with </w:t>
      </w:r>
      <w:r w:rsidR="002F755C" w:rsidRPr="00D8046E">
        <w:t>high magnitude</w:t>
      </w:r>
      <w:r w:rsidR="003E26CB" w:rsidRPr="00D8046E">
        <w:t xml:space="preserve"> causes (</w:t>
      </w:r>
      <w:r w:rsidR="003E26CB" w:rsidRPr="00D8046E">
        <w:rPr>
          <w:i/>
        </w:rPr>
        <w:t>M</w:t>
      </w:r>
      <w:r w:rsidR="003E26CB" w:rsidRPr="00D8046E">
        <w:t xml:space="preserve"> = 6.</w:t>
      </w:r>
      <w:r w:rsidR="0097205D" w:rsidRPr="00D8046E">
        <w:t>97</w:t>
      </w:r>
      <w:r w:rsidR="003E26CB" w:rsidRPr="00D8046E">
        <w:t xml:space="preserve">, </w:t>
      </w:r>
      <w:r w:rsidR="003E26CB" w:rsidRPr="00D8046E">
        <w:rPr>
          <w:i/>
        </w:rPr>
        <w:t>SD</w:t>
      </w:r>
      <w:r w:rsidR="003E26CB" w:rsidRPr="00D8046E">
        <w:t xml:space="preserve"> = 1.</w:t>
      </w:r>
      <w:r w:rsidR="0097205D" w:rsidRPr="00D8046E">
        <w:t>53</w:t>
      </w:r>
      <w:r w:rsidR="003E26CB" w:rsidRPr="00D8046E">
        <w:t xml:space="preserve">) more than </w:t>
      </w:r>
      <w:r w:rsidR="002F755C" w:rsidRPr="00D8046E">
        <w:t>low magnitude</w:t>
      </w:r>
      <w:r w:rsidR="003E26CB" w:rsidRPr="00D8046E">
        <w:t xml:space="preserve"> causes (</w:t>
      </w:r>
      <w:r w:rsidR="003E26CB" w:rsidRPr="00D8046E">
        <w:rPr>
          <w:i/>
        </w:rPr>
        <w:t>M</w:t>
      </w:r>
      <w:r w:rsidR="003E26CB" w:rsidRPr="00D8046E">
        <w:t xml:space="preserve"> = </w:t>
      </w:r>
      <w:r w:rsidR="0097205D" w:rsidRPr="00D8046E">
        <w:t>3.43</w:t>
      </w:r>
      <w:r w:rsidR="003E26CB" w:rsidRPr="00D8046E">
        <w:t xml:space="preserve">, </w:t>
      </w:r>
      <w:r w:rsidR="003E26CB" w:rsidRPr="00D8046E">
        <w:rPr>
          <w:i/>
        </w:rPr>
        <w:t>SD</w:t>
      </w:r>
      <w:r w:rsidR="003E26CB" w:rsidRPr="00D8046E">
        <w:t xml:space="preserve"> = </w:t>
      </w:r>
      <w:r w:rsidR="0097205D" w:rsidRPr="00D8046E">
        <w:t>2.01</w:t>
      </w:r>
      <w:r w:rsidR="003E26CB" w:rsidRPr="00D8046E">
        <w:t xml:space="preserve">), and </w:t>
      </w:r>
      <w:r w:rsidR="002F755C" w:rsidRPr="00D8046E">
        <w:t>low magnitude</w:t>
      </w:r>
      <w:r w:rsidR="003E26CB" w:rsidRPr="00D8046E">
        <w:t xml:space="preserve"> </w:t>
      </w:r>
      <w:r w:rsidR="00CA2421" w:rsidRPr="00D8046E">
        <w:t>effects</w:t>
      </w:r>
      <w:r w:rsidR="003E26CB" w:rsidRPr="00D8046E">
        <w:t xml:space="preserve"> with </w:t>
      </w:r>
      <w:r w:rsidR="002F755C" w:rsidRPr="00D8046E">
        <w:t>low magnitude</w:t>
      </w:r>
      <w:r w:rsidR="003E26CB" w:rsidRPr="00D8046E">
        <w:t xml:space="preserve"> causes (</w:t>
      </w:r>
      <w:r w:rsidR="003E26CB" w:rsidRPr="00D8046E">
        <w:rPr>
          <w:i/>
        </w:rPr>
        <w:t>M</w:t>
      </w:r>
      <w:r w:rsidR="003E26CB" w:rsidRPr="00D8046E">
        <w:t xml:space="preserve"> = 6.</w:t>
      </w:r>
      <w:r w:rsidR="0097205D" w:rsidRPr="00D8046E">
        <w:t>57</w:t>
      </w:r>
      <w:r w:rsidR="003E26CB" w:rsidRPr="00D8046E">
        <w:t xml:space="preserve">, </w:t>
      </w:r>
      <w:r w:rsidR="003E26CB" w:rsidRPr="00D8046E">
        <w:rPr>
          <w:i/>
        </w:rPr>
        <w:t>SD</w:t>
      </w:r>
      <w:r w:rsidR="003E26CB" w:rsidRPr="00D8046E">
        <w:t xml:space="preserve"> = 1.</w:t>
      </w:r>
      <w:r w:rsidR="0097205D" w:rsidRPr="00D8046E">
        <w:t>51</w:t>
      </w:r>
      <w:r w:rsidR="003E26CB" w:rsidRPr="00D8046E">
        <w:t xml:space="preserve">) more than </w:t>
      </w:r>
      <w:r w:rsidR="002F755C" w:rsidRPr="00D8046E">
        <w:t>high magnitude</w:t>
      </w:r>
      <w:r w:rsidR="003E26CB" w:rsidRPr="00D8046E">
        <w:t xml:space="preserve"> causes (</w:t>
      </w:r>
      <w:r w:rsidR="003E26CB" w:rsidRPr="00D8046E">
        <w:rPr>
          <w:i/>
        </w:rPr>
        <w:t>M</w:t>
      </w:r>
      <w:r w:rsidR="003E26CB" w:rsidRPr="00D8046E">
        <w:t xml:space="preserve"> = </w:t>
      </w:r>
      <w:r w:rsidR="006E245F" w:rsidRPr="00D8046E">
        <w:t>3.0</w:t>
      </w:r>
      <w:r w:rsidR="0097205D" w:rsidRPr="00D8046E">
        <w:t>7</w:t>
      </w:r>
      <w:r w:rsidR="003E26CB" w:rsidRPr="00D8046E">
        <w:t xml:space="preserve">, </w:t>
      </w:r>
      <w:r w:rsidR="003E26CB" w:rsidRPr="00D8046E">
        <w:rPr>
          <w:i/>
        </w:rPr>
        <w:t>SD</w:t>
      </w:r>
      <w:r w:rsidR="003E26CB" w:rsidRPr="00D8046E">
        <w:t xml:space="preserve"> = 1.</w:t>
      </w:r>
      <w:r w:rsidR="0097205D" w:rsidRPr="00D8046E">
        <w:t>64</w:t>
      </w:r>
      <w:r w:rsidR="003E26CB" w:rsidRPr="00D8046E">
        <w:t xml:space="preserve">). More </w:t>
      </w:r>
      <w:r w:rsidR="006E245F" w:rsidRPr="00D8046E">
        <w:t>importantly, the p</w:t>
      </w:r>
      <w:r w:rsidR="003E26CB" w:rsidRPr="00D8046E">
        <w:t xml:space="preserve">rime by </w:t>
      </w:r>
      <w:r w:rsidR="00CA2421" w:rsidRPr="00D8046E">
        <w:t>effect</w:t>
      </w:r>
      <w:r w:rsidR="003E26CB" w:rsidRPr="00D8046E">
        <w:t xml:space="preserve"> </w:t>
      </w:r>
      <w:r w:rsidR="006E245F" w:rsidRPr="00D8046E">
        <w:t>m</w:t>
      </w:r>
      <w:r w:rsidR="003E26CB" w:rsidRPr="00D8046E">
        <w:t xml:space="preserve">agnitude by </w:t>
      </w:r>
      <w:r w:rsidR="006E245F" w:rsidRPr="00D8046E">
        <w:t>c</w:t>
      </w:r>
      <w:r w:rsidR="003E26CB" w:rsidRPr="00D8046E">
        <w:t xml:space="preserve">ause </w:t>
      </w:r>
      <w:r w:rsidR="006E245F" w:rsidRPr="00D8046E">
        <w:t>m</w:t>
      </w:r>
      <w:r w:rsidR="003E26CB" w:rsidRPr="00D8046E">
        <w:t xml:space="preserve">agnitude interaction was significant, </w:t>
      </w:r>
      <w:r w:rsidR="003E26CB" w:rsidRPr="00D8046E">
        <w:rPr>
          <w:i/>
        </w:rPr>
        <w:t>F</w:t>
      </w:r>
      <w:r w:rsidR="003E26CB" w:rsidRPr="00D8046E">
        <w:t>(</w:t>
      </w:r>
      <w:r w:rsidR="00AF531C" w:rsidRPr="00D8046E">
        <w:t>2, 115</w:t>
      </w:r>
      <w:r w:rsidR="003E26CB" w:rsidRPr="00D8046E">
        <w:t xml:space="preserve">) = </w:t>
      </w:r>
      <w:r w:rsidR="00AF531C" w:rsidRPr="00D8046E">
        <w:t>6.81</w:t>
      </w:r>
      <w:r w:rsidR="003E26CB" w:rsidRPr="00D8046E">
        <w:t xml:space="preserve">, </w:t>
      </w:r>
      <w:r w:rsidR="003E26CB" w:rsidRPr="00D8046E">
        <w:rPr>
          <w:i/>
        </w:rPr>
        <w:t>p</w:t>
      </w:r>
      <w:r w:rsidR="003E26CB" w:rsidRPr="00D8046E">
        <w:t xml:space="preserve"> </w:t>
      </w:r>
      <w:r w:rsidR="006E245F" w:rsidRPr="00D8046E">
        <w:t>=</w:t>
      </w:r>
      <w:r w:rsidR="003E26CB" w:rsidRPr="00D8046E">
        <w:t xml:space="preserve"> .00</w:t>
      </w:r>
      <w:r w:rsidR="006E245F" w:rsidRPr="00D8046E">
        <w:t>2</w:t>
      </w:r>
      <w:r w:rsidR="003E26CB" w:rsidRPr="00D8046E">
        <w:t>, η</w:t>
      </w:r>
      <w:r w:rsidR="003E26CB" w:rsidRPr="00D8046E">
        <w:rPr>
          <w:vertAlign w:val="subscript"/>
        </w:rPr>
        <w:t>p</w:t>
      </w:r>
      <w:r w:rsidR="003E26CB" w:rsidRPr="00D8046E">
        <w:rPr>
          <w:vertAlign w:val="superscript"/>
        </w:rPr>
        <w:t>2</w:t>
      </w:r>
      <w:r w:rsidR="003E26CB" w:rsidRPr="00D8046E">
        <w:t xml:space="preserve"> = .1</w:t>
      </w:r>
      <w:r w:rsidR="00AF531C" w:rsidRPr="00D8046E">
        <w:t>1</w:t>
      </w:r>
      <w:r w:rsidR="003E26CB" w:rsidRPr="00D8046E">
        <w:t xml:space="preserve">. </w:t>
      </w:r>
      <w:r w:rsidR="00AF531C" w:rsidRPr="00D8046E">
        <w:t xml:space="preserve">We conducted follow-up 2 (prime) by 2 (effect magnitude) X 2 (cause magnitude) </w:t>
      </w:r>
      <w:r w:rsidR="0043484E">
        <w:t>mixed-model</w:t>
      </w:r>
      <w:r w:rsidR="00AF531C" w:rsidRPr="00D8046E">
        <w:t xml:space="preserve"> analyses of variance (ANOVA) to determine more specifically the effect</w:t>
      </w:r>
      <w:r w:rsidR="001A4CD2" w:rsidRPr="00D8046E">
        <w:t>s</w:t>
      </w:r>
      <w:r w:rsidR="00AF531C" w:rsidRPr="00D8046E">
        <w:t xml:space="preserve"> of the primes. A</w:t>
      </w:r>
      <w:r w:rsidR="003E26CB" w:rsidRPr="00D8046E">
        <w:t xml:space="preserve">s hypothesized, </w:t>
      </w:r>
      <w:r w:rsidR="00147A5C" w:rsidRPr="00D8046E">
        <w:t xml:space="preserve">Canadians primed to reason </w:t>
      </w:r>
      <w:r w:rsidR="00C3599D" w:rsidRPr="00D8046E">
        <w:t xml:space="preserve">analytically </w:t>
      </w:r>
      <w:r w:rsidR="00AC3A0F" w:rsidRPr="00D8046E">
        <w:t>exhibit</w:t>
      </w:r>
      <w:r w:rsidR="0007423D" w:rsidRPr="00D8046E">
        <w:t>ed</w:t>
      </w:r>
      <w:r w:rsidR="00AC3A0F" w:rsidRPr="00D8046E">
        <w:t xml:space="preserve"> a stronger cause-effect magnitude correspondence</w:t>
      </w:r>
      <w:r w:rsidR="003E26CB" w:rsidRPr="00D8046E">
        <w:t xml:space="preserve"> than </w:t>
      </w:r>
      <w:r w:rsidR="00147A5C" w:rsidRPr="00D8046E">
        <w:t>Canadians primed to reason</w:t>
      </w:r>
      <w:r w:rsidR="00C3599D" w:rsidRPr="00D8046E">
        <w:t xml:space="preserve"> holistically</w:t>
      </w:r>
      <w:r w:rsidR="00AF531C" w:rsidRPr="00D8046E">
        <w:t xml:space="preserve">, </w:t>
      </w:r>
      <w:r w:rsidR="00AF531C" w:rsidRPr="00D8046E">
        <w:rPr>
          <w:i/>
        </w:rPr>
        <w:t>F</w:t>
      </w:r>
      <w:r w:rsidR="00AF531C" w:rsidRPr="00D8046E">
        <w:t xml:space="preserve">(1, 61) = 10.16, </w:t>
      </w:r>
      <w:r w:rsidR="00AF531C" w:rsidRPr="00D8046E">
        <w:rPr>
          <w:i/>
        </w:rPr>
        <w:t>p</w:t>
      </w:r>
      <w:r w:rsidR="00AF531C" w:rsidRPr="00D8046E">
        <w:t xml:space="preserve"> = .002, η</w:t>
      </w:r>
      <w:r w:rsidR="00AF531C" w:rsidRPr="00D8046E">
        <w:rPr>
          <w:vertAlign w:val="subscript"/>
        </w:rPr>
        <w:t>p</w:t>
      </w:r>
      <w:r w:rsidR="00AF531C" w:rsidRPr="00D8046E">
        <w:rPr>
          <w:vertAlign w:val="superscript"/>
        </w:rPr>
        <w:t>2</w:t>
      </w:r>
      <w:r w:rsidR="00AF531C" w:rsidRPr="00D8046E">
        <w:t xml:space="preserve"> = .14. </w:t>
      </w:r>
      <w:r w:rsidR="00C3599D" w:rsidRPr="00D8046E">
        <w:t xml:space="preserve">Canadians primed to reason analytically did not differ in the tendency to make this association compared with Canadians who received no prime, </w:t>
      </w:r>
      <w:r w:rsidR="00C3599D" w:rsidRPr="00D8046E">
        <w:rPr>
          <w:i/>
        </w:rPr>
        <w:t>F</w:t>
      </w:r>
      <w:r w:rsidR="00C3599D" w:rsidRPr="00D8046E">
        <w:t xml:space="preserve">(1, 87) = .22, </w:t>
      </w:r>
      <w:r w:rsidR="00C3599D" w:rsidRPr="00D8046E">
        <w:rPr>
          <w:i/>
        </w:rPr>
        <w:t>p</w:t>
      </w:r>
      <w:r w:rsidR="00C3599D" w:rsidRPr="00D8046E">
        <w:t xml:space="preserve"> = .64. </w:t>
      </w:r>
      <w:r w:rsidR="00C3599D" w:rsidRPr="00D8046E">
        <w:lastRenderedPageBreak/>
        <w:t xml:space="preserve">Lastly, </w:t>
      </w:r>
      <w:r w:rsidR="00AF531C" w:rsidRPr="00D8046E">
        <w:t xml:space="preserve">Canadians primed to reason holistically </w:t>
      </w:r>
      <w:r w:rsidR="00AC3A0F" w:rsidRPr="00D8046E">
        <w:t xml:space="preserve">tended to exhibit a weaker cause-effect magnitude correspondence </w:t>
      </w:r>
      <w:r w:rsidR="00AF531C" w:rsidRPr="00D8046E">
        <w:t xml:space="preserve">than </w:t>
      </w:r>
      <w:r w:rsidR="0007423D" w:rsidRPr="00D8046E">
        <w:t xml:space="preserve">were </w:t>
      </w:r>
      <w:r w:rsidR="00AF531C" w:rsidRPr="00D8046E">
        <w:t xml:space="preserve">Canadians who received no prime, </w:t>
      </w:r>
      <w:r w:rsidR="00AF531C" w:rsidRPr="00D8046E">
        <w:rPr>
          <w:i/>
        </w:rPr>
        <w:t>F</w:t>
      </w:r>
      <w:r w:rsidR="00AF531C" w:rsidRPr="00D8046E">
        <w:t xml:space="preserve">(1, 82) = 10.26, </w:t>
      </w:r>
      <w:r w:rsidR="00AF531C" w:rsidRPr="00D8046E">
        <w:rPr>
          <w:i/>
        </w:rPr>
        <w:t>p</w:t>
      </w:r>
      <w:r w:rsidR="00AF531C" w:rsidRPr="00D8046E">
        <w:t xml:space="preserve"> = .002, η</w:t>
      </w:r>
      <w:r w:rsidR="00AF531C" w:rsidRPr="00D8046E">
        <w:rPr>
          <w:vertAlign w:val="subscript"/>
        </w:rPr>
        <w:t>p</w:t>
      </w:r>
      <w:r w:rsidR="00AF531C" w:rsidRPr="00D8046E">
        <w:rPr>
          <w:vertAlign w:val="superscript"/>
        </w:rPr>
        <w:t>2</w:t>
      </w:r>
      <w:r w:rsidR="00AF531C" w:rsidRPr="00D8046E">
        <w:t xml:space="preserve"> = .11 </w:t>
      </w:r>
      <w:r w:rsidR="003E26CB" w:rsidRPr="00D8046E">
        <w:t>(</w:t>
      </w:r>
      <w:r w:rsidR="00964470" w:rsidRPr="00D8046E">
        <w:t>s</w:t>
      </w:r>
      <w:r w:rsidR="003E26CB" w:rsidRPr="00D8046E">
        <w:t xml:space="preserve">ee Figure </w:t>
      </w:r>
      <w:r w:rsidR="00466B2B" w:rsidRPr="00D8046E">
        <w:t>5</w:t>
      </w:r>
      <w:r w:rsidR="003E26CB" w:rsidRPr="00D8046E">
        <w:t>).</w:t>
      </w:r>
    </w:p>
    <w:p w:rsidR="00181FE4" w:rsidRPr="00D8046E" w:rsidRDefault="00181FE4" w:rsidP="00E53C7C">
      <w:pPr>
        <w:spacing w:line="480" w:lineRule="auto"/>
        <w:ind w:firstLine="720"/>
      </w:pPr>
      <w:r>
        <w:t>Analytically-primed Canadians did not differ from those receiving no prime, and thus we collapsed the two groups together</w:t>
      </w:r>
      <w:r w:rsidR="0020002E">
        <w:t>, referred to them as analytic-Canadians,</w:t>
      </w:r>
      <w:r>
        <w:t xml:space="preserve"> and compared them with holistically-primed Canadians. </w:t>
      </w:r>
      <w:r w:rsidRPr="00042D29">
        <w:t xml:space="preserve">Follow-up </w:t>
      </w:r>
      <w:r>
        <w:t xml:space="preserve">independent-sample </w:t>
      </w:r>
      <w:r w:rsidRPr="00C37B99">
        <w:rPr>
          <w:i/>
        </w:rPr>
        <w:t>t</w:t>
      </w:r>
      <w:r>
        <w:t xml:space="preserve"> </w:t>
      </w:r>
      <w:r w:rsidRPr="00042D29">
        <w:t>tests on the interaction</w:t>
      </w:r>
      <w:r>
        <w:t xml:space="preserve"> indicated that</w:t>
      </w:r>
      <w:r w:rsidR="00E53C7C">
        <w:t>,</w:t>
      </w:r>
      <w:r>
        <w:t xml:space="preserve"> </w:t>
      </w:r>
      <w:r w:rsidR="00E53C7C">
        <w:t>to account f</w:t>
      </w:r>
      <w:r>
        <w:t xml:space="preserve">or the high magnitude event, </w:t>
      </w:r>
      <w:r w:rsidR="0020002E">
        <w:t>analytic-</w:t>
      </w:r>
      <w:r>
        <w:t>Canadians rated the high magnitude cause as more likely</w:t>
      </w:r>
      <w:r w:rsidR="00E53C7C">
        <w:t xml:space="preserve"> </w:t>
      </w:r>
      <w:r>
        <w:t>than did holistically-primed Canadians and rated the low magnitude cause as less likely than did holistically-primed Canadians</w:t>
      </w:r>
      <w:r w:rsidR="00E53C7C">
        <w:t>,</w:t>
      </w:r>
      <w:r>
        <w:t xml:space="preserve"> </w:t>
      </w:r>
      <w:r w:rsidR="00E53C7C" w:rsidRPr="006E7AA1">
        <w:rPr>
          <w:i/>
        </w:rPr>
        <w:t>t</w:t>
      </w:r>
      <w:r w:rsidR="00E53C7C">
        <w:t xml:space="preserve">s &gt; 2.10, </w:t>
      </w:r>
      <w:r w:rsidR="00E53C7C" w:rsidRPr="006E7AA1">
        <w:rPr>
          <w:i/>
        </w:rPr>
        <w:t>p</w:t>
      </w:r>
      <w:r w:rsidR="00E53C7C">
        <w:t>s &lt; .04.</w:t>
      </w:r>
      <w:r>
        <w:t xml:space="preserve"> For the low magnitude event, </w:t>
      </w:r>
      <w:r w:rsidR="0020002E">
        <w:t>analytic-Canadians</w:t>
      </w:r>
      <w:r>
        <w:t xml:space="preserve"> rated the high magnitude cause as less likely (</w:t>
      </w:r>
      <w:r w:rsidRPr="006E7AA1">
        <w:rPr>
          <w:i/>
        </w:rPr>
        <w:t>M</w:t>
      </w:r>
      <w:r>
        <w:t xml:space="preserve"> = </w:t>
      </w:r>
      <w:r w:rsidR="0020002E">
        <w:t>2.78</w:t>
      </w:r>
      <w:r>
        <w:t xml:space="preserve">, </w:t>
      </w:r>
      <w:r w:rsidRPr="006E7AA1">
        <w:rPr>
          <w:i/>
        </w:rPr>
        <w:t>SD</w:t>
      </w:r>
      <w:r>
        <w:t xml:space="preserve"> = 1.</w:t>
      </w:r>
      <w:r w:rsidR="0020002E">
        <w:t>16</w:t>
      </w:r>
      <w:r>
        <w:t>) than did holistically-primed Canadians (</w:t>
      </w:r>
      <w:r w:rsidRPr="006E7AA1">
        <w:rPr>
          <w:i/>
        </w:rPr>
        <w:t>M</w:t>
      </w:r>
      <w:r>
        <w:t xml:space="preserve"> = </w:t>
      </w:r>
      <w:r w:rsidR="0020002E">
        <w:t>3.50</w:t>
      </w:r>
      <w:r>
        <w:t xml:space="preserve">, </w:t>
      </w:r>
      <w:r w:rsidRPr="006E7AA1">
        <w:rPr>
          <w:i/>
        </w:rPr>
        <w:t>SD</w:t>
      </w:r>
      <w:r>
        <w:t xml:space="preserve"> = 1.</w:t>
      </w:r>
      <w:r w:rsidR="0020002E">
        <w:t>28</w:t>
      </w:r>
      <w:r>
        <w:t xml:space="preserve">), </w:t>
      </w:r>
      <w:r w:rsidR="00E53C7C" w:rsidRPr="00E53C7C">
        <w:rPr>
          <w:i/>
        </w:rPr>
        <w:t>t</w:t>
      </w:r>
      <w:r w:rsidR="00E53C7C">
        <w:t xml:space="preserve"> = 1.96, </w:t>
      </w:r>
      <w:r w:rsidR="00E53C7C" w:rsidRPr="00E53C7C">
        <w:rPr>
          <w:i/>
        </w:rPr>
        <w:t>p</w:t>
      </w:r>
      <w:r w:rsidR="00E53C7C">
        <w:t xml:space="preserve"> &lt; .05, </w:t>
      </w:r>
      <w:r>
        <w:t xml:space="preserve">and rated the low magnitude cause as </w:t>
      </w:r>
      <w:r w:rsidR="00E53C7C">
        <w:t xml:space="preserve">marginally </w:t>
      </w:r>
      <w:r>
        <w:t>more likely than did holistically-primed Canadians</w:t>
      </w:r>
      <w:r w:rsidR="00E53C7C">
        <w:t xml:space="preserve">, </w:t>
      </w:r>
      <w:r w:rsidR="00E53C7C" w:rsidRPr="006E7AA1">
        <w:rPr>
          <w:i/>
        </w:rPr>
        <w:t>t</w:t>
      </w:r>
      <w:r w:rsidR="00E53C7C">
        <w:rPr>
          <w:i/>
        </w:rPr>
        <w:t xml:space="preserve"> = </w:t>
      </w:r>
      <w:r w:rsidR="00E53C7C">
        <w:t xml:space="preserve">1.91, </w:t>
      </w:r>
      <w:r w:rsidR="00E53C7C" w:rsidRPr="006E7AA1">
        <w:rPr>
          <w:i/>
        </w:rPr>
        <w:t>p</w:t>
      </w:r>
      <w:r w:rsidR="00E53C7C">
        <w:t xml:space="preserve"> = .07.</w:t>
      </w:r>
    </w:p>
    <w:p w:rsidR="000708CE" w:rsidRPr="00D8046E" w:rsidRDefault="002D6B3D" w:rsidP="000708CE">
      <w:pPr>
        <w:spacing w:line="480" w:lineRule="auto"/>
        <w:ind w:firstLine="720"/>
      </w:pPr>
      <w:r>
        <w:t>In summary, f</w:t>
      </w:r>
      <w:r w:rsidR="000708CE" w:rsidRPr="00D8046E">
        <w:t>or both the disease (Study 4a) and the negotiation (Study 4b) scenarios, analytically primed Canadians associate</w:t>
      </w:r>
      <w:r w:rsidR="0007423D" w:rsidRPr="00D8046E">
        <w:t>d</w:t>
      </w:r>
      <w:r w:rsidR="000708CE" w:rsidRPr="00D8046E">
        <w:t xml:space="preserve"> high magnitude effects with high magnitude causes more than low magnitude causes</w:t>
      </w:r>
      <w:r w:rsidR="00313055" w:rsidRPr="00D8046E">
        <w:t>,</w:t>
      </w:r>
      <w:r w:rsidR="000708CE" w:rsidRPr="00D8046E">
        <w:t xml:space="preserve"> and low magnitude effects with low magnitude causes more than high magnitude causes. And in both scenarios, holistically primed Canadians exhibited this pattern to a significantly lesser degree.</w:t>
      </w:r>
      <w:r w:rsidR="00715D5B" w:rsidRPr="00D8046E">
        <w:t xml:space="preserve"> Additionally, comparing participants from Study 4</w:t>
      </w:r>
      <w:r w:rsidR="007916CF" w:rsidRPr="00D8046E">
        <w:t>a</w:t>
      </w:r>
      <w:r w:rsidR="00715D5B" w:rsidRPr="00D8046E">
        <w:t xml:space="preserve"> with participants from </w:t>
      </w:r>
      <w:r w:rsidR="007916CF" w:rsidRPr="00D8046E">
        <w:t>Study 1a</w:t>
      </w:r>
      <w:r w:rsidR="00715D5B" w:rsidRPr="00D8046E">
        <w:t xml:space="preserve"> who completed the same materials without any prime revealed that the analytic prime had no effect</w:t>
      </w:r>
      <w:r w:rsidR="006E2E36" w:rsidRPr="00D8046E">
        <w:t xml:space="preserve">. </w:t>
      </w:r>
      <w:r w:rsidR="0007423D" w:rsidRPr="00D8046E">
        <w:t xml:space="preserve">Instead, </w:t>
      </w:r>
      <w:r w:rsidR="00715D5B" w:rsidRPr="00D8046E">
        <w:t xml:space="preserve">the holistic prime </w:t>
      </w:r>
      <w:r w:rsidR="0007423D" w:rsidRPr="00D8046E">
        <w:t xml:space="preserve">was the one </w:t>
      </w:r>
      <w:r w:rsidR="006E2E36" w:rsidRPr="00D8046E">
        <w:t xml:space="preserve">that caused Canadians to expect less cause-effect magnitude correspondence. </w:t>
      </w:r>
      <w:r w:rsidR="007916CF" w:rsidRPr="00D8046E">
        <w:t xml:space="preserve">This pattern of results was replicated in Study 4b by comparing the participants who received either the analytic prime or the holistic prime with participants in a control condition who received no prime. </w:t>
      </w:r>
      <w:r w:rsidR="006E2E36" w:rsidRPr="00D8046E">
        <w:t xml:space="preserve">Lastly, comparing </w:t>
      </w:r>
      <w:r w:rsidR="006E2E36" w:rsidRPr="00D8046E">
        <w:lastRenderedPageBreak/>
        <w:t xml:space="preserve">holistically primed Canadians </w:t>
      </w:r>
      <w:r w:rsidR="007916CF" w:rsidRPr="00D8046E">
        <w:t xml:space="preserve">in Study 4a </w:t>
      </w:r>
      <w:r w:rsidR="006E2E36" w:rsidRPr="00D8046E">
        <w:t xml:space="preserve">with Chinese </w:t>
      </w:r>
      <w:r w:rsidR="007916CF" w:rsidRPr="00D8046E">
        <w:t xml:space="preserve">in Study 1a </w:t>
      </w:r>
      <w:r w:rsidR="00C71B3C" w:rsidRPr="00D8046E">
        <w:t xml:space="preserve">who received no prime </w:t>
      </w:r>
      <w:r w:rsidR="006E2E36" w:rsidRPr="00D8046E">
        <w:t xml:space="preserve">revealed no </w:t>
      </w:r>
      <w:r w:rsidR="00DF0E98" w:rsidRPr="00D8046E">
        <w:t xml:space="preserve">cultural </w:t>
      </w:r>
      <w:r w:rsidR="006E2E36" w:rsidRPr="00D8046E">
        <w:t>differences in the tendency to expect a cause-effect magnitude correspondence.</w:t>
      </w:r>
    </w:p>
    <w:p w:rsidR="00721E8A" w:rsidRPr="00D8046E" w:rsidRDefault="00205D6D" w:rsidP="0073413E">
      <w:pPr>
        <w:autoSpaceDE w:val="0"/>
        <w:autoSpaceDN w:val="0"/>
        <w:adjustRightInd w:val="0"/>
        <w:spacing w:line="480" w:lineRule="auto"/>
        <w:ind w:firstLine="720"/>
        <w:jc w:val="center"/>
      </w:pPr>
      <w:r w:rsidRPr="00D8046E">
        <w:t xml:space="preserve">General </w:t>
      </w:r>
      <w:r w:rsidR="00721E8A" w:rsidRPr="00D8046E">
        <w:t>Discussion</w:t>
      </w:r>
    </w:p>
    <w:p w:rsidR="00BF5B17" w:rsidRPr="00D8046E" w:rsidRDefault="005C3F3F" w:rsidP="00A4328A">
      <w:pPr>
        <w:spacing w:line="480" w:lineRule="auto"/>
        <w:ind w:firstLine="720"/>
      </w:pPr>
      <w:r w:rsidRPr="00D8046E">
        <w:t xml:space="preserve">Across </w:t>
      </w:r>
      <w:r w:rsidR="00F45041" w:rsidRPr="00D8046E">
        <w:t>three</w:t>
      </w:r>
      <w:r w:rsidRPr="00D8046E">
        <w:t xml:space="preserve"> studies, Canadians expect</w:t>
      </w:r>
      <w:r w:rsidR="00CE53DC" w:rsidRPr="00D8046E">
        <w:t>ed</w:t>
      </w:r>
      <w:r w:rsidRPr="00D8046E">
        <w:t xml:space="preserve"> a </w:t>
      </w:r>
      <w:r w:rsidR="00CE53DC" w:rsidRPr="00D8046E">
        <w:t xml:space="preserve">greater </w:t>
      </w:r>
      <w:r w:rsidRPr="00D8046E">
        <w:t xml:space="preserve">correspondence </w:t>
      </w:r>
      <w:r w:rsidR="00A4328A" w:rsidRPr="00D8046E">
        <w:t xml:space="preserve">in magnitude </w:t>
      </w:r>
      <w:r w:rsidRPr="00D8046E">
        <w:t xml:space="preserve">between </w:t>
      </w:r>
      <w:r w:rsidR="00F84193" w:rsidRPr="00D8046E">
        <w:t>effects</w:t>
      </w:r>
      <w:r w:rsidRPr="00D8046E">
        <w:t xml:space="preserve"> and their causes </w:t>
      </w:r>
      <w:r w:rsidR="00CE53DC" w:rsidRPr="00D8046E">
        <w:t>than did Chinese</w:t>
      </w:r>
      <w:r w:rsidRPr="00D8046E">
        <w:t xml:space="preserve">. </w:t>
      </w:r>
      <w:r w:rsidR="00CE53DC" w:rsidRPr="00D8046E">
        <w:t xml:space="preserve">In </w:t>
      </w:r>
      <w:r w:rsidR="0050401F" w:rsidRPr="00D8046E">
        <w:t>a fourth study</w:t>
      </w:r>
      <w:r w:rsidR="00CE53DC" w:rsidRPr="00D8046E">
        <w:t xml:space="preserve">, </w:t>
      </w:r>
      <w:r w:rsidR="00BF5B17" w:rsidRPr="00D8046E">
        <w:t xml:space="preserve">both </w:t>
      </w:r>
      <w:r w:rsidR="00CE79AC" w:rsidRPr="00D8046E">
        <w:t xml:space="preserve">analytically primed Canadians </w:t>
      </w:r>
      <w:r w:rsidR="00BF5B17" w:rsidRPr="00D8046E">
        <w:t xml:space="preserve">and Canadians who received no prime </w:t>
      </w:r>
      <w:r w:rsidR="00CE79AC" w:rsidRPr="00D8046E">
        <w:t>were more likely to expect the correspondence in magnitude between cause and effect than were holistically primed Canadians</w:t>
      </w:r>
      <w:r w:rsidR="00CB125A" w:rsidRPr="00D8046E">
        <w:t xml:space="preserve">, whereas the holistically primed Canadians showed similar responses </w:t>
      </w:r>
      <w:r w:rsidR="00683AA4" w:rsidRPr="00D8046E">
        <w:t>to</w:t>
      </w:r>
      <w:r w:rsidR="00CB125A" w:rsidRPr="00D8046E">
        <w:t xml:space="preserve"> Chinese participants</w:t>
      </w:r>
      <w:r w:rsidR="00A66DA1" w:rsidRPr="00D8046E">
        <w:t>.</w:t>
      </w:r>
      <w:r w:rsidR="00757377" w:rsidRPr="00D8046E">
        <w:t xml:space="preserve"> </w:t>
      </w:r>
      <w:r w:rsidR="00E07211" w:rsidRPr="00D8046E">
        <w:t>Th</w:t>
      </w:r>
      <w:r w:rsidR="00BF5B17" w:rsidRPr="00D8046E">
        <w:t>e results</w:t>
      </w:r>
      <w:r w:rsidR="00E07211" w:rsidRPr="00D8046E">
        <w:t xml:space="preserve"> not only demonstrate</w:t>
      </w:r>
      <w:r w:rsidR="009F0B71" w:rsidRPr="00D8046E">
        <w:t>d</w:t>
      </w:r>
      <w:r w:rsidR="00E07211" w:rsidRPr="00D8046E">
        <w:t xml:space="preserve"> </w:t>
      </w:r>
      <w:r w:rsidR="009F0B71" w:rsidRPr="00D8046E">
        <w:t xml:space="preserve">cultural differences in </w:t>
      </w:r>
      <w:r w:rsidR="00E07211" w:rsidRPr="00D8046E">
        <w:t xml:space="preserve">the </w:t>
      </w:r>
      <w:r w:rsidR="00EF5781" w:rsidRPr="00D8046E">
        <w:t>extent to which people</w:t>
      </w:r>
      <w:r w:rsidR="00E07211" w:rsidRPr="00D8046E">
        <w:t xml:space="preserve"> expect a correspondence in magnitude </w:t>
      </w:r>
      <w:r w:rsidR="00BF5B17" w:rsidRPr="00D8046E">
        <w:t>between cause and effect</w:t>
      </w:r>
      <w:r w:rsidR="009F0B71" w:rsidRPr="00D8046E">
        <w:t xml:space="preserve">, but </w:t>
      </w:r>
      <w:r w:rsidR="0007423D" w:rsidRPr="00D8046E">
        <w:t xml:space="preserve">they </w:t>
      </w:r>
      <w:r w:rsidR="009F0B71" w:rsidRPr="00D8046E">
        <w:t xml:space="preserve">also </w:t>
      </w:r>
      <w:r w:rsidR="00953285" w:rsidRPr="00D8046E">
        <w:t>demonstrated the</w:t>
      </w:r>
      <w:r w:rsidR="009F0B71" w:rsidRPr="00D8046E">
        <w:t xml:space="preserve"> underlying factor responsible for such cultural differences, namely</w:t>
      </w:r>
      <w:r w:rsidR="00E07211" w:rsidRPr="00D8046E">
        <w:t xml:space="preserve"> </w:t>
      </w:r>
      <w:r w:rsidR="004F5E48">
        <w:t xml:space="preserve">the causal complexity factor of </w:t>
      </w:r>
      <w:r w:rsidR="009F0B71" w:rsidRPr="00D8046E">
        <w:t>analytic or holistic reasoning</w:t>
      </w:r>
      <w:r w:rsidR="00683AA4" w:rsidRPr="00D8046E">
        <w:t>.</w:t>
      </w:r>
    </w:p>
    <w:p w:rsidR="004F4637" w:rsidRPr="00D8046E" w:rsidRDefault="004F4637" w:rsidP="004F4637">
      <w:pPr>
        <w:spacing w:line="480" w:lineRule="auto"/>
        <w:rPr>
          <w:i/>
        </w:rPr>
      </w:pPr>
      <w:r w:rsidRPr="00D8046E">
        <w:rPr>
          <w:i/>
        </w:rPr>
        <w:t>Alternative Explanations</w:t>
      </w:r>
    </w:p>
    <w:p w:rsidR="00325744" w:rsidRPr="00D8046E" w:rsidRDefault="008B1844" w:rsidP="002D2860">
      <w:pPr>
        <w:spacing w:line="480" w:lineRule="auto"/>
        <w:ind w:firstLine="720"/>
      </w:pPr>
      <w:r w:rsidRPr="00D8046E">
        <w:t xml:space="preserve">One potential alternative explanation for </w:t>
      </w:r>
      <w:r w:rsidR="002D2860" w:rsidRPr="00D8046E">
        <w:t xml:space="preserve">the results is that Chinese </w:t>
      </w:r>
      <w:r w:rsidR="00DE6949" w:rsidRPr="00D8046E">
        <w:t>may</w:t>
      </w:r>
      <w:r w:rsidR="002D2860" w:rsidRPr="00D8046E">
        <w:t xml:space="preserve"> be less familiar with the scenarios than </w:t>
      </w:r>
      <w:r w:rsidR="00DE6949" w:rsidRPr="00D8046E">
        <w:t>are</w:t>
      </w:r>
      <w:r w:rsidR="002D2860" w:rsidRPr="00D8046E">
        <w:t xml:space="preserve"> Canadians. If people are reasoning about the cause of an effect in a context where causes and effects do tend to correspond in magnitude in the real world, then the tendency to predict such an association would </w:t>
      </w:r>
      <w:r w:rsidR="00477B74" w:rsidRPr="00D8046E">
        <w:t>be prudent</w:t>
      </w:r>
      <w:r w:rsidR="002D2860" w:rsidRPr="00D8046E">
        <w:t xml:space="preserve">. Therefore, if Canadians are more familiar than Chinese </w:t>
      </w:r>
      <w:r w:rsidR="00325744" w:rsidRPr="00D8046E">
        <w:t xml:space="preserve">are </w:t>
      </w:r>
      <w:r w:rsidR="002D2860" w:rsidRPr="00D8046E">
        <w:t xml:space="preserve">with </w:t>
      </w:r>
      <w:r w:rsidR="00C237FF" w:rsidRPr="00D8046E">
        <w:t>a</w:t>
      </w:r>
      <w:r w:rsidR="002D2860" w:rsidRPr="00D8046E">
        <w:t xml:space="preserve"> scenario</w:t>
      </w:r>
      <w:r w:rsidR="00477B74" w:rsidRPr="00D8046E">
        <w:t>,</w:t>
      </w:r>
      <w:r w:rsidR="002D2860" w:rsidRPr="00D8046E">
        <w:t xml:space="preserve"> and </w:t>
      </w:r>
      <w:r w:rsidR="00477B74" w:rsidRPr="00D8046E">
        <w:t xml:space="preserve">thus </w:t>
      </w:r>
      <w:r w:rsidR="002D2860" w:rsidRPr="00D8046E">
        <w:t>the underlying causes of the effect</w:t>
      </w:r>
      <w:r w:rsidR="008111A6" w:rsidRPr="00D8046E">
        <w:t xml:space="preserve"> in that scenario</w:t>
      </w:r>
      <w:r w:rsidR="002D2860" w:rsidRPr="00D8046E">
        <w:t>, then Canadians should expect a greater degree of correspondence between cause and effect.</w:t>
      </w:r>
      <w:r w:rsidR="00884A78" w:rsidRPr="00D8046E">
        <w:t xml:space="preserve"> </w:t>
      </w:r>
    </w:p>
    <w:p w:rsidR="002D2860" w:rsidRPr="00D8046E" w:rsidRDefault="00325744" w:rsidP="002D2860">
      <w:pPr>
        <w:spacing w:line="480" w:lineRule="auto"/>
        <w:ind w:firstLine="720"/>
      </w:pPr>
      <w:r w:rsidRPr="00D8046E">
        <w:t>T</w:t>
      </w:r>
      <w:r w:rsidR="002E62E0" w:rsidRPr="00D8046E">
        <w:t>his potential alternative explanation</w:t>
      </w:r>
      <w:r w:rsidRPr="00D8046E">
        <w:t xml:space="preserve"> has at least </w:t>
      </w:r>
      <w:r w:rsidR="00A40E86">
        <w:t>two</w:t>
      </w:r>
      <w:r w:rsidRPr="00D8046E">
        <w:t xml:space="preserve"> problems</w:t>
      </w:r>
      <w:r w:rsidR="002E62E0" w:rsidRPr="00D8046E">
        <w:t xml:space="preserve">. First, </w:t>
      </w:r>
      <w:r w:rsidR="00884A78" w:rsidRPr="00D8046E">
        <w:t xml:space="preserve">when choosing and designing our scenarios, we </w:t>
      </w:r>
      <w:r w:rsidR="008B1844" w:rsidRPr="00D8046E">
        <w:t>were</w:t>
      </w:r>
      <w:r w:rsidR="001E196F" w:rsidRPr="00D8046E">
        <w:t xml:space="preserve"> very </w:t>
      </w:r>
      <w:r w:rsidR="008B1844" w:rsidRPr="00D8046E">
        <w:t>careful</w:t>
      </w:r>
      <w:r w:rsidR="00C6751B" w:rsidRPr="00D8046E">
        <w:t xml:space="preserve"> to generate scenarios </w:t>
      </w:r>
      <w:r w:rsidR="00884A78" w:rsidRPr="00D8046E">
        <w:t xml:space="preserve">that were familiar and </w:t>
      </w:r>
      <w:r w:rsidR="00884A78" w:rsidRPr="00D8046E">
        <w:lastRenderedPageBreak/>
        <w:t xml:space="preserve">understandable to both cultural groups. Indeed, a number of scenarios that were initially proposed by either the Canadian or Chinese researchers were rejected because they did not meet these criteria. </w:t>
      </w:r>
      <w:r w:rsidR="00A40E86">
        <w:t>Second</w:t>
      </w:r>
      <w:r w:rsidR="00884A78" w:rsidRPr="00D8046E">
        <w:t xml:space="preserve">, </w:t>
      </w:r>
      <w:r w:rsidR="008B1844" w:rsidRPr="00D8046E">
        <w:t xml:space="preserve">even </w:t>
      </w:r>
      <w:r w:rsidR="001E196F" w:rsidRPr="00D8046E">
        <w:t>if a cause-effect magnitude correspondence existed for all the scenarios we used</w:t>
      </w:r>
      <w:r w:rsidR="00DD5820" w:rsidRPr="00D8046E">
        <w:t>,</w:t>
      </w:r>
      <w:r w:rsidR="001E196F" w:rsidRPr="00D8046E">
        <w:t xml:space="preserve"> </w:t>
      </w:r>
      <w:r w:rsidR="008B1844" w:rsidRPr="00D8046E">
        <w:t xml:space="preserve">and all our efforts at ensuring equivalent levels of familiarity with the scenarios failed, </w:t>
      </w:r>
      <w:r w:rsidR="002F2052" w:rsidRPr="00D8046E">
        <w:t xml:space="preserve">the </w:t>
      </w:r>
      <w:r w:rsidR="00884A78" w:rsidRPr="00D8046E">
        <w:t xml:space="preserve">familiarity </w:t>
      </w:r>
      <w:r w:rsidR="002F2052" w:rsidRPr="00D8046E">
        <w:t xml:space="preserve">explanation </w:t>
      </w:r>
      <w:r w:rsidR="00884A78" w:rsidRPr="00D8046E">
        <w:t xml:space="preserve">would not </w:t>
      </w:r>
      <w:r w:rsidR="002F2052" w:rsidRPr="00D8046E">
        <w:t>fit with</w:t>
      </w:r>
      <w:r w:rsidR="00884A78" w:rsidRPr="00D8046E">
        <w:t xml:space="preserve"> the pattern of results in Studies 4a and 4b. It would be difficult to explain</w:t>
      </w:r>
      <w:r w:rsidR="00DE6949" w:rsidRPr="00D8046E">
        <w:t>,</w:t>
      </w:r>
      <w:r w:rsidR="00884A78" w:rsidRPr="00D8046E">
        <w:t xml:space="preserve"> </w:t>
      </w:r>
      <w:r w:rsidR="00DE6949" w:rsidRPr="00D8046E">
        <w:t xml:space="preserve">based on familiarity with the scenarios, </w:t>
      </w:r>
      <w:r w:rsidR="00884A78" w:rsidRPr="00D8046E">
        <w:t xml:space="preserve">why priming Canadians to think holistically would cause them to respond </w:t>
      </w:r>
      <w:r w:rsidR="00DE6949" w:rsidRPr="00D8046E">
        <w:t>similar to</w:t>
      </w:r>
      <w:r w:rsidR="00884A78" w:rsidRPr="00D8046E">
        <w:t xml:space="preserve"> Chinese</w:t>
      </w:r>
      <w:r w:rsidR="0046287B" w:rsidRPr="00D8046E">
        <w:t>, namely</w:t>
      </w:r>
      <w:r w:rsidR="00DE6949" w:rsidRPr="00D8046E">
        <w:t xml:space="preserve"> by expecting a lesser degree of cause-effect magnitude correspondence.</w:t>
      </w:r>
      <w:r w:rsidR="002E62E0" w:rsidRPr="00D8046E">
        <w:t xml:space="preserve"> </w:t>
      </w:r>
    </w:p>
    <w:p w:rsidR="001E41E3" w:rsidRPr="00D8046E" w:rsidRDefault="001E41E3" w:rsidP="001E41E3">
      <w:pPr>
        <w:spacing w:line="480" w:lineRule="auto"/>
        <w:rPr>
          <w:rFonts w:cs="Arial"/>
          <w:i/>
        </w:rPr>
      </w:pPr>
      <w:r w:rsidRPr="00D8046E">
        <w:rPr>
          <w:rFonts w:cs="Arial"/>
          <w:i/>
        </w:rPr>
        <w:t xml:space="preserve">Theoretical </w:t>
      </w:r>
      <w:r w:rsidR="00961040" w:rsidRPr="00D8046E">
        <w:rPr>
          <w:rFonts w:cs="Arial"/>
          <w:i/>
        </w:rPr>
        <w:t>Contribution</w:t>
      </w:r>
      <w:r w:rsidR="004D5DB0" w:rsidRPr="00D8046E">
        <w:rPr>
          <w:rFonts w:cs="Arial"/>
          <w:i/>
        </w:rPr>
        <w:t>s</w:t>
      </w:r>
    </w:p>
    <w:p w:rsidR="004F36B3" w:rsidRPr="00D8046E" w:rsidRDefault="00BC4647" w:rsidP="0020424F">
      <w:pPr>
        <w:spacing w:line="480" w:lineRule="auto"/>
        <w:ind w:firstLine="720"/>
        <w:rPr>
          <w:rFonts w:cs="Arial"/>
        </w:rPr>
      </w:pPr>
      <w:r w:rsidRPr="00D8046E">
        <w:rPr>
          <w:rFonts w:cs="Arial"/>
          <w:i/>
        </w:rPr>
        <w:t xml:space="preserve">Culture and </w:t>
      </w:r>
      <w:r w:rsidR="004D5DB0" w:rsidRPr="00D8046E">
        <w:rPr>
          <w:rFonts w:cs="Arial"/>
          <w:i/>
        </w:rPr>
        <w:t>Attributions.</w:t>
      </w:r>
      <w:r w:rsidR="004D5DB0" w:rsidRPr="00D8046E">
        <w:rPr>
          <w:rFonts w:cs="Arial"/>
        </w:rPr>
        <w:t xml:space="preserve"> </w:t>
      </w:r>
      <w:r w:rsidR="003B29C1" w:rsidRPr="00D8046E">
        <w:rPr>
          <w:rFonts w:cs="Arial"/>
        </w:rPr>
        <w:t xml:space="preserve">Gilovich and Savitsky (2002, p. 618) defined the </w:t>
      </w:r>
      <w:r w:rsidR="002B48BA" w:rsidRPr="00D8046E">
        <w:rPr>
          <w:rFonts w:cs="Arial"/>
        </w:rPr>
        <w:t>representativeness heuristic as</w:t>
      </w:r>
      <w:r w:rsidR="003B29C1" w:rsidRPr="00D8046E">
        <w:rPr>
          <w:rFonts w:cs="Arial"/>
        </w:rPr>
        <w:t xml:space="preserve"> </w:t>
      </w:r>
      <w:r w:rsidR="002B48BA" w:rsidRPr="00D8046E">
        <w:rPr>
          <w:rFonts w:cs="Arial"/>
        </w:rPr>
        <w:t>the tendency to process information “</w:t>
      </w:r>
      <w:r w:rsidR="003B29C1" w:rsidRPr="00D8046E">
        <w:rPr>
          <w:rFonts w:cs="Arial"/>
        </w:rPr>
        <w:t>on the basis of one overarching rule: ‘Like goes with like.’”</w:t>
      </w:r>
      <w:r w:rsidR="00B21399" w:rsidRPr="00D8046E">
        <w:rPr>
          <w:rFonts w:cs="Arial"/>
        </w:rPr>
        <w:t xml:space="preserve"> Most of the research on this heuristic has been </w:t>
      </w:r>
      <w:r w:rsidR="00962134" w:rsidRPr="00D8046E">
        <w:rPr>
          <w:rFonts w:cs="Arial"/>
        </w:rPr>
        <w:t xml:space="preserve">conducted </w:t>
      </w:r>
      <w:r w:rsidR="00B21399" w:rsidRPr="00D8046E">
        <w:rPr>
          <w:rFonts w:cs="Arial"/>
        </w:rPr>
        <w:t>i</w:t>
      </w:r>
      <w:r w:rsidR="00DF2FA2" w:rsidRPr="00D8046E">
        <w:rPr>
          <w:rFonts w:cs="Arial"/>
        </w:rPr>
        <w:t>n the context of categorization, whereas l</w:t>
      </w:r>
      <w:r w:rsidR="00B21399" w:rsidRPr="00D8046E">
        <w:rPr>
          <w:rFonts w:cs="Arial"/>
        </w:rPr>
        <w:t xml:space="preserve">ittle research has </w:t>
      </w:r>
      <w:r w:rsidR="00962134" w:rsidRPr="00D8046E">
        <w:rPr>
          <w:rFonts w:cs="Arial"/>
        </w:rPr>
        <w:t xml:space="preserve">explored </w:t>
      </w:r>
      <w:r w:rsidR="00B21399" w:rsidRPr="00D8046E">
        <w:rPr>
          <w:rFonts w:cs="Arial"/>
        </w:rPr>
        <w:t xml:space="preserve">the representativeness heuristic in the context of attributions. </w:t>
      </w:r>
      <w:r w:rsidR="00885E7C" w:rsidRPr="00D8046E">
        <w:rPr>
          <w:rFonts w:cs="Arial"/>
        </w:rPr>
        <w:t xml:space="preserve">Although </w:t>
      </w:r>
      <w:r w:rsidR="00DF2FA2" w:rsidRPr="00D8046E">
        <w:rPr>
          <w:rFonts w:cs="Arial"/>
        </w:rPr>
        <w:t>some</w:t>
      </w:r>
      <w:r w:rsidR="00885E7C" w:rsidRPr="00D8046E">
        <w:rPr>
          <w:rFonts w:cs="Arial"/>
        </w:rPr>
        <w:t xml:space="preserve"> have speculated on the tendency to expect cause-effect </w:t>
      </w:r>
      <w:r w:rsidRPr="00D8046E">
        <w:rPr>
          <w:rFonts w:cs="Arial"/>
        </w:rPr>
        <w:t xml:space="preserve">magnitude </w:t>
      </w:r>
      <w:r w:rsidR="00885E7C" w:rsidRPr="00D8046E">
        <w:rPr>
          <w:rFonts w:cs="Arial"/>
        </w:rPr>
        <w:t>correspondence when making attributions</w:t>
      </w:r>
      <w:r w:rsidR="00A127A9" w:rsidRPr="00D8046E">
        <w:rPr>
          <w:rFonts w:cs="Arial"/>
        </w:rPr>
        <w:t xml:space="preserve"> (Einhorn &amp; Hogarth, 1986; Nisbett</w:t>
      </w:r>
      <w:r w:rsidR="00B50D52">
        <w:rPr>
          <w:rFonts w:cs="Arial"/>
        </w:rPr>
        <w:t xml:space="preserve"> &amp; Ross</w:t>
      </w:r>
      <w:r w:rsidR="00A127A9" w:rsidRPr="00D8046E">
        <w:rPr>
          <w:rFonts w:cs="Arial"/>
        </w:rPr>
        <w:t>, 1980)</w:t>
      </w:r>
      <w:r w:rsidR="00885E7C" w:rsidRPr="00D8046E">
        <w:rPr>
          <w:rFonts w:cs="Arial"/>
        </w:rPr>
        <w:t xml:space="preserve">, little research has </w:t>
      </w:r>
      <w:r w:rsidR="002A5E60" w:rsidRPr="00D8046E">
        <w:rPr>
          <w:rFonts w:cs="Arial"/>
        </w:rPr>
        <w:t>systematically investigated this</w:t>
      </w:r>
      <w:r w:rsidR="006D272C" w:rsidRPr="00D8046E">
        <w:rPr>
          <w:rFonts w:cs="Arial"/>
        </w:rPr>
        <w:t xml:space="preserve"> </w:t>
      </w:r>
      <w:r w:rsidR="00DD1CFC" w:rsidRPr="00D8046E">
        <w:rPr>
          <w:rFonts w:cs="Arial"/>
        </w:rPr>
        <w:t>speculation</w:t>
      </w:r>
      <w:r w:rsidR="00885E7C" w:rsidRPr="00D8046E">
        <w:rPr>
          <w:rFonts w:cs="Arial"/>
        </w:rPr>
        <w:t>. Our studies contribut</w:t>
      </w:r>
      <w:r w:rsidR="00704732" w:rsidRPr="00D8046E">
        <w:rPr>
          <w:rFonts w:cs="Arial"/>
        </w:rPr>
        <w:t>e</w:t>
      </w:r>
      <w:r w:rsidR="00885E7C" w:rsidRPr="00D8046E">
        <w:rPr>
          <w:rFonts w:cs="Arial"/>
        </w:rPr>
        <w:t xml:space="preserve"> to the attribution literature b</w:t>
      </w:r>
      <w:r w:rsidR="006D272C" w:rsidRPr="00D8046E">
        <w:rPr>
          <w:rFonts w:cs="Arial"/>
        </w:rPr>
        <w:t>y</w:t>
      </w:r>
      <w:r w:rsidR="00885E7C" w:rsidRPr="00D8046E">
        <w:rPr>
          <w:rFonts w:cs="Arial"/>
        </w:rPr>
        <w:t xml:space="preserve"> providing strong empirical evidence in support of this proposal. </w:t>
      </w:r>
    </w:p>
    <w:p w:rsidR="004F36B3" w:rsidRDefault="00DA1CB3" w:rsidP="00BC4647">
      <w:pPr>
        <w:spacing w:line="480" w:lineRule="auto"/>
        <w:ind w:firstLine="720"/>
        <w:rPr>
          <w:rFonts w:cs="Arial"/>
        </w:rPr>
      </w:pPr>
      <w:r w:rsidRPr="00D8046E">
        <w:rPr>
          <w:rFonts w:cs="Arial"/>
        </w:rPr>
        <w:t>In addition</w:t>
      </w:r>
      <w:r w:rsidR="00885E7C" w:rsidRPr="00D8046E">
        <w:rPr>
          <w:rFonts w:cs="Arial"/>
        </w:rPr>
        <w:t xml:space="preserve">, we </w:t>
      </w:r>
      <w:r w:rsidR="00B21399" w:rsidRPr="00D8046E">
        <w:rPr>
          <w:rFonts w:cs="Arial"/>
        </w:rPr>
        <w:t xml:space="preserve">demonstrated that the degree to which people expect cause-effect magnitude correspondence differs across cultures. </w:t>
      </w:r>
      <w:r w:rsidR="002A19A4">
        <w:rPr>
          <w:rFonts w:cs="Arial"/>
        </w:rPr>
        <w:t>Throughout our studies, both cultures associated causes and effects on the basis of magnitude similarity, and this</w:t>
      </w:r>
      <w:r w:rsidR="0057101E">
        <w:rPr>
          <w:rFonts w:cs="Arial"/>
        </w:rPr>
        <w:t xml:space="preserve"> pattern of results indicates that both Canadians and Chinese exhibited judgments consistent with the </w:t>
      </w:r>
      <w:r w:rsidR="002C5FC2">
        <w:rPr>
          <w:rFonts w:cs="Arial"/>
        </w:rPr>
        <w:t>representativeness</w:t>
      </w:r>
      <w:r w:rsidR="0057101E">
        <w:rPr>
          <w:rFonts w:cs="Arial"/>
        </w:rPr>
        <w:t xml:space="preserve"> heuristic. However, t</w:t>
      </w:r>
      <w:r w:rsidR="00472E9A" w:rsidRPr="00D8046E">
        <w:rPr>
          <w:rFonts w:cs="Arial"/>
        </w:rPr>
        <w:t xml:space="preserve">he fact that Canadians </w:t>
      </w:r>
      <w:r w:rsidR="004F36B3" w:rsidRPr="00D8046E">
        <w:rPr>
          <w:rFonts w:cs="Arial"/>
        </w:rPr>
        <w:t>expect</w:t>
      </w:r>
      <w:r w:rsidR="00472E9A" w:rsidRPr="00D8046E">
        <w:rPr>
          <w:rFonts w:cs="Arial"/>
        </w:rPr>
        <w:t>ed</w:t>
      </w:r>
      <w:r w:rsidR="004F36B3" w:rsidRPr="00D8046E">
        <w:rPr>
          <w:rFonts w:cs="Arial"/>
        </w:rPr>
        <w:t xml:space="preserve"> a greater degree of </w:t>
      </w:r>
      <w:r w:rsidR="004F36B3" w:rsidRPr="00D8046E">
        <w:rPr>
          <w:rFonts w:cs="Arial"/>
        </w:rPr>
        <w:lastRenderedPageBreak/>
        <w:t xml:space="preserve">correspondence in magnitude when making causal </w:t>
      </w:r>
      <w:r w:rsidR="00DE32FB" w:rsidRPr="00D8046E">
        <w:rPr>
          <w:rFonts w:cs="Arial"/>
        </w:rPr>
        <w:t>judgments</w:t>
      </w:r>
      <w:r w:rsidR="004F36B3" w:rsidRPr="00D8046E">
        <w:rPr>
          <w:rFonts w:cs="Arial"/>
        </w:rPr>
        <w:t xml:space="preserve"> </w:t>
      </w:r>
      <w:r w:rsidR="00472E9A" w:rsidRPr="00D8046E">
        <w:rPr>
          <w:rFonts w:cs="Arial"/>
        </w:rPr>
        <w:t xml:space="preserve">indicates that they </w:t>
      </w:r>
      <w:r w:rsidR="000200E8" w:rsidRPr="00D8046E">
        <w:rPr>
          <w:rFonts w:cs="Arial"/>
        </w:rPr>
        <w:t>exhibit a more extreme form of</w:t>
      </w:r>
      <w:r w:rsidR="004F36B3" w:rsidRPr="00D8046E">
        <w:rPr>
          <w:rFonts w:cs="Arial"/>
        </w:rPr>
        <w:t xml:space="preserve"> the representativeness heuristic</w:t>
      </w:r>
      <w:r w:rsidR="000200E8" w:rsidRPr="00D8046E">
        <w:rPr>
          <w:rFonts w:cs="Arial"/>
        </w:rPr>
        <w:t xml:space="preserve"> in this context,</w:t>
      </w:r>
      <w:r w:rsidR="004F36B3" w:rsidRPr="00D8046E">
        <w:rPr>
          <w:rFonts w:cs="Arial"/>
        </w:rPr>
        <w:t xml:space="preserve"> </w:t>
      </w:r>
      <w:r w:rsidR="000200E8" w:rsidRPr="00D8046E">
        <w:rPr>
          <w:rFonts w:cs="Arial"/>
        </w:rPr>
        <w:t>compared with</w:t>
      </w:r>
      <w:r w:rsidR="004F36B3" w:rsidRPr="00D8046E">
        <w:rPr>
          <w:rFonts w:cs="Arial"/>
        </w:rPr>
        <w:t xml:space="preserve"> </w:t>
      </w:r>
      <w:r w:rsidR="009C4731" w:rsidRPr="00D8046E">
        <w:rPr>
          <w:rFonts w:cs="Arial"/>
        </w:rPr>
        <w:t>Chinese.</w:t>
      </w:r>
      <w:r w:rsidR="000200E8" w:rsidRPr="00D8046E">
        <w:rPr>
          <w:rFonts w:cs="Arial"/>
        </w:rPr>
        <w:t xml:space="preserve"> O</w:t>
      </w:r>
      <w:r w:rsidR="00B21399" w:rsidRPr="00D8046E">
        <w:rPr>
          <w:rFonts w:cs="Arial"/>
        </w:rPr>
        <w:t xml:space="preserve">ur study is the first we are aware of to demonstrate cultural differences in </w:t>
      </w:r>
      <w:r w:rsidR="003B5273" w:rsidRPr="00D8046E">
        <w:rPr>
          <w:rFonts w:cs="Arial"/>
        </w:rPr>
        <w:t xml:space="preserve">the degree to which people employ </w:t>
      </w:r>
      <w:r w:rsidR="00B21399" w:rsidRPr="00D8046E">
        <w:rPr>
          <w:rFonts w:cs="Arial"/>
        </w:rPr>
        <w:t>the represen</w:t>
      </w:r>
      <w:r w:rsidR="00CF1E5E" w:rsidRPr="00D8046E">
        <w:rPr>
          <w:rFonts w:cs="Arial"/>
        </w:rPr>
        <w:t>t</w:t>
      </w:r>
      <w:r w:rsidR="00B21399" w:rsidRPr="00D8046E">
        <w:rPr>
          <w:rFonts w:cs="Arial"/>
        </w:rPr>
        <w:t xml:space="preserve">ativeness heuristic in the context of attributions. </w:t>
      </w:r>
    </w:p>
    <w:p w:rsidR="00416662" w:rsidRDefault="00415030" w:rsidP="004F36B3">
      <w:pPr>
        <w:spacing w:line="480" w:lineRule="auto"/>
        <w:ind w:firstLine="720"/>
        <w:rPr>
          <w:rFonts w:cs="Arial"/>
        </w:rPr>
      </w:pPr>
      <w:r>
        <w:rPr>
          <w:rFonts w:cs="Arial"/>
        </w:rPr>
        <w:t>In addition</w:t>
      </w:r>
      <w:r w:rsidR="006D272C" w:rsidRPr="00D8046E">
        <w:rPr>
          <w:rFonts w:cs="Arial"/>
        </w:rPr>
        <w:t xml:space="preserve">, </w:t>
      </w:r>
      <w:r w:rsidR="00830FB6">
        <w:rPr>
          <w:rFonts w:cs="Arial"/>
        </w:rPr>
        <w:t>in examining the literature on the representativeness heuristic,</w:t>
      </w:r>
      <w:r w:rsidR="00830FB6" w:rsidDel="00830FB6">
        <w:rPr>
          <w:rFonts w:cs="Arial"/>
        </w:rPr>
        <w:t xml:space="preserve"> </w:t>
      </w:r>
      <w:r w:rsidR="004F75D1">
        <w:rPr>
          <w:rFonts w:cs="Arial"/>
        </w:rPr>
        <w:t xml:space="preserve">we are aware of no </w:t>
      </w:r>
      <w:r w:rsidR="00830FB6">
        <w:rPr>
          <w:rFonts w:cs="Arial"/>
        </w:rPr>
        <w:t xml:space="preserve">studies </w:t>
      </w:r>
      <w:r w:rsidR="004F75D1">
        <w:rPr>
          <w:rFonts w:cs="Arial"/>
        </w:rPr>
        <w:t>that ha</w:t>
      </w:r>
      <w:r w:rsidR="00830FB6">
        <w:rPr>
          <w:rFonts w:cs="Arial"/>
        </w:rPr>
        <w:t>ve</w:t>
      </w:r>
      <w:r w:rsidR="004F75D1">
        <w:rPr>
          <w:rFonts w:cs="Arial"/>
        </w:rPr>
        <w:t xml:space="preserve"> demonstrated </w:t>
      </w:r>
      <w:r w:rsidR="00731AED">
        <w:rPr>
          <w:rFonts w:cs="Arial"/>
        </w:rPr>
        <w:t xml:space="preserve">any </w:t>
      </w:r>
      <w:r w:rsidR="004F75D1">
        <w:rPr>
          <w:rFonts w:cs="Arial"/>
        </w:rPr>
        <w:t>causal mechanisms</w:t>
      </w:r>
      <w:r w:rsidR="00731AED">
        <w:rPr>
          <w:rFonts w:cs="Arial"/>
        </w:rPr>
        <w:t>.</w:t>
      </w:r>
      <w:r w:rsidR="00830FB6">
        <w:rPr>
          <w:rFonts w:cs="Arial"/>
        </w:rPr>
        <w:t xml:space="preserve"> </w:t>
      </w:r>
      <w:r w:rsidR="008307D4">
        <w:rPr>
          <w:rFonts w:cs="Arial"/>
        </w:rPr>
        <w:t>O</w:t>
      </w:r>
      <w:r w:rsidR="00B21399" w:rsidRPr="00D8046E">
        <w:rPr>
          <w:rFonts w:cs="Arial"/>
        </w:rPr>
        <w:t xml:space="preserve">ur finding that the degree to which </w:t>
      </w:r>
      <w:r w:rsidR="00AA31A0" w:rsidRPr="00D8046E">
        <w:rPr>
          <w:rFonts w:cs="Arial"/>
        </w:rPr>
        <w:t>people</w:t>
      </w:r>
      <w:r w:rsidR="00B21399" w:rsidRPr="00D8046E">
        <w:rPr>
          <w:rFonts w:cs="Arial"/>
        </w:rPr>
        <w:t xml:space="preserve"> expect cause-effect magnitude correspondence is in part determined by </w:t>
      </w:r>
      <w:r w:rsidR="00DA1CB3" w:rsidRPr="00D8046E">
        <w:rPr>
          <w:rFonts w:cs="Arial"/>
        </w:rPr>
        <w:t xml:space="preserve">whether </w:t>
      </w:r>
      <w:r w:rsidR="00325744" w:rsidRPr="00D8046E">
        <w:rPr>
          <w:rFonts w:cs="Arial"/>
        </w:rPr>
        <w:t xml:space="preserve">or not </w:t>
      </w:r>
      <w:r w:rsidR="00AA31A0" w:rsidRPr="00D8046E">
        <w:rPr>
          <w:rFonts w:cs="Arial"/>
        </w:rPr>
        <w:t>they</w:t>
      </w:r>
      <w:r w:rsidR="00DA1CB3" w:rsidRPr="00D8046E">
        <w:rPr>
          <w:rFonts w:cs="Arial"/>
        </w:rPr>
        <w:t xml:space="preserve"> reason analytically or holistically</w:t>
      </w:r>
      <w:r w:rsidR="00B21399" w:rsidRPr="00D8046E">
        <w:rPr>
          <w:rFonts w:cs="Arial"/>
        </w:rPr>
        <w:t xml:space="preserve"> </w:t>
      </w:r>
      <w:r w:rsidR="003F4371" w:rsidRPr="00D8046E">
        <w:rPr>
          <w:rFonts w:cs="Arial"/>
        </w:rPr>
        <w:t>enhances</w:t>
      </w:r>
      <w:r w:rsidR="00B21399" w:rsidRPr="00D8046E">
        <w:rPr>
          <w:rFonts w:cs="Arial"/>
        </w:rPr>
        <w:t xml:space="preserve"> our understanding of the cognitive underpinnings of the representativeness heuristic</w:t>
      </w:r>
      <w:r w:rsidR="006D272C" w:rsidRPr="00D8046E">
        <w:rPr>
          <w:rFonts w:cs="Arial"/>
        </w:rPr>
        <w:t xml:space="preserve"> in </w:t>
      </w:r>
      <w:r w:rsidR="003F4371" w:rsidRPr="00D8046E">
        <w:rPr>
          <w:rFonts w:cs="Arial"/>
        </w:rPr>
        <w:t>the</w:t>
      </w:r>
      <w:r w:rsidR="006D272C" w:rsidRPr="00D8046E">
        <w:rPr>
          <w:rFonts w:cs="Arial"/>
        </w:rPr>
        <w:t xml:space="preserve"> context</w:t>
      </w:r>
      <w:r w:rsidR="003F4371" w:rsidRPr="00D8046E">
        <w:rPr>
          <w:rFonts w:cs="Arial"/>
        </w:rPr>
        <w:t xml:space="preserve"> of attributions</w:t>
      </w:r>
      <w:r w:rsidR="00E60093" w:rsidRPr="00D8046E">
        <w:rPr>
          <w:rFonts w:cs="Arial"/>
        </w:rPr>
        <w:t>.</w:t>
      </w:r>
      <w:r w:rsidR="004F36B3" w:rsidRPr="00D8046E">
        <w:rPr>
          <w:rFonts w:cs="Arial"/>
        </w:rPr>
        <w:t xml:space="preserve"> </w:t>
      </w:r>
      <w:r w:rsidR="00827F1D" w:rsidRPr="00D8046E">
        <w:rPr>
          <w:rFonts w:cs="Arial"/>
        </w:rPr>
        <w:t>Furthermore</w:t>
      </w:r>
      <w:r w:rsidR="004F36B3" w:rsidRPr="00D8046E">
        <w:rPr>
          <w:rFonts w:cs="Arial"/>
        </w:rPr>
        <w:t>, t</w:t>
      </w:r>
      <w:r w:rsidR="001E41E3" w:rsidRPr="00D8046E">
        <w:rPr>
          <w:rFonts w:cs="Arial"/>
        </w:rPr>
        <w:t>he fact that this te</w:t>
      </w:r>
      <w:r w:rsidR="00051EE4" w:rsidRPr="00D8046E">
        <w:rPr>
          <w:rFonts w:cs="Arial"/>
        </w:rPr>
        <w:t>ndency differs across cultures signals the need to investigate</w:t>
      </w:r>
      <w:r w:rsidR="001E41E3" w:rsidRPr="00D8046E">
        <w:rPr>
          <w:rFonts w:cs="Arial"/>
        </w:rPr>
        <w:t xml:space="preserve"> whether cultural differences would emerge for other heuristics. </w:t>
      </w:r>
    </w:p>
    <w:p w:rsidR="004F75D1" w:rsidRPr="00D8046E" w:rsidRDefault="004F75D1" w:rsidP="004F36B3">
      <w:pPr>
        <w:spacing w:line="480" w:lineRule="auto"/>
        <w:ind w:firstLine="720"/>
        <w:rPr>
          <w:rFonts w:cs="Arial"/>
        </w:rPr>
      </w:pPr>
      <w:r>
        <w:rPr>
          <w:rFonts w:cs="Arial"/>
        </w:rPr>
        <w:t>An important caveat here is that we demonstrated cultural differences in the representativeness heuristic in the context of causal judgments based on a similarity in magnitude.</w:t>
      </w:r>
      <w:r w:rsidR="00415030">
        <w:rPr>
          <w:rFonts w:cs="Arial"/>
        </w:rPr>
        <w:t xml:space="preserve"> </w:t>
      </w:r>
      <w:r w:rsidR="00104961" w:rsidRPr="00104961">
        <w:rPr>
          <w:rFonts w:cs="Arial"/>
        </w:rPr>
        <w:t xml:space="preserve">We have </w:t>
      </w:r>
      <w:r w:rsidR="00104961">
        <w:rPr>
          <w:rFonts w:cs="Arial"/>
        </w:rPr>
        <w:t>provided no evidence</w:t>
      </w:r>
      <w:r w:rsidR="00104961" w:rsidRPr="00104961">
        <w:rPr>
          <w:rFonts w:cs="Arial"/>
        </w:rPr>
        <w:t xml:space="preserve"> regarding</w:t>
      </w:r>
      <w:r w:rsidR="0021165E" w:rsidRPr="00104961">
        <w:rPr>
          <w:rFonts w:cs="Arial"/>
        </w:rPr>
        <w:t xml:space="preserve"> whether</w:t>
      </w:r>
      <w:r w:rsidR="0021165E">
        <w:rPr>
          <w:rFonts w:cs="Arial"/>
        </w:rPr>
        <w:t xml:space="preserve"> </w:t>
      </w:r>
      <w:r w:rsidR="00104961">
        <w:rPr>
          <w:rFonts w:cs="Arial"/>
        </w:rPr>
        <w:t xml:space="preserve">or not </w:t>
      </w:r>
      <w:r w:rsidR="00415030">
        <w:rPr>
          <w:rFonts w:cs="Arial"/>
        </w:rPr>
        <w:t>the same pattern of results would emerge with respect to the representativeness heuristic in other contexts, such as attributing causes based on their physical resemblance to effects.</w:t>
      </w:r>
    </w:p>
    <w:p w:rsidR="00325744" w:rsidRPr="00D8046E" w:rsidRDefault="00381EEB" w:rsidP="0020424F">
      <w:pPr>
        <w:spacing w:line="480" w:lineRule="auto"/>
        <w:ind w:firstLine="720"/>
      </w:pPr>
      <w:r w:rsidRPr="00D8046E">
        <w:rPr>
          <w:i/>
        </w:rPr>
        <w:t>Cultural Universals</w:t>
      </w:r>
      <w:r w:rsidR="004D5DB0" w:rsidRPr="00D8046E">
        <w:rPr>
          <w:i/>
        </w:rPr>
        <w:t xml:space="preserve">. </w:t>
      </w:r>
      <w:r w:rsidR="00325744" w:rsidRPr="00D8046E">
        <w:t xml:space="preserve">Notably, </w:t>
      </w:r>
      <w:r w:rsidRPr="00D8046E">
        <w:t xml:space="preserve">within the domain of our scenarios and designs, participants from both cultures expected a cause-effect magnitude correspondence. What differed across cultures was the degree to which people expected this correspondence. Norenzayan and Heine (2005) outlined a taxonomy of cultural universals, defined as core mental attributes shared by people everywhere. The taxonomy consists of four </w:t>
      </w:r>
      <w:r w:rsidR="004C4261" w:rsidRPr="00D8046E">
        <w:t>levels of cultural universality:</w:t>
      </w:r>
      <w:r w:rsidRPr="00D8046E">
        <w:t xml:space="preserve"> accessibility, functional, existential, and nonuniversality. Accessibility universals, the most stringent level of universality, are psychological processes that are available to all people, used </w:t>
      </w:r>
      <w:r w:rsidRPr="00D8046E">
        <w:lastRenderedPageBreak/>
        <w:t xml:space="preserve">for the same function, and accessed to the same degree. </w:t>
      </w:r>
      <w:bookmarkStart w:id="7" w:name="OLE_LINK7"/>
      <w:bookmarkStart w:id="8" w:name="OLE_LINK8"/>
      <w:r w:rsidRPr="00D8046E">
        <w:t>Functional universals, the second most stringent level of universality, are cognitively available to all people, used for the same function, but accessed to different degrees.</w:t>
      </w:r>
      <w:bookmarkEnd w:id="7"/>
      <w:bookmarkEnd w:id="8"/>
      <w:r w:rsidRPr="00D8046E">
        <w:t xml:space="preserve"> Existential universals, the third most stringent level of universality, are cognitively available to all people, but </w:t>
      </w:r>
      <w:r w:rsidR="00325744" w:rsidRPr="00D8046E">
        <w:t xml:space="preserve">they </w:t>
      </w:r>
      <w:r w:rsidRPr="00D8046E">
        <w:t xml:space="preserve">may be used in markedly different ways and are accessed to different degrees. Nonuniversals are those processes that are not cognitively available to all people. </w:t>
      </w:r>
    </w:p>
    <w:p w:rsidR="00381EEB" w:rsidRPr="00D8046E" w:rsidRDefault="00381EEB" w:rsidP="0020424F">
      <w:pPr>
        <w:spacing w:line="480" w:lineRule="auto"/>
        <w:ind w:firstLine="720"/>
      </w:pPr>
      <w:r w:rsidRPr="00D8046E">
        <w:t xml:space="preserve">Although we only sampled people from two cultures, our pattern of results demonstrating </w:t>
      </w:r>
      <w:r w:rsidR="00472E9A" w:rsidRPr="00D8046E">
        <w:t xml:space="preserve">that participants from both cultures expected cause-effect magnitude correspondence, but to different </w:t>
      </w:r>
      <w:r w:rsidRPr="00D8046E">
        <w:t>degree</w:t>
      </w:r>
      <w:r w:rsidR="001E63CC" w:rsidRPr="00D8046E">
        <w:t>s</w:t>
      </w:r>
      <w:r w:rsidR="00472E9A" w:rsidRPr="00D8046E">
        <w:t xml:space="preserve">, </w:t>
      </w:r>
      <w:r w:rsidRPr="00D8046E">
        <w:t xml:space="preserve">would potentially qualify as a functional universal. </w:t>
      </w:r>
      <w:r w:rsidR="001E63CC" w:rsidRPr="00D8046E">
        <w:t>Our studies provide the first evidence we are aware of regarding the universality and cultural variability of the representativeness heuristic. W</w:t>
      </w:r>
      <w:r w:rsidRPr="00D8046E">
        <w:t xml:space="preserve">hat appears on the surface to be a simple heuristic, the tendency to </w:t>
      </w:r>
      <w:r w:rsidR="001E63CC" w:rsidRPr="00D8046E">
        <w:t>associate</w:t>
      </w:r>
      <w:r w:rsidRPr="00D8046E">
        <w:t xml:space="preserve"> high magnitude effects with high magnitude causes and low magnitude effects with low magnitude causes, is applied to different degrees depending on how</w:t>
      </w:r>
      <w:r w:rsidR="001E63CC" w:rsidRPr="00D8046E">
        <w:t xml:space="preserve"> our host </w:t>
      </w:r>
      <w:r w:rsidRPr="00D8046E">
        <w:t>culture ha</w:t>
      </w:r>
      <w:r w:rsidR="00AA4EE5" w:rsidRPr="00D8046E">
        <w:t>s shaped our minds</w:t>
      </w:r>
      <w:r w:rsidRPr="00D8046E">
        <w:t xml:space="preserve"> to process information. </w:t>
      </w:r>
    </w:p>
    <w:p w:rsidR="003068C0" w:rsidRPr="00D8046E" w:rsidRDefault="00FD39D8" w:rsidP="003068C0">
      <w:pPr>
        <w:spacing w:line="480" w:lineRule="auto"/>
        <w:rPr>
          <w:i/>
        </w:rPr>
      </w:pPr>
      <w:r w:rsidRPr="00D8046E">
        <w:rPr>
          <w:i/>
        </w:rPr>
        <w:t xml:space="preserve">Practical </w:t>
      </w:r>
      <w:r w:rsidR="003068C0" w:rsidRPr="00D8046E">
        <w:rPr>
          <w:i/>
        </w:rPr>
        <w:t>Implications</w:t>
      </w:r>
    </w:p>
    <w:p w:rsidR="00325744" w:rsidRPr="00D8046E" w:rsidRDefault="009933C2" w:rsidP="002029B8">
      <w:pPr>
        <w:spacing w:line="480" w:lineRule="auto"/>
        <w:ind w:firstLine="720"/>
        <w:rPr>
          <w:rFonts w:cs="Arial"/>
        </w:rPr>
      </w:pPr>
      <w:r w:rsidRPr="00D8046E">
        <w:rPr>
          <w:rFonts w:cs="Arial"/>
        </w:rPr>
        <w:t>The pattern of results could</w:t>
      </w:r>
      <w:r w:rsidR="00FA1C9E" w:rsidRPr="00D8046E">
        <w:rPr>
          <w:rFonts w:cs="Arial"/>
        </w:rPr>
        <w:t xml:space="preserve"> </w:t>
      </w:r>
      <w:r w:rsidR="001E41E3" w:rsidRPr="00D8046E">
        <w:rPr>
          <w:rFonts w:cs="Arial"/>
        </w:rPr>
        <w:t xml:space="preserve">also </w:t>
      </w:r>
      <w:r w:rsidR="00FA1C9E" w:rsidRPr="00D8046E">
        <w:rPr>
          <w:rFonts w:cs="Arial"/>
        </w:rPr>
        <w:t>have i</w:t>
      </w:r>
      <w:r w:rsidR="00C55B88" w:rsidRPr="00D8046E">
        <w:rPr>
          <w:rFonts w:cs="Arial"/>
        </w:rPr>
        <w:t>mportant practical implications</w:t>
      </w:r>
      <w:r w:rsidR="001818E6" w:rsidRPr="00D8046E">
        <w:rPr>
          <w:rFonts w:cs="Arial"/>
        </w:rPr>
        <w:t>. One potential application is</w:t>
      </w:r>
      <w:r w:rsidR="00C55B88" w:rsidRPr="00D8046E">
        <w:rPr>
          <w:rFonts w:cs="Arial"/>
        </w:rPr>
        <w:t xml:space="preserve"> </w:t>
      </w:r>
      <w:r w:rsidR="00036D93" w:rsidRPr="00D8046E">
        <w:rPr>
          <w:rFonts w:cs="Arial"/>
        </w:rPr>
        <w:t>in</w:t>
      </w:r>
      <w:r w:rsidR="00C55B88" w:rsidRPr="00D8046E">
        <w:rPr>
          <w:rFonts w:cs="Arial"/>
        </w:rPr>
        <w:t xml:space="preserve"> the domain of </w:t>
      </w:r>
      <w:r w:rsidR="008F0CF7" w:rsidRPr="00D8046E">
        <w:rPr>
          <w:rFonts w:cs="Arial"/>
        </w:rPr>
        <w:t xml:space="preserve">behavioral decision making. </w:t>
      </w:r>
      <w:r w:rsidR="00C97FB2" w:rsidRPr="00D8046E">
        <w:rPr>
          <w:rFonts w:cs="Arial"/>
        </w:rPr>
        <w:t>According to the U</w:t>
      </w:r>
      <w:r w:rsidR="00325744" w:rsidRPr="00D8046E">
        <w:rPr>
          <w:rFonts w:cs="Arial"/>
        </w:rPr>
        <w:t>.</w:t>
      </w:r>
      <w:r w:rsidR="00C97FB2" w:rsidRPr="00D8046E">
        <w:rPr>
          <w:rFonts w:cs="Arial"/>
        </w:rPr>
        <w:t>S</w:t>
      </w:r>
      <w:r w:rsidR="00325744" w:rsidRPr="00D8046E">
        <w:rPr>
          <w:rFonts w:cs="Arial"/>
        </w:rPr>
        <w:t>.</w:t>
      </w:r>
      <w:r w:rsidR="00C97FB2" w:rsidRPr="00D8046E">
        <w:rPr>
          <w:rFonts w:cs="Arial"/>
        </w:rPr>
        <w:t xml:space="preserve"> Federal Reserve, per capita</w:t>
      </w:r>
      <w:r w:rsidR="008F0CF7" w:rsidRPr="00D8046E">
        <w:rPr>
          <w:rFonts w:cs="Arial"/>
        </w:rPr>
        <w:t xml:space="preserve"> personal debt in </w:t>
      </w:r>
      <w:r w:rsidR="00C97FB2" w:rsidRPr="00D8046E">
        <w:rPr>
          <w:rFonts w:cs="Arial"/>
        </w:rPr>
        <w:t xml:space="preserve">the </w:t>
      </w:r>
      <w:smartTag w:uri="urn:schemas-microsoft-com:office:smarttags" w:element="country-region">
        <w:smartTag w:uri="urn:schemas-microsoft-com:office:smarttags" w:element="place">
          <w:r w:rsidR="00C97FB2" w:rsidRPr="00D8046E">
            <w:rPr>
              <w:rFonts w:cs="Arial"/>
            </w:rPr>
            <w:t>U</w:t>
          </w:r>
          <w:r w:rsidR="00325744" w:rsidRPr="00D8046E">
            <w:rPr>
              <w:rFonts w:cs="Arial"/>
            </w:rPr>
            <w:t xml:space="preserve">nited </w:t>
          </w:r>
          <w:r w:rsidR="00C97FB2" w:rsidRPr="00D8046E">
            <w:rPr>
              <w:rFonts w:cs="Arial"/>
            </w:rPr>
            <w:t>S</w:t>
          </w:r>
          <w:r w:rsidR="00325744" w:rsidRPr="00D8046E">
            <w:rPr>
              <w:rFonts w:cs="Arial"/>
            </w:rPr>
            <w:t>tates</w:t>
          </w:r>
        </w:smartTag>
      </w:smartTag>
      <w:r w:rsidR="00C97FB2" w:rsidRPr="00D8046E">
        <w:rPr>
          <w:rFonts w:cs="Arial"/>
        </w:rPr>
        <w:t xml:space="preserve"> </w:t>
      </w:r>
      <w:r w:rsidR="00F70B79" w:rsidRPr="00D8046E">
        <w:rPr>
          <w:rFonts w:cs="Arial"/>
        </w:rPr>
        <w:t xml:space="preserve">has </w:t>
      </w:r>
      <w:r w:rsidR="00C97FB2" w:rsidRPr="00D8046E">
        <w:rPr>
          <w:rFonts w:cs="Arial"/>
        </w:rPr>
        <w:t xml:space="preserve">increased by at least a factor of </w:t>
      </w:r>
      <w:r w:rsidR="00F70B79" w:rsidRPr="00D8046E">
        <w:rPr>
          <w:rFonts w:cs="Arial"/>
        </w:rPr>
        <w:t>10</w:t>
      </w:r>
      <w:r w:rsidR="00C97FB2" w:rsidRPr="00D8046E">
        <w:rPr>
          <w:rFonts w:cs="Arial"/>
        </w:rPr>
        <w:t xml:space="preserve"> between 1945 and 2005, </w:t>
      </w:r>
      <w:r w:rsidR="008F0CF7" w:rsidRPr="00D8046E">
        <w:rPr>
          <w:rFonts w:cs="Arial"/>
        </w:rPr>
        <w:t>reach</w:t>
      </w:r>
      <w:r w:rsidR="00C97FB2" w:rsidRPr="00D8046E">
        <w:rPr>
          <w:rFonts w:cs="Arial"/>
        </w:rPr>
        <w:t>ing</w:t>
      </w:r>
      <w:r w:rsidR="008F0CF7" w:rsidRPr="00D8046E">
        <w:rPr>
          <w:rFonts w:cs="Arial"/>
        </w:rPr>
        <w:t xml:space="preserve"> unprecedented levels</w:t>
      </w:r>
      <w:r w:rsidR="00D6307F" w:rsidRPr="00D8046E">
        <w:rPr>
          <w:rFonts w:cs="Arial"/>
        </w:rPr>
        <w:t xml:space="preserve"> (Massey, 2008).</w:t>
      </w:r>
      <w:r w:rsidR="008F0CF7" w:rsidRPr="00D8046E">
        <w:rPr>
          <w:rFonts w:cs="Arial"/>
        </w:rPr>
        <w:t xml:space="preserve"> </w:t>
      </w:r>
      <w:r w:rsidR="006E714E" w:rsidRPr="00D8046E">
        <w:rPr>
          <w:rFonts w:cs="Arial"/>
        </w:rPr>
        <w:t>Canadian d</w:t>
      </w:r>
      <w:r w:rsidR="008D2F52" w:rsidRPr="00D8046E">
        <w:rPr>
          <w:rFonts w:cs="Arial"/>
        </w:rPr>
        <w:t xml:space="preserve">ebt levels are following a similar </w:t>
      </w:r>
      <w:r w:rsidR="002B67AF" w:rsidRPr="00D8046E">
        <w:rPr>
          <w:rFonts w:cs="Arial"/>
        </w:rPr>
        <w:t>trend</w:t>
      </w:r>
      <w:r w:rsidR="008D2F52" w:rsidRPr="00D8046E">
        <w:rPr>
          <w:rFonts w:cs="Arial"/>
        </w:rPr>
        <w:t xml:space="preserve"> according to the Bank of Canada. </w:t>
      </w:r>
      <w:r w:rsidR="00036D93" w:rsidRPr="00D8046E">
        <w:rPr>
          <w:rFonts w:cs="Arial"/>
        </w:rPr>
        <w:t>The causes of this trend are surely complex and we do not intend to oversimplify them or claim that our research has solved this problem. However,</w:t>
      </w:r>
      <w:r w:rsidR="001818E6" w:rsidRPr="00D8046E">
        <w:rPr>
          <w:rFonts w:cs="Arial"/>
        </w:rPr>
        <w:t xml:space="preserve"> our</w:t>
      </w:r>
      <w:r w:rsidR="00036D93" w:rsidRPr="00D8046E">
        <w:rPr>
          <w:rFonts w:cs="Arial"/>
        </w:rPr>
        <w:t xml:space="preserve"> </w:t>
      </w:r>
      <w:r w:rsidR="00DD239D" w:rsidRPr="00D8046E">
        <w:rPr>
          <w:rFonts w:cs="Arial"/>
        </w:rPr>
        <w:t>results</w:t>
      </w:r>
      <w:r w:rsidR="00036D93" w:rsidRPr="00D8046E">
        <w:rPr>
          <w:rFonts w:cs="Arial"/>
        </w:rPr>
        <w:t xml:space="preserve"> could potentially contribute to </w:t>
      </w:r>
      <w:r w:rsidR="000C3323" w:rsidRPr="00D8046E">
        <w:rPr>
          <w:rFonts w:cs="Arial"/>
        </w:rPr>
        <w:t xml:space="preserve">better </w:t>
      </w:r>
      <w:r w:rsidR="00036D93" w:rsidRPr="00D8046E">
        <w:rPr>
          <w:rFonts w:cs="Arial"/>
        </w:rPr>
        <w:t xml:space="preserve">understanding and ameliorating the situation. </w:t>
      </w:r>
      <w:r w:rsidR="00DE49C9" w:rsidRPr="00D8046E">
        <w:rPr>
          <w:rFonts w:cs="Arial"/>
        </w:rPr>
        <w:t xml:space="preserve">For example, </w:t>
      </w:r>
      <w:r w:rsidR="00325744" w:rsidRPr="00D8046E">
        <w:rPr>
          <w:rFonts w:cs="Arial"/>
        </w:rPr>
        <w:t>North Americans</w:t>
      </w:r>
      <w:r w:rsidR="008F0CF7" w:rsidRPr="00D8046E">
        <w:rPr>
          <w:rFonts w:cs="Arial"/>
        </w:rPr>
        <w:t xml:space="preserve"> </w:t>
      </w:r>
      <w:r w:rsidR="00054606" w:rsidRPr="00D8046E">
        <w:rPr>
          <w:rFonts w:cs="Arial"/>
        </w:rPr>
        <w:t xml:space="preserve">may be more likely to believe that in </w:t>
      </w:r>
      <w:r w:rsidR="00054606" w:rsidRPr="00D8046E">
        <w:rPr>
          <w:rFonts w:cs="Arial"/>
        </w:rPr>
        <w:lastRenderedPageBreak/>
        <w:t>order to accumulate wealth</w:t>
      </w:r>
      <w:r w:rsidR="005B3470" w:rsidRPr="00D8046E">
        <w:rPr>
          <w:rFonts w:cs="Arial"/>
        </w:rPr>
        <w:t xml:space="preserve"> or </w:t>
      </w:r>
      <w:r w:rsidR="0007708E" w:rsidRPr="00D8046E">
        <w:rPr>
          <w:rFonts w:cs="Arial"/>
        </w:rPr>
        <w:t xml:space="preserve">to </w:t>
      </w:r>
      <w:r w:rsidR="005B3470" w:rsidRPr="00D8046E">
        <w:rPr>
          <w:rFonts w:cs="Arial"/>
        </w:rPr>
        <w:t>resolve their debt</w:t>
      </w:r>
      <w:r w:rsidR="0007708E" w:rsidRPr="00D8046E">
        <w:rPr>
          <w:rFonts w:cs="Arial"/>
        </w:rPr>
        <w:t xml:space="preserve"> problems</w:t>
      </w:r>
      <w:r w:rsidR="00054606" w:rsidRPr="00D8046E">
        <w:rPr>
          <w:rFonts w:cs="Arial"/>
        </w:rPr>
        <w:t xml:space="preserve">, they need to </w:t>
      </w:r>
      <w:r w:rsidR="001816D6" w:rsidRPr="00D8046E">
        <w:rPr>
          <w:rFonts w:cs="Arial"/>
        </w:rPr>
        <w:t>focus on cutting ba</w:t>
      </w:r>
      <w:r w:rsidR="00325744" w:rsidRPr="00D8046E">
        <w:rPr>
          <w:rFonts w:cs="Arial"/>
        </w:rPr>
        <w:t>ck on major costs and purchases</w:t>
      </w:r>
      <w:r w:rsidR="00DE49C9" w:rsidRPr="00D8046E">
        <w:rPr>
          <w:rFonts w:cs="Arial"/>
        </w:rPr>
        <w:t>. In doing so, they may pay little attention to</w:t>
      </w:r>
      <w:r w:rsidR="001816D6" w:rsidRPr="00D8046E">
        <w:rPr>
          <w:rFonts w:cs="Arial"/>
        </w:rPr>
        <w:t xml:space="preserve"> </w:t>
      </w:r>
      <w:r w:rsidR="0007708E" w:rsidRPr="00D8046E">
        <w:rPr>
          <w:rFonts w:cs="Arial"/>
        </w:rPr>
        <w:t>the</w:t>
      </w:r>
      <w:r w:rsidR="0020634A" w:rsidRPr="00D8046E">
        <w:rPr>
          <w:rFonts w:cs="Arial"/>
        </w:rPr>
        <w:t xml:space="preserve"> financial</w:t>
      </w:r>
      <w:r w:rsidR="0007708E" w:rsidRPr="00D8046E">
        <w:rPr>
          <w:rFonts w:cs="Arial"/>
        </w:rPr>
        <w:t xml:space="preserve"> impact </w:t>
      </w:r>
      <w:r w:rsidR="0020634A" w:rsidRPr="00D8046E">
        <w:rPr>
          <w:rFonts w:cs="Arial"/>
        </w:rPr>
        <w:t>of</w:t>
      </w:r>
      <w:r w:rsidR="0007708E" w:rsidRPr="00D8046E">
        <w:rPr>
          <w:rFonts w:cs="Arial"/>
        </w:rPr>
        <w:t xml:space="preserve"> </w:t>
      </w:r>
      <w:r w:rsidR="001816D6" w:rsidRPr="00D8046E">
        <w:rPr>
          <w:rFonts w:cs="Arial"/>
        </w:rPr>
        <w:t>minor routine expenses.</w:t>
      </w:r>
      <w:r w:rsidR="008F0CF7" w:rsidRPr="00D8046E">
        <w:rPr>
          <w:rFonts w:cs="Arial"/>
        </w:rPr>
        <w:t xml:space="preserve"> Consistent with this possibility, financial experts are </w:t>
      </w:r>
      <w:r w:rsidR="009A1093" w:rsidRPr="00D8046E">
        <w:rPr>
          <w:rFonts w:cs="Arial"/>
        </w:rPr>
        <w:t>advising</w:t>
      </w:r>
      <w:r w:rsidR="008F0CF7" w:rsidRPr="00D8046E">
        <w:rPr>
          <w:rFonts w:cs="Arial"/>
        </w:rPr>
        <w:t xml:space="preserve"> people to cut back on </w:t>
      </w:r>
      <w:r w:rsidR="005C67AB" w:rsidRPr="00D8046E">
        <w:rPr>
          <w:rFonts w:cs="Arial"/>
        </w:rPr>
        <w:t>minor expenses</w:t>
      </w:r>
      <w:r w:rsidR="008F0CF7" w:rsidRPr="00D8046E">
        <w:rPr>
          <w:rFonts w:cs="Arial"/>
        </w:rPr>
        <w:t xml:space="preserve">, such as </w:t>
      </w:r>
      <w:r w:rsidR="006E714E" w:rsidRPr="00D8046E">
        <w:rPr>
          <w:rFonts w:cs="Arial"/>
        </w:rPr>
        <w:t xml:space="preserve">the </w:t>
      </w:r>
      <w:r w:rsidR="008F0CF7" w:rsidRPr="00D8046E">
        <w:rPr>
          <w:rFonts w:cs="Arial"/>
        </w:rPr>
        <w:t>purchas</w:t>
      </w:r>
      <w:r w:rsidR="006E714E" w:rsidRPr="00D8046E">
        <w:rPr>
          <w:rFonts w:cs="Arial"/>
        </w:rPr>
        <w:t>e of</w:t>
      </w:r>
      <w:r w:rsidR="008F0CF7" w:rsidRPr="00D8046E">
        <w:rPr>
          <w:rFonts w:cs="Arial"/>
        </w:rPr>
        <w:t xml:space="preserve"> </w:t>
      </w:r>
      <w:r w:rsidR="00254994" w:rsidRPr="00D8046E">
        <w:rPr>
          <w:rFonts w:cs="Arial"/>
        </w:rPr>
        <w:t>a</w:t>
      </w:r>
      <w:r w:rsidR="008F0CF7" w:rsidRPr="00D8046E">
        <w:rPr>
          <w:rFonts w:cs="Arial"/>
        </w:rPr>
        <w:t xml:space="preserve"> daily cup of coffee</w:t>
      </w:r>
      <w:r w:rsidR="005C67AB" w:rsidRPr="00D8046E">
        <w:rPr>
          <w:rFonts w:cs="Arial"/>
        </w:rPr>
        <w:t xml:space="preserve"> at a trendy café, because such purchases add up over time</w:t>
      </w:r>
      <w:r w:rsidR="008F0CF7" w:rsidRPr="00D8046E">
        <w:rPr>
          <w:rFonts w:cs="Arial"/>
        </w:rPr>
        <w:t xml:space="preserve">. </w:t>
      </w:r>
      <w:r w:rsidR="00F609C7" w:rsidRPr="00D8046E">
        <w:rPr>
          <w:rFonts w:cs="Arial"/>
        </w:rPr>
        <w:t xml:space="preserve">Thus, for </w:t>
      </w:r>
      <w:r w:rsidR="0007708E" w:rsidRPr="00D8046E">
        <w:rPr>
          <w:rFonts w:cs="Arial"/>
        </w:rPr>
        <w:t>people</w:t>
      </w:r>
      <w:r w:rsidR="00181A33" w:rsidRPr="00D8046E">
        <w:rPr>
          <w:rFonts w:cs="Arial"/>
        </w:rPr>
        <w:t xml:space="preserve"> who find themselves in debt, </w:t>
      </w:r>
      <w:r w:rsidR="0087265E" w:rsidRPr="00D8046E">
        <w:rPr>
          <w:rFonts w:cs="Arial"/>
        </w:rPr>
        <w:t xml:space="preserve">realizing the importance of </w:t>
      </w:r>
      <w:r w:rsidR="00181A33" w:rsidRPr="00D8046E">
        <w:rPr>
          <w:rFonts w:cs="Arial"/>
        </w:rPr>
        <w:t xml:space="preserve">reducing </w:t>
      </w:r>
      <w:r w:rsidR="0007708E" w:rsidRPr="00D8046E">
        <w:rPr>
          <w:rFonts w:cs="Arial"/>
        </w:rPr>
        <w:t xml:space="preserve">minor </w:t>
      </w:r>
      <w:r w:rsidR="00181A33" w:rsidRPr="00D8046E">
        <w:rPr>
          <w:rFonts w:cs="Arial"/>
        </w:rPr>
        <w:t>routine expenses</w:t>
      </w:r>
      <w:r w:rsidR="0087265E" w:rsidRPr="00D8046E">
        <w:rPr>
          <w:rFonts w:cs="Arial"/>
        </w:rPr>
        <w:t xml:space="preserve"> could enable </w:t>
      </w:r>
      <w:r w:rsidR="0007708E" w:rsidRPr="00D8046E">
        <w:rPr>
          <w:rFonts w:cs="Arial"/>
        </w:rPr>
        <w:t>them</w:t>
      </w:r>
      <w:r w:rsidR="0087265E" w:rsidRPr="00D8046E">
        <w:rPr>
          <w:rFonts w:cs="Arial"/>
        </w:rPr>
        <w:t xml:space="preserve"> to more quickly </w:t>
      </w:r>
      <w:r w:rsidR="007C5989" w:rsidRPr="00D8046E">
        <w:rPr>
          <w:rFonts w:cs="Arial"/>
        </w:rPr>
        <w:t xml:space="preserve">and effectively </w:t>
      </w:r>
      <w:r w:rsidR="0087265E" w:rsidRPr="00D8046E">
        <w:rPr>
          <w:rFonts w:cs="Arial"/>
        </w:rPr>
        <w:t xml:space="preserve">ameliorate their </w:t>
      </w:r>
      <w:r w:rsidR="00A70B56" w:rsidRPr="00D8046E">
        <w:rPr>
          <w:rFonts w:cs="Arial"/>
        </w:rPr>
        <w:t xml:space="preserve">financial </w:t>
      </w:r>
      <w:r w:rsidR="00FB5FA0" w:rsidRPr="00D8046E">
        <w:rPr>
          <w:rFonts w:cs="Arial"/>
        </w:rPr>
        <w:t>hardship</w:t>
      </w:r>
      <w:r w:rsidR="0087265E" w:rsidRPr="00D8046E">
        <w:rPr>
          <w:rFonts w:cs="Arial"/>
        </w:rPr>
        <w:t xml:space="preserve">. </w:t>
      </w:r>
      <w:r w:rsidR="00F609C7" w:rsidRPr="00D8046E">
        <w:rPr>
          <w:rFonts w:cs="Arial"/>
        </w:rPr>
        <w:t>In addition, t</w:t>
      </w:r>
      <w:r w:rsidR="008F0CF7" w:rsidRPr="00D8046E">
        <w:rPr>
          <w:rFonts w:cs="Arial"/>
        </w:rPr>
        <w:t>he results from Study 4</w:t>
      </w:r>
      <w:r w:rsidR="0087265E" w:rsidRPr="00D8046E">
        <w:rPr>
          <w:rFonts w:cs="Arial"/>
        </w:rPr>
        <w:t>,</w:t>
      </w:r>
      <w:r w:rsidR="008F0CF7" w:rsidRPr="00D8046E">
        <w:rPr>
          <w:rFonts w:cs="Arial"/>
        </w:rPr>
        <w:t xml:space="preserve"> demonstrating that the tendency to expect a magnitude correspondence is reduced when primed to think holistically, provide</w:t>
      </w:r>
      <w:r w:rsidR="005E4A30" w:rsidRPr="00D8046E">
        <w:rPr>
          <w:rFonts w:cs="Arial"/>
        </w:rPr>
        <w:t>s</w:t>
      </w:r>
      <w:r w:rsidR="008F0CF7" w:rsidRPr="00D8046E">
        <w:rPr>
          <w:rFonts w:cs="Arial"/>
        </w:rPr>
        <w:t xml:space="preserve"> hope that people can </w:t>
      </w:r>
      <w:r w:rsidR="007C4BEC" w:rsidRPr="00D8046E">
        <w:rPr>
          <w:rFonts w:cs="Arial"/>
        </w:rPr>
        <w:t>reduce</w:t>
      </w:r>
      <w:r w:rsidR="008F0CF7" w:rsidRPr="00D8046E">
        <w:rPr>
          <w:rFonts w:cs="Arial"/>
        </w:rPr>
        <w:t xml:space="preserve"> the degree </w:t>
      </w:r>
      <w:r w:rsidR="0062132B" w:rsidRPr="00D8046E">
        <w:rPr>
          <w:rFonts w:cs="Arial"/>
        </w:rPr>
        <w:t>to which they</w:t>
      </w:r>
      <w:r w:rsidR="005E4A30" w:rsidRPr="00D8046E">
        <w:rPr>
          <w:rFonts w:cs="Arial"/>
        </w:rPr>
        <w:t xml:space="preserve"> overlook minor expenses </w:t>
      </w:r>
      <w:r w:rsidR="008F0CF7" w:rsidRPr="00D8046E">
        <w:rPr>
          <w:rFonts w:cs="Arial"/>
        </w:rPr>
        <w:t xml:space="preserve">in such situations. </w:t>
      </w:r>
      <w:r w:rsidR="000F185D" w:rsidRPr="00D8046E">
        <w:rPr>
          <w:rFonts w:cs="Arial"/>
        </w:rPr>
        <w:t>We are investigating some of these implications in our ongoing research.</w:t>
      </w:r>
    </w:p>
    <w:p w:rsidR="008F0CF7" w:rsidRPr="00D8046E" w:rsidRDefault="00F609C7" w:rsidP="002029B8">
      <w:pPr>
        <w:spacing w:line="480" w:lineRule="auto"/>
        <w:ind w:firstLine="720"/>
        <w:rPr>
          <w:rFonts w:cs="Arial"/>
        </w:rPr>
      </w:pPr>
      <w:r w:rsidRPr="00D8046E">
        <w:rPr>
          <w:rFonts w:cs="Arial"/>
        </w:rPr>
        <w:t>Meanwhile,</w:t>
      </w:r>
      <w:r w:rsidR="008F0CF7" w:rsidRPr="00D8046E">
        <w:rPr>
          <w:rFonts w:cs="Arial"/>
        </w:rPr>
        <w:t xml:space="preserve"> this research could have </w:t>
      </w:r>
      <w:r w:rsidR="0075679C" w:rsidRPr="00D8046E">
        <w:rPr>
          <w:rFonts w:cs="Arial"/>
        </w:rPr>
        <w:t xml:space="preserve">mirror-image </w:t>
      </w:r>
      <w:r w:rsidR="008F0CF7" w:rsidRPr="00D8046E">
        <w:rPr>
          <w:rFonts w:cs="Arial"/>
        </w:rPr>
        <w:t xml:space="preserve">implications for </w:t>
      </w:r>
      <w:r w:rsidR="004A756F" w:rsidRPr="00D8046E">
        <w:rPr>
          <w:rFonts w:cs="Arial"/>
        </w:rPr>
        <w:t xml:space="preserve">East Asians. For example, East Asians </w:t>
      </w:r>
      <w:r w:rsidR="00325744" w:rsidRPr="00D8046E">
        <w:rPr>
          <w:rFonts w:cs="Arial"/>
        </w:rPr>
        <w:t>may underestimate</w:t>
      </w:r>
      <w:r w:rsidR="008F0CF7" w:rsidRPr="00D8046E">
        <w:rPr>
          <w:rFonts w:cs="Arial"/>
        </w:rPr>
        <w:t xml:space="preserve"> the importance of major </w:t>
      </w:r>
      <w:r w:rsidR="00081FBA" w:rsidRPr="00D8046E">
        <w:rPr>
          <w:rFonts w:cs="Arial"/>
        </w:rPr>
        <w:t xml:space="preserve">health-related </w:t>
      </w:r>
      <w:r w:rsidR="006E714E" w:rsidRPr="00D8046E">
        <w:rPr>
          <w:rFonts w:cs="Arial"/>
        </w:rPr>
        <w:t>behaviors</w:t>
      </w:r>
      <w:r w:rsidR="008F0CF7" w:rsidRPr="00D8046E">
        <w:rPr>
          <w:rFonts w:cs="Arial"/>
        </w:rPr>
        <w:t xml:space="preserve"> because they believe that other minor </w:t>
      </w:r>
      <w:r w:rsidR="00081FBA" w:rsidRPr="00D8046E">
        <w:rPr>
          <w:rFonts w:cs="Arial"/>
        </w:rPr>
        <w:t xml:space="preserve">health-related </w:t>
      </w:r>
      <w:r w:rsidR="006E714E" w:rsidRPr="00D8046E">
        <w:rPr>
          <w:rFonts w:cs="Arial"/>
        </w:rPr>
        <w:t>behaviors</w:t>
      </w:r>
      <w:r w:rsidR="008F0CF7" w:rsidRPr="00D8046E">
        <w:rPr>
          <w:rFonts w:cs="Arial"/>
        </w:rPr>
        <w:t xml:space="preserve"> will compensate. For example, when told by a medical expert that ceasing a </w:t>
      </w:r>
      <w:r w:rsidR="00E73485" w:rsidRPr="00D8046E">
        <w:rPr>
          <w:rFonts w:cs="Arial"/>
        </w:rPr>
        <w:t xml:space="preserve">pernicious </w:t>
      </w:r>
      <w:r w:rsidR="008F0CF7" w:rsidRPr="00D8046E">
        <w:rPr>
          <w:rFonts w:cs="Arial"/>
        </w:rPr>
        <w:t>behaviour, such as smoking, is essential for dealing with a major illness, such as lung cancer, Easterners may be more likely to believe that</w:t>
      </w:r>
      <w:r w:rsidR="000F185D" w:rsidRPr="00D8046E">
        <w:rPr>
          <w:rFonts w:cs="Arial"/>
        </w:rPr>
        <w:t xml:space="preserve"> their</w:t>
      </w:r>
      <w:r w:rsidR="008F0CF7" w:rsidRPr="00D8046E">
        <w:rPr>
          <w:rFonts w:cs="Arial"/>
        </w:rPr>
        <w:t xml:space="preserve"> other </w:t>
      </w:r>
      <w:r w:rsidR="00F47A5E" w:rsidRPr="00D8046E">
        <w:rPr>
          <w:rFonts w:cs="Arial"/>
        </w:rPr>
        <w:t xml:space="preserve">health-related </w:t>
      </w:r>
      <w:r w:rsidR="006E714E" w:rsidRPr="00D8046E">
        <w:rPr>
          <w:rFonts w:cs="Arial"/>
        </w:rPr>
        <w:t>behaviors</w:t>
      </w:r>
      <w:r w:rsidR="008F0CF7" w:rsidRPr="00D8046E">
        <w:rPr>
          <w:rFonts w:cs="Arial"/>
        </w:rPr>
        <w:t>, such as eating well</w:t>
      </w:r>
      <w:r w:rsidR="005A6E9D" w:rsidRPr="00D8046E">
        <w:rPr>
          <w:rFonts w:cs="Arial"/>
        </w:rPr>
        <w:t>,</w:t>
      </w:r>
      <w:r w:rsidR="008F0CF7" w:rsidRPr="00D8046E">
        <w:rPr>
          <w:rFonts w:cs="Arial"/>
        </w:rPr>
        <w:t xml:space="preserve"> will compensate for the </w:t>
      </w:r>
      <w:r w:rsidR="006E714E" w:rsidRPr="00D8046E">
        <w:rPr>
          <w:rFonts w:cs="Arial"/>
        </w:rPr>
        <w:t>detrimental effects of smoking</w:t>
      </w:r>
      <w:r w:rsidR="008F0CF7" w:rsidRPr="00D8046E">
        <w:rPr>
          <w:rFonts w:cs="Arial"/>
        </w:rPr>
        <w:t xml:space="preserve">. </w:t>
      </w:r>
    </w:p>
    <w:p w:rsidR="00A3361D" w:rsidRPr="00D8046E" w:rsidRDefault="00B71155" w:rsidP="002029B8">
      <w:pPr>
        <w:spacing w:line="480" w:lineRule="auto"/>
        <w:ind w:firstLine="720"/>
        <w:rPr>
          <w:rFonts w:cs="Arial"/>
        </w:rPr>
      </w:pPr>
      <w:r w:rsidRPr="00D8046E">
        <w:rPr>
          <w:rFonts w:cs="Arial"/>
        </w:rPr>
        <w:t>The present</w:t>
      </w:r>
      <w:r w:rsidR="00D17640" w:rsidRPr="00D8046E">
        <w:rPr>
          <w:rFonts w:cs="Arial"/>
        </w:rPr>
        <w:t xml:space="preserve"> research </w:t>
      </w:r>
      <w:r w:rsidRPr="00D8046E">
        <w:rPr>
          <w:rFonts w:cs="Arial"/>
        </w:rPr>
        <w:t xml:space="preserve">also </w:t>
      </w:r>
      <w:r w:rsidR="00D17640" w:rsidRPr="00D8046E">
        <w:rPr>
          <w:rFonts w:cs="Arial"/>
        </w:rPr>
        <w:t xml:space="preserve">has practical implications </w:t>
      </w:r>
      <w:r w:rsidRPr="00D8046E">
        <w:rPr>
          <w:rFonts w:cs="Arial"/>
        </w:rPr>
        <w:t>for problem solving</w:t>
      </w:r>
      <w:r w:rsidR="0019266E" w:rsidRPr="00D8046E">
        <w:rPr>
          <w:rFonts w:cs="Arial"/>
        </w:rPr>
        <w:t xml:space="preserve"> and negotiation</w:t>
      </w:r>
      <w:r w:rsidR="00D17640" w:rsidRPr="00D8046E">
        <w:rPr>
          <w:rFonts w:cs="Arial"/>
        </w:rPr>
        <w:t>.</w:t>
      </w:r>
      <w:r w:rsidRPr="00D8046E">
        <w:rPr>
          <w:rFonts w:cs="Arial"/>
        </w:rPr>
        <w:t xml:space="preserve"> </w:t>
      </w:r>
      <w:r w:rsidR="009B17D0" w:rsidRPr="00D8046E">
        <w:rPr>
          <w:rFonts w:cs="Arial"/>
        </w:rPr>
        <w:t xml:space="preserve">The human world is becoming increasingly interconnected and many nations are becoming more ethnically diverse. People from different cultures are realizing the growing need to work together to solve problems, such as those currently undermining political and financial stability, as well as those plaguing our natural environment. </w:t>
      </w:r>
      <w:r w:rsidRPr="00D8046E">
        <w:rPr>
          <w:rFonts w:cs="Arial"/>
        </w:rPr>
        <w:t xml:space="preserve">When investigating the cause of a high magnitude </w:t>
      </w:r>
      <w:r w:rsidR="00762B22" w:rsidRPr="00D8046E">
        <w:rPr>
          <w:rFonts w:cs="Arial"/>
        </w:rPr>
        <w:lastRenderedPageBreak/>
        <w:t>effect</w:t>
      </w:r>
      <w:r w:rsidRPr="00D8046E">
        <w:rPr>
          <w:rFonts w:cs="Arial"/>
        </w:rPr>
        <w:t xml:space="preserve">, Westerners’ tendency to expect high magnitude causes may lead them to overlook relatively lower magnitude causes that </w:t>
      </w:r>
      <w:r w:rsidR="00E021D4" w:rsidRPr="00D8046E">
        <w:rPr>
          <w:rFonts w:cs="Arial"/>
        </w:rPr>
        <w:t>might have</w:t>
      </w:r>
      <w:r w:rsidRPr="00D8046E">
        <w:rPr>
          <w:rFonts w:cs="Arial"/>
        </w:rPr>
        <w:t xml:space="preserve"> played a key role.</w:t>
      </w:r>
      <w:r w:rsidR="00E021D4" w:rsidRPr="00D8046E">
        <w:rPr>
          <w:rFonts w:cs="Arial"/>
        </w:rPr>
        <w:t xml:space="preserve"> On the other hand, Chinese might </w:t>
      </w:r>
      <w:r w:rsidR="00813EF0" w:rsidRPr="00D8046E">
        <w:rPr>
          <w:rFonts w:cs="Arial"/>
        </w:rPr>
        <w:t>over</w:t>
      </w:r>
      <w:r w:rsidR="00762B22" w:rsidRPr="00D8046E">
        <w:rPr>
          <w:rFonts w:cs="Arial"/>
        </w:rPr>
        <w:t>emphasi</w:t>
      </w:r>
      <w:r w:rsidR="00813EF0" w:rsidRPr="00D8046E">
        <w:rPr>
          <w:rFonts w:cs="Arial"/>
        </w:rPr>
        <w:t>ze</w:t>
      </w:r>
      <w:r w:rsidR="00762B22" w:rsidRPr="00D8046E">
        <w:rPr>
          <w:rFonts w:cs="Arial"/>
        </w:rPr>
        <w:t xml:space="preserve"> </w:t>
      </w:r>
      <w:r w:rsidR="00E021D4" w:rsidRPr="00D8046E">
        <w:rPr>
          <w:rFonts w:cs="Arial"/>
        </w:rPr>
        <w:t xml:space="preserve">factors that </w:t>
      </w:r>
      <w:r w:rsidR="00F61984" w:rsidRPr="00D8046E">
        <w:rPr>
          <w:rFonts w:cs="Arial"/>
        </w:rPr>
        <w:t>played a minor role</w:t>
      </w:r>
      <w:r w:rsidR="00E23DC5" w:rsidRPr="00D8046E">
        <w:rPr>
          <w:rFonts w:cs="Arial"/>
        </w:rPr>
        <w:t xml:space="preserve"> at the expense of those that played a major role</w:t>
      </w:r>
      <w:r w:rsidR="00E021D4" w:rsidRPr="00D8046E">
        <w:rPr>
          <w:rFonts w:cs="Arial"/>
        </w:rPr>
        <w:t>. These different tendencies to</w:t>
      </w:r>
      <w:r w:rsidR="008F0CF7" w:rsidRPr="00D8046E">
        <w:rPr>
          <w:rFonts w:cs="Arial"/>
        </w:rPr>
        <w:t xml:space="preserve"> </w:t>
      </w:r>
      <w:r w:rsidR="00E021D4" w:rsidRPr="00D8046E">
        <w:rPr>
          <w:rFonts w:cs="Arial"/>
        </w:rPr>
        <w:t>emphasize high v</w:t>
      </w:r>
      <w:r w:rsidR="00F61984" w:rsidRPr="00D8046E">
        <w:rPr>
          <w:rFonts w:cs="Arial"/>
        </w:rPr>
        <w:t>er</w:t>
      </w:r>
      <w:r w:rsidR="00E021D4" w:rsidRPr="00D8046E">
        <w:rPr>
          <w:rFonts w:cs="Arial"/>
        </w:rPr>
        <w:t>s</w:t>
      </w:r>
      <w:r w:rsidR="00F61984" w:rsidRPr="00D8046E">
        <w:rPr>
          <w:rFonts w:cs="Arial"/>
        </w:rPr>
        <w:t>us</w:t>
      </w:r>
      <w:r w:rsidR="00E021D4" w:rsidRPr="00D8046E">
        <w:rPr>
          <w:rFonts w:cs="Arial"/>
        </w:rPr>
        <w:t xml:space="preserve"> low magnitude</w:t>
      </w:r>
      <w:r w:rsidR="008F0CF7" w:rsidRPr="00D8046E">
        <w:rPr>
          <w:rFonts w:cs="Arial"/>
        </w:rPr>
        <w:t xml:space="preserve"> causes </w:t>
      </w:r>
      <w:r w:rsidR="00FA1C9E" w:rsidRPr="00D8046E">
        <w:rPr>
          <w:rFonts w:cs="Arial"/>
        </w:rPr>
        <w:t xml:space="preserve">could </w:t>
      </w:r>
      <w:r w:rsidR="00E021D4" w:rsidRPr="00D8046E">
        <w:rPr>
          <w:rFonts w:cs="Arial"/>
        </w:rPr>
        <w:t xml:space="preserve">potentially </w:t>
      </w:r>
      <w:r w:rsidR="00FA1C9E" w:rsidRPr="00D8046E">
        <w:rPr>
          <w:rFonts w:cs="Arial"/>
        </w:rPr>
        <w:t xml:space="preserve">lead to </w:t>
      </w:r>
      <w:r w:rsidR="008F0CF7" w:rsidRPr="00D8046E">
        <w:rPr>
          <w:rFonts w:cs="Arial"/>
        </w:rPr>
        <w:t xml:space="preserve">disagreement or </w:t>
      </w:r>
      <w:r w:rsidR="00FA1C9E" w:rsidRPr="00D8046E">
        <w:rPr>
          <w:rFonts w:cs="Arial"/>
        </w:rPr>
        <w:t xml:space="preserve">international conflict. </w:t>
      </w:r>
      <w:r w:rsidR="00C47FF3" w:rsidRPr="00D8046E">
        <w:rPr>
          <w:rFonts w:cs="Arial"/>
        </w:rPr>
        <w:t xml:space="preserve">In a world in which cross-cultural interaction is </w:t>
      </w:r>
      <w:r w:rsidR="00F61984" w:rsidRPr="00D8046E">
        <w:rPr>
          <w:rFonts w:cs="Arial"/>
        </w:rPr>
        <w:t>crucial</w:t>
      </w:r>
      <w:r w:rsidR="00C47FF3" w:rsidRPr="00D8046E">
        <w:rPr>
          <w:rFonts w:cs="Arial"/>
        </w:rPr>
        <w:t xml:space="preserve">, further understanding cultural differences in reasoning about cause and effect relationships could prove </w:t>
      </w:r>
      <w:r w:rsidR="00F61984" w:rsidRPr="00D8046E">
        <w:rPr>
          <w:rFonts w:cs="Arial"/>
        </w:rPr>
        <w:t>important</w:t>
      </w:r>
      <w:r w:rsidR="00C47FF3" w:rsidRPr="00D8046E">
        <w:rPr>
          <w:rFonts w:cs="Arial"/>
        </w:rPr>
        <w:t xml:space="preserve"> </w:t>
      </w:r>
      <w:r w:rsidR="004003CB" w:rsidRPr="00D8046E">
        <w:rPr>
          <w:rFonts w:cs="Arial"/>
        </w:rPr>
        <w:t xml:space="preserve">both </w:t>
      </w:r>
      <w:r w:rsidR="00C47FF3" w:rsidRPr="00D8046E">
        <w:rPr>
          <w:rFonts w:cs="Arial"/>
        </w:rPr>
        <w:t xml:space="preserve">for </w:t>
      </w:r>
      <w:r w:rsidR="00D82749" w:rsidRPr="00D8046E">
        <w:rPr>
          <w:rFonts w:cs="Arial"/>
        </w:rPr>
        <w:t xml:space="preserve">finding solutions </w:t>
      </w:r>
      <w:r w:rsidR="00CC12CD" w:rsidRPr="00D8046E">
        <w:rPr>
          <w:rFonts w:cs="Arial"/>
        </w:rPr>
        <w:t xml:space="preserve">to the problems </w:t>
      </w:r>
      <w:r w:rsidR="00D82749" w:rsidRPr="00D8046E">
        <w:rPr>
          <w:rFonts w:cs="Arial"/>
        </w:rPr>
        <w:t xml:space="preserve">and </w:t>
      </w:r>
      <w:r w:rsidR="004003CB" w:rsidRPr="00D8046E">
        <w:rPr>
          <w:rFonts w:cs="Arial"/>
        </w:rPr>
        <w:t xml:space="preserve">for </w:t>
      </w:r>
      <w:r w:rsidR="00C47FF3" w:rsidRPr="00D8046E">
        <w:rPr>
          <w:rFonts w:cs="Arial"/>
        </w:rPr>
        <w:t>negotiating diplomatic resolutions to the inevitable disagreements that will arise</w:t>
      </w:r>
      <w:r w:rsidR="006E714E" w:rsidRPr="00D8046E">
        <w:rPr>
          <w:rFonts w:cs="Arial"/>
        </w:rPr>
        <w:t xml:space="preserve"> between nations</w:t>
      </w:r>
      <w:r w:rsidR="00C47FF3" w:rsidRPr="00D8046E">
        <w:rPr>
          <w:rFonts w:cs="Arial"/>
        </w:rPr>
        <w:t xml:space="preserve">. </w:t>
      </w:r>
    </w:p>
    <w:p w:rsidR="003C4C43" w:rsidRPr="00D8046E" w:rsidRDefault="007717CA" w:rsidP="002029B8">
      <w:pPr>
        <w:spacing w:line="480" w:lineRule="auto"/>
        <w:ind w:firstLine="720"/>
        <w:rPr>
          <w:rFonts w:cs="Arial"/>
        </w:rPr>
      </w:pPr>
      <w:r w:rsidRPr="00D8046E">
        <w:rPr>
          <w:rStyle w:val="body"/>
        </w:rPr>
        <w:t>People associate big causes with big effects</w:t>
      </w:r>
      <w:r w:rsidR="00154029" w:rsidRPr="00D8046E">
        <w:rPr>
          <w:rStyle w:val="body"/>
        </w:rPr>
        <w:t xml:space="preserve"> and small causes with small effects</w:t>
      </w:r>
      <w:r w:rsidRPr="00D8046E">
        <w:rPr>
          <w:rStyle w:val="body"/>
        </w:rPr>
        <w:t xml:space="preserve">. However, </w:t>
      </w:r>
      <w:r w:rsidR="001740E0" w:rsidRPr="00D8046E">
        <w:rPr>
          <w:rStyle w:val="body"/>
        </w:rPr>
        <w:t>the degree</w:t>
      </w:r>
      <w:r w:rsidR="008B2062" w:rsidRPr="00D8046E">
        <w:rPr>
          <w:rStyle w:val="body"/>
        </w:rPr>
        <w:t xml:space="preserve"> to </w:t>
      </w:r>
      <w:r w:rsidR="001740E0" w:rsidRPr="00D8046E">
        <w:rPr>
          <w:rStyle w:val="body"/>
        </w:rPr>
        <w:t xml:space="preserve">which we </w:t>
      </w:r>
      <w:r w:rsidRPr="00D8046E">
        <w:rPr>
          <w:rStyle w:val="body"/>
        </w:rPr>
        <w:t xml:space="preserve">make this </w:t>
      </w:r>
      <w:r w:rsidR="008B2062" w:rsidRPr="00D8046E">
        <w:rPr>
          <w:rStyle w:val="body"/>
        </w:rPr>
        <w:t>associat</w:t>
      </w:r>
      <w:r w:rsidRPr="00D8046E">
        <w:rPr>
          <w:rStyle w:val="body"/>
        </w:rPr>
        <w:t xml:space="preserve">ion </w:t>
      </w:r>
      <w:r w:rsidR="008B2062" w:rsidRPr="00D8046E">
        <w:rPr>
          <w:rStyle w:val="body"/>
        </w:rPr>
        <w:t xml:space="preserve">is at least partially determined by the </w:t>
      </w:r>
      <w:r w:rsidR="00293FF7" w:rsidRPr="00D8046E">
        <w:rPr>
          <w:rStyle w:val="body"/>
        </w:rPr>
        <w:t xml:space="preserve">reasoning processes we are imbued with from the </w:t>
      </w:r>
      <w:r w:rsidR="008B2062" w:rsidRPr="00D8046E">
        <w:rPr>
          <w:rStyle w:val="body"/>
        </w:rPr>
        <w:t xml:space="preserve">culture in which our minds </w:t>
      </w:r>
      <w:r w:rsidR="0061575D" w:rsidRPr="00D8046E">
        <w:rPr>
          <w:rStyle w:val="body"/>
        </w:rPr>
        <w:t>developed</w:t>
      </w:r>
      <w:r w:rsidR="008B2062" w:rsidRPr="00D8046E">
        <w:rPr>
          <w:rStyle w:val="body"/>
        </w:rPr>
        <w:t>.</w:t>
      </w:r>
      <w:r w:rsidR="00DB6949" w:rsidRPr="00D8046E">
        <w:rPr>
          <w:rStyle w:val="body"/>
        </w:rPr>
        <w:t xml:space="preserve"> </w:t>
      </w:r>
      <w:r w:rsidR="00FB3D7D" w:rsidRPr="00D8046E">
        <w:rPr>
          <w:rStyle w:val="body"/>
        </w:rPr>
        <w:t xml:space="preserve">Some </w:t>
      </w:r>
      <w:r w:rsidR="003C4C43" w:rsidRPr="00D8046E">
        <w:rPr>
          <w:rStyle w:val="body"/>
        </w:rPr>
        <w:t>physicist</w:t>
      </w:r>
      <w:r w:rsidR="00FB3D7D" w:rsidRPr="00D8046E">
        <w:rPr>
          <w:rStyle w:val="body"/>
        </w:rPr>
        <w:t>s</w:t>
      </w:r>
      <w:r w:rsidR="003C4C43" w:rsidRPr="00D8046E">
        <w:rPr>
          <w:rStyle w:val="body"/>
        </w:rPr>
        <w:t xml:space="preserve"> </w:t>
      </w:r>
      <w:r w:rsidR="00FB3D7D" w:rsidRPr="00D8046E">
        <w:rPr>
          <w:rStyle w:val="body"/>
        </w:rPr>
        <w:t xml:space="preserve">believe </w:t>
      </w:r>
      <w:r w:rsidR="003969FF" w:rsidRPr="00D8046E">
        <w:rPr>
          <w:rStyle w:val="body"/>
        </w:rPr>
        <w:t>that our</w:t>
      </w:r>
      <w:r w:rsidR="003C4C43" w:rsidRPr="00D8046E">
        <w:rPr>
          <w:rStyle w:val="body"/>
        </w:rPr>
        <w:t xml:space="preserve"> </w:t>
      </w:r>
      <w:r w:rsidR="003969FF" w:rsidRPr="00D8046E">
        <w:rPr>
          <w:rStyle w:val="body"/>
        </w:rPr>
        <w:t xml:space="preserve">universe, created by the </w:t>
      </w:r>
      <w:r w:rsidR="003C4C43" w:rsidRPr="00D8046E">
        <w:rPr>
          <w:rStyle w:val="body"/>
        </w:rPr>
        <w:t>big bang</w:t>
      </w:r>
      <w:r w:rsidR="003969FF" w:rsidRPr="00D8046E">
        <w:rPr>
          <w:rStyle w:val="body"/>
        </w:rPr>
        <w:t>,</w:t>
      </w:r>
      <w:r w:rsidR="003C4C43" w:rsidRPr="00D8046E">
        <w:rPr>
          <w:rStyle w:val="body"/>
        </w:rPr>
        <w:t xml:space="preserve"> will </w:t>
      </w:r>
      <w:r w:rsidR="003969FF" w:rsidRPr="00D8046E">
        <w:rPr>
          <w:rStyle w:val="body"/>
        </w:rPr>
        <w:t>end in a</w:t>
      </w:r>
      <w:r w:rsidR="003C4C43" w:rsidRPr="00D8046E">
        <w:rPr>
          <w:rStyle w:val="body"/>
        </w:rPr>
        <w:t xml:space="preserve"> big crunch. </w:t>
      </w:r>
      <w:r w:rsidR="005304A1" w:rsidRPr="00D8046E">
        <w:rPr>
          <w:rStyle w:val="body"/>
        </w:rPr>
        <w:t xml:space="preserve">Perhaps </w:t>
      </w:r>
      <w:r w:rsidR="003969FF" w:rsidRPr="00D8046E">
        <w:rPr>
          <w:rStyle w:val="body"/>
        </w:rPr>
        <w:t xml:space="preserve">a more holistic interpretation of this scenario would result in the universe that began from the big bang ending in a small crunch. </w:t>
      </w:r>
    </w:p>
    <w:p w:rsidR="00165FFB" w:rsidRPr="00D8046E" w:rsidRDefault="00124F57" w:rsidP="00CF2899">
      <w:pPr>
        <w:spacing w:line="480" w:lineRule="auto"/>
        <w:jc w:val="center"/>
      </w:pPr>
      <w:r>
        <w:rPr>
          <w:rFonts w:cs="Arial"/>
        </w:rPr>
        <w:br w:type="page"/>
      </w:r>
      <w:r w:rsidR="00165FFB" w:rsidRPr="00D8046E">
        <w:lastRenderedPageBreak/>
        <w:t>References</w:t>
      </w:r>
    </w:p>
    <w:p w:rsidR="002F467E" w:rsidRPr="00D8046E" w:rsidRDefault="002F467E" w:rsidP="00E41A39">
      <w:pPr>
        <w:spacing w:line="480" w:lineRule="auto"/>
        <w:ind w:left="720" w:hanging="720"/>
      </w:pPr>
      <w:r w:rsidRPr="00D8046E">
        <w:t xml:space="preserve">Chen, C., Lee, S.Y., &amp; Stevenson, H.W. (1995). </w:t>
      </w:r>
      <w:r w:rsidRPr="00D8046E">
        <w:rPr>
          <w:bCs/>
        </w:rPr>
        <w:t>Response style</w:t>
      </w:r>
      <w:r w:rsidR="00E41A39" w:rsidRPr="00D8046E">
        <w:rPr>
          <w:bCs/>
        </w:rPr>
        <w:t xml:space="preserve"> and cross-cultural comparisons </w:t>
      </w:r>
      <w:r w:rsidRPr="00D8046E">
        <w:rPr>
          <w:bCs/>
        </w:rPr>
        <w:t xml:space="preserve">of rating scales among East Asian and North American students, </w:t>
      </w:r>
      <w:r w:rsidRPr="00D8046E">
        <w:rPr>
          <w:bCs/>
          <w:i/>
        </w:rPr>
        <w:t>Psychological Science, 6</w:t>
      </w:r>
      <w:r w:rsidRPr="00D8046E">
        <w:rPr>
          <w:bCs/>
        </w:rPr>
        <w:t xml:space="preserve">, </w:t>
      </w:r>
      <w:r w:rsidRPr="00D8046E">
        <w:t>170-175.</w:t>
      </w:r>
    </w:p>
    <w:p w:rsidR="00A678DC" w:rsidRPr="00D8046E" w:rsidRDefault="00A678DC" w:rsidP="00F85613">
      <w:pPr>
        <w:spacing w:line="480" w:lineRule="auto"/>
      </w:pPr>
      <w:r w:rsidRPr="0032032F">
        <w:t xml:space="preserve">Choi, </w:t>
      </w:r>
      <w:smartTag w:uri="urn:schemas-microsoft-com:office:smarttags" w:element="place">
        <w:r w:rsidRPr="0032032F">
          <w:t>I.</w:t>
        </w:r>
      </w:smartTag>
      <w:r w:rsidRPr="0032032F">
        <w:t xml:space="preserve">, Dalal, R., </w:t>
      </w:r>
      <w:r w:rsidR="005F2A4F" w:rsidRPr="0032032F">
        <w:t xml:space="preserve">Kim-Prieto, </w:t>
      </w:r>
      <w:r w:rsidRPr="0032032F">
        <w:t>C</w:t>
      </w:r>
      <w:r w:rsidR="005F2A4F" w:rsidRPr="0032032F">
        <w:t>.</w:t>
      </w:r>
      <w:r w:rsidRPr="0032032F">
        <w:t xml:space="preserve">, &amp; Park, H. (2003). </w:t>
      </w:r>
      <w:r w:rsidRPr="00D8046E">
        <w:t xml:space="preserve">Culture and judgment of causal </w:t>
      </w:r>
    </w:p>
    <w:p w:rsidR="00A678DC" w:rsidRDefault="00A678DC" w:rsidP="00F85613">
      <w:pPr>
        <w:spacing w:line="480" w:lineRule="auto"/>
        <w:ind w:firstLine="720"/>
      </w:pPr>
      <w:r w:rsidRPr="00D8046E">
        <w:t xml:space="preserve">relevance. </w:t>
      </w:r>
      <w:r w:rsidRPr="00D8046E">
        <w:rPr>
          <w:i/>
        </w:rPr>
        <w:t>Journal of Personality and Social Psychology, 84</w:t>
      </w:r>
      <w:r w:rsidRPr="00D8046E">
        <w:t>, 46-59.</w:t>
      </w:r>
    </w:p>
    <w:p w:rsidR="00DE69DE" w:rsidRPr="00D8046E" w:rsidRDefault="00DE69DE" w:rsidP="00F85613">
      <w:pPr>
        <w:spacing w:line="480" w:lineRule="auto"/>
        <w:rPr>
          <w:i/>
        </w:rPr>
      </w:pPr>
      <w:r w:rsidRPr="00992242">
        <w:rPr>
          <w:lang w:val="pt-BR"/>
        </w:rPr>
        <w:t xml:space="preserve">Ebel-Lam, A.P., Fabrigar, L.R., MacDonald, T.K., &amp; Jones, S. (2008). </w:t>
      </w:r>
      <w:r w:rsidRPr="00D8046E">
        <w:rPr>
          <w:i/>
        </w:rPr>
        <w:t xml:space="preserve">Balancing </w:t>
      </w:r>
    </w:p>
    <w:p w:rsidR="00DE69DE" w:rsidRPr="00D8046E" w:rsidRDefault="00DE69DE" w:rsidP="00F85613">
      <w:pPr>
        <w:spacing w:line="480" w:lineRule="auto"/>
        <w:ind w:left="720"/>
      </w:pPr>
      <w:r w:rsidRPr="00D8046E">
        <w:rPr>
          <w:i/>
        </w:rPr>
        <w:t>Causes and Consequences:  The Proportionality Principle in Explanations for Complex Social Events</w:t>
      </w:r>
      <w:r w:rsidR="000002A4" w:rsidRPr="00D8046E">
        <w:rPr>
          <w:i/>
        </w:rPr>
        <w:t>.</w:t>
      </w:r>
      <w:r w:rsidRPr="00D8046E">
        <w:rPr>
          <w:i/>
        </w:rPr>
        <w:t xml:space="preserve"> </w:t>
      </w:r>
      <w:r w:rsidRPr="00D8046E">
        <w:t xml:space="preserve">Unpublished manuscript, Queen’s University, </w:t>
      </w:r>
      <w:smartTag w:uri="urn:schemas-microsoft-com:office:smarttags" w:element="place">
        <w:smartTag w:uri="urn:schemas-microsoft-com:office:smarttags" w:element="City">
          <w:r w:rsidR="00550834" w:rsidRPr="00D8046E">
            <w:t>Kingston</w:t>
          </w:r>
        </w:smartTag>
        <w:r w:rsidR="00550834" w:rsidRPr="00D8046E">
          <w:t xml:space="preserve">, </w:t>
        </w:r>
        <w:smartTag w:uri="urn:schemas-microsoft-com:office:smarttags" w:element="State">
          <w:r w:rsidR="00550834" w:rsidRPr="00D8046E">
            <w:t>Ontario</w:t>
          </w:r>
        </w:smartTag>
        <w:r w:rsidR="00550834" w:rsidRPr="00D8046E">
          <w:t xml:space="preserve">, </w:t>
        </w:r>
        <w:smartTag w:uri="urn:schemas-microsoft-com:office:smarttags" w:element="country-region">
          <w:r w:rsidRPr="00D8046E">
            <w:t>Canada</w:t>
          </w:r>
        </w:smartTag>
      </w:smartTag>
      <w:r w:rsidRPr="00D8046E">
        <w:t>.</w:t>
      </w:r>
    </w:p>
    <w:p w:rsidR="00E03F95" w:rsidRDefault="00165FFB" w:rsidP="00132AA0">
      <w:pPr>
        <w:spacing w:line="480" w:lineRule="auto"/>
      </w:pPr>
      <w:r w:rsidRPr="00D8046E">
        <w:t>Einhorn, H.J.</w:t>
      </w:r>
      <w:r w:rsidR="00132AA0" w:rsidRPr="00D8046E">
        <w:t>,</w:t>
      </w:r>
      <w:r w:rsidRPr="00D8046E">
        <w:t xml:space="preserve"> &amp; Hogarth, R.M. (1986). Judging probable cause. </w:t>
      </w:r>
      <w:r w:rsidRPr="00D8046E">
        <w:rPr>
          <w:i/>
          <w:iCs/>
        </w:rPr>
        <w:t xml:space="preserve">Psychological Bulletin, </w:t>
      </w:r>
      <w:r w:rsidRPr="00D8046E">
        <w:rPr>
          <w:i/>
        </w:rPr>
        <w:t>99,</w:t>
      </w:r>
      <w:r w:rsidRPr="00D8046E">
        <w:t xml:space="preserve"> 3-</w:t>
      </w:r>
    </w:p>
    <w:p w:rsidR="00165FFB" w:rsidRPr="00D8046E" w:rsidRDefault="00165FFB" w:rsidP="00E03F95">
      <w:pPr>
        <w:spacing w:line="480" w:lineRule="auto"/>
        <w:ind w:firstLine="720"/>
      </w:pPr>
      <w:r w:rsidRPr="00D8046E">
        <w:t>19.</w:t>
      </w:r>
    </w:p>
    <w:p w:rsidR="00B21F53" w:rsidRPr="00D8046E" w:rsidRDefault="00B21F53" w:rsidP="00B21F53">
      <w:pPr>
        <w:spacing w:line="480" w:lineRule="auto"/>
      </w:pPr>
      <w:r w:rsidRPr="00D8046E">
        <w:rPr>
          <w:color w:val="000000"/>
        </w:rPr>
        <w:t>Gilovich, T.</w:t>
      </w:r>
      <w:r w:rsidR="00132AA0" w:rsidRPr="00D8046E">
        <w:rPr>
          <w:color w:val="000000"/>
        </w:rPr>
        <w:t>,</w:t>
      </w:r>
      <w:r w:rsidRPr="00D8046E">
        <w:rPr>
          <w:color w:val="000000"/>
        </w:rPr>
        <w:t xml:space="preserve"> &amp; Savitsky, K. (2002)</w:t>
      </w:r>
      <w:r w:rsidRPr="00D8046E">
        <w:t xml:space="preserve">. Like goes with like: The role of representativeness in </w:t>
      </w:r>
    </w:p>
    <w:p w:rsidR="00992242" w:rsidRDefault="00B21F53" w:rsidP="00B21F53">
      <w:pPr>
        <w:spacing w:line="480" w:lineRule="auto"/>
        <w:ind w:left="720"/>
      </w:pPr>
      <w:r w:rsidRPr="00D8046E">
        <w:t>erroneous and pseudo-scientific beliefs. In Gilovich</w:t>
      </w:r>
      <w:r w:rsidR="002B26BA" w:rsidRPr="00D8046E">
        <w:t>,</w:t>
      </w:r>
      <w:r w:rsidRPr="00D8046E">
        <w:t xml:space="preserve"> T., </w:t>
      </w:r>
      <w:smartTag w:uri="urn:schemas-microsoft-com:office:smarttags" w:element="place">
        <w:smartTag w:uri="urn:schemas-microsoft-com:office:smarttags" w:element="City">
          <w:r w:rsidRPr="00D8046E">
            <w:t>Griffin</w:t>
          </w:r>
        </w:smartTag>
      </w:smartTag>
      <w:r w:rsidRPr="00D8046E">
        <w:t xml:space="preserve">, D., &amp; Kahnemann, D. (Eds.), </w:t>
      </w:r>
      <w:r w:rsidRPr="00D8046E">
        <w:rPr>
          <w:i/>
        </w:rPr>
        <w:t xml:space="preserve">Heuristics and biases: The psychology of intuitive judgment </w:t>
      </w:r>
      <w:r w:rsidRPr="00D8046E">
        <w:t xml:space="preserve">(pp. 617-624). </w:t>
      </w:r>
      <w:smartTag w:uri="urn:schemas-microsoft-com:office:smarttags" w:element="City">
        <w:r w:rsidRPr="00D8046E">
          <w:t>Cambridge</w:t>
        </w:r>
      </w:smartTag>
      <w:r w:rsidRPr="00D8046E">
        <w:t xml:space="preserve">, </w:t>
      </w:r>
      <w:smartTag w:uri="urn:schemas-microsoft-com:office:smarttags" w:element="country-region">
        <w:r w:rsidRPr="00D8046E">
          <w:t>UK</w:t>
        </w:r>
      </w:smartTag>
      <w:r w:rsidRPr="00D8046E">
        <w:t xml:space="preserve">: </w:t>
      </w:r>
      <w:smartTag w:uri="urn:schemas-microsoft-com:office:smarttags" w:element="place">
        <w:smartTag w:uri="urn:schemas-microsoft-com:office:smarttags" w:element="PlaceName">
          <w:r w:rsidRPr="00D8046E">
            <w:t>Cambridge</w:t>
          </w:r>
        </w:smartTag>
        <w:r w:rsidRPr="00D8046E">
          <w:t xml:space="preserve"> </w:t>
        </w:r>
        <w:smartTag w:uri="urn:schemas-microsoft-com:office:smarttags" w:element="PlaceType">
          <w:r w:rsidRPr="00D8046E">
            <w:t>University</w:t>
          </w:r>
        </w:smartTag>
      </w:smartTag>
      <w:r w:rsidRPr="00D8046E">
        <w:t xml:space="preserve"> Press. </w:t>
      </w:r>
      <w:r w:rsidR="00033572" w:rsidRPr="00D8046E">
        <w:t xml:space="preserve"> </w:t>
      </w:r>
    </w:p>
    <w:p w:rsidR="00041908" w:rsidRDefault="00041908" w:rsidP="00041908">
      <w:pPr>
        <w:spacing w:line="480" w:lineRule="auto"/>
        <w:rPr>
          <w:i/>
        </w:rPr>
      </w:pPr>
      <w:r w:rsidRPr="00D8046E">
        <w:t>Ji, L.</w:t>
      </w:r>
      <w:r>
        <w:t>J.</w:t>
      </w:r>
      <w:r w:rsidRPr="00D8046E">
        <w:t>, Nisbett, R.E.</w:t>
      </w:r>
      <w:r>
        <w:t xml:space="preserve">, &amp; Su, Y. (2001). Culture, change, and prediction, </w:t>
      </w:r>
      <w:r w:rsidRPr="00B24F54">
        <w:rPr>
          <w:i/>
        </w:rPr>
        <w:t xml:space="preserve">Psychological Science, </w:t>
      </w:r>
    </w:p>
    <w:p w:rsidR="00041908" w:rsidRDefault="00041908" w:rsidP="00041908">
      <w:pPr>
        <w:spacing w:line="480" w:lineRule="auto"/>
      </w:pPr>
      <w:r>
        <w:rPr>
          <w:i/>
        </w:rPr>
        <w:tab/>
      </w:r>
      <w:r w:rsidRPr="00B24F54">
        <w:rPr>
          <w:i/>
        </w:rPr>
        <w:t xml:space="preserve">12, </w:t>
      </w:r>
      <w:r>
        <w:t>450-456.</w:t>
      </w:r>
    </w:p>
    <w:p w:rsidR="007A7AB6" w:rsidRPr="00D8046E" w:rsidRDefault="007A7AB6" w:rsidP="007A7AB6">
      <w:pPr>
        <w:spacing w:line="480" w:lineRule="auto"/>
      </w:pPr>
      <w:r w:rsidRPr="00D8046E">
        <w:t>Ji, L.</w:t>
      </w:r>
      <w:r w:rsidR="00E03F95">
        <w:t>J.</w:t>
      </w:r>
      <w:r w:rsidRPr="00D8046E">
        <w:t xml:space="preserve">, Peng, K., &amp; Nisbett, R.E. (2000). Culture, control, and perception of relationships </w:t>
      </w:r>
    </w:p>
    <w:p w:rsidR="007A7AB6" w:rsidRPr="00D8046E" w:rsidRDefault="007A7AB6" w:rsidP="007A7AB6">
      <w:pPr>
        <w:spacing w:line="480" w:lineRule="auto"/>
        <w:ind w:firstLine="720"/>
      </w:pPr>
      <w:r w:rsidRPr="00D8046E">
        <w:t xml:space="preserve">in the environment. </w:t>
      </w:r>
      <w:r w:rsidRPr="00D8046E">
        <w:rPr>
          <w:i/>
          <w:iCs/>
        </w:rPr>
        <w:t xml:space="preserve">Journal of Personality and Social Psychology, 78, </w:t>
      </w:r>
      <w:r w:rsidRPr="00D8046E">
        <w:t>943-955.</w:t>
      </w:r>
    </w:p>
    <w:p w:rsidR="000804FB" w:rsidRPr="00D8046E" w:rsidRDefault="000804FB" w:rsidP="000804FB">
      <w:pPr>
        <w:spacing w:line="480" w:lineRule="auto"/>
      </w:pPr>
      <w:r w:rsidRPr="00D8046E">
        <w:t xml:space="preserve">Ji, L.J., Schwarz, N., &amp; Nisbett, R.E. (2000). Culture, autobiographical memory, and </w:t>
      </w:r>
    </w:p>
    <w:p w:rsidR="000804FB" w:rsidRPr="00D8046E" w:rsidRDefault="000804FB" w:rsidP="000804FB">
      <w:pPr>
        <w:spacing w:line="480" w:lineRule="auto"/>
        <w:ind w:left="720"/>
      </w:pPr>
      <w:r w:rsidRPr="00D8046E">
        <w:t xml:space="preserve">behavioral frequency reports: Measurement issues in cross-cultural studies. </w:t>
      </w:r>
      <w:r w:rsidRPr="00D8046E">
        <w:rPr>
          <w:i/>
        </w:rPr>
        <w:t>Personality and Social Psychology Bulletin, 26</w:t>
      </w:r>
      <w:r w:rsidRPr="00D8046E">
        <w:t>, 585-593.</w:t>
      </w:r>
    </w:p>
    <w:p w:rsidR="00F40545" w:rsidRPr="00D8046E" w:rsidRDefault="00F40545" w:rsidP="00F40545">
      <w:pPr>
        <w:spacing w:line="480" w:lineRule="auto"/>
      </w:pPr>
      <w:r w:rsidRPr="00D8046E">
        <w:t>Kahneman, D.</w:t>
      </w:r>
      <w:r w:rsidR="00132AA0" w:rsidRPr="00D8046E">
        <w:t>,</w:t>
      </w:r>
      <w:r w:rsidRPr="00D8046E">
        <w:t xml:space="preserve"> &amp; Tversky, A. (1972). Subjective probability: A judgment of </w:t>
      </w:r>
    </w:p>
    <w:p w:rsidR="00F40545" w:rsidRPr="00D8046E" w:rsidRDefault="00F40545" w:rsidP="00F40545">
      <w:pPr>
        <w:spacing w:line="480" w:lineRule="auto"/>
        <w:ind w:firstLine="720"/>
      </w:pPr>
      <w:r w:rsidRPr="00D8046E">
        <w:lastRenderedPageBreak/>
        <w:t xml:space="preserve">representativeness. </w:t>
      </w:r>
      <w:r w:rsidRPr="00D8046E">
        <w:rPr>
          <w:i/>
        </w:rPr>
        <w:t>Cognitive Psychology, 3</w:t>
      </w:r>
      <w:r w:rsidRPr="00D8046E">
        <w:t>, 430-454.</w:t>
      </w:r>
    </w:p>
    <w:p w:rsidR="00325F2D" w:rsidRPr="00D8046E" w:rsidRDefault="00325F2D" w:rsidP="00325F2D">
      <w:pPr>
        <w:spacing w:line="480" w:lineRule="auto"/>
        <w:rPr>
          <w:i/>
        </w:rPr>
      </w:pPr>
      <w:r w:rsidRPr="00D8046E">
        <w:t>Kahneman, D.</w:t>
      </w:r>
      <w:r w:rsidR="00132AA0" w:rsidRPr="00D8046E">
        <w:t>,</w:t>
      </w:r>
      <w:r w:rsidRPr="00D8046E">
        <w:t xml:space="preserve"> &amp; Tversky, A. (1973). On the psychology of prediction. </w:t>
      </w:r>
      <w:r w:rsidRPr="00D8046E">
        <w:rPr>
          <w:i/>
        </w:rPr>
        <w:t xml:space="preserve">Psychological </w:t>
      </w:r>
    </w:p>
    <w:p w:rsidR="00325F2D" w:rsidRPr="00D8046E" w:rsidRDefault="00325F2D" w:rsidP="00325F2D">
      <w:pPr>
        <w:spacing w:line="480" w:lineRule="auto"/>
        <w:ind w:firstLine="720"/>
      </w:pPr>
      <w:r w:rsidRPr="00D8046E">
        <w:rPr>
          <w:i/>
        </w:rPr>
        <w:t>Review, 80</w:t>
      </w:r>
      <w:r w:rsidRPr="00D8046E">
        <w:t>, 237-251.</w:t>
      </w:r>
    </w:p>
    <w:p w:rsidR="00316D99" w:rsidRPr="00D8046E" w:rsidRDefault="00316D99" w:rsidP="00316D99">
      <w:pPr>
        <w:spacing w:line="480" w:lineRule="auto"/>
      </w:pPr>
      <w:r w:rsidRPr="00D8046E">
        <w:t xml:space="preserve">Lorenz, E.N. (1963). Deterministic nonperiodic flow. </w:t>
      </w:r>
      <w:r w:rsidRPr="00D8046E">
        <w:rPr>
          <w:i/>
        </w:rPr>
        <w:t xml:space="preserve">Journal of the Atmospheric Sciences, 20, </w:t>
      </w:r>
    </w:p>
    <w:p w:rsidR="00316D99" w:rsidRPr="00D8046E" w:rsidRDefault="00316D99" w:rsidP="00316D99">
      <w:pPr>
        <w:spacing w:line="480" w:lineRule="auto"/>
        <w:ind w:firstLine="720"/>
      </w:pPr>
      <w:r w:rsidRPr="00D8046E">
        <w:t>130-141.</w:t>
      </w:r>
    </w:p>
    <w:p w:rsidR="00715EBB" w:rsidRPr="00D8046E" w:rsidRDefault="00E80371" w:rsidP="00715EBB">
      <w:pPr>
        <w:spacing w:line="480" w:lineRule="auto"/>
      </w:pPr>
      <w:r w:rsidRPr="00D8046E">
        <w:t>Massey, D.S. (2008).</w:t>
      </w:r>
      <w:r w:rsidR="00686B1F" w:rsidRPr="00D8046E">
        <w:t xml:space="preserve"> Globalization and i</w:t>
      </w:r>
      <w:r w:rsidRPr="00D8046E">
        <w:t xml:space="preserve">nequality: Explaining American </w:t>
      </w:r>
      <w:r w:rsidR="00686B1F" w:rsidRPr="00D8046E">
        <w:t>e</w:t>
      </w:r>
      <w:r w:rsidRPr="00D8046E">
        <w:t xml:space="preserve">xceptionalism, </w:t>
      </w:r>
    </w:p>
    <w:p w:rsidR="00E80371" w:rsidRPr="00D8046E" w:rsidRDefault="00E80371" w:rsidP="00715EBB">
      <w:pPr>
        <w:spacing w:line="480" w:lineRule="auto"/>
        <w:ind w:firstLine="720"/>
      </w:pPr>
      <w:r w:rsidRPr="00D8046E">
        <w:rPr>
          <w:i/>
        </w:rPr>
        <w:t>European Sociological Review, 0,</w:t>
      </w:r>
      <w:r w:rsidRPr="00D8046E">
        <w:t xml:space="preserve"> 1-15.</w:t>
      </w:r>
    </w:p>
    <w:p w:rsidR="007C456F" w:rsidRPr="00D8046E" w:rsidRDefault="007C456F" w:rsidP="007C456F">
      <w:pPr>
        <w:spacing w:line="480" w:lineRule="auto"/>
      </w:pPr>
      <w:r w:rsidRPr="0032032F">
        <w:t xml:space="preserve">Masuda, T., &amp; Nisbett, R.E. (2001). </w:t>
      </w:r>
      <w:r w:rsidRPr="00D8046E">
        <w:t xml:space="preserve">Attending holistically versus analytically: Comparing the </w:t>
      </w:r>
    </w:p>
    <w:p w:rsidR="007C456F" w:rsidRPr="00D8046E" w:rsidRDefault="007C456F" w:rsidP="007C456F">
      <w:pPr>
        <w:spacing w:line="480" w:lineRule="auto"/>
        <w:ind w:left="720"/>
      </w:pPr>
      <w:r w:rsidRPr="00D8046E">
        <w:t xml:space="preserve">context sensitivity of Japanese and Americans. </w:t>
      </w:r>
      <w:r w:rsidRPr="00D8046E">
        <w:rPr>
          <w:i/>
        </w:rPr>
        <w:t>Journal of Personality and Social Psychology, 81,</w:t>
      </w:r>
      <w:r w:rsidRPr="00D8046E">
        <w:t xml:space="preserve"> 922-934.</w:t>
      </w:r>
    </w:p>
    <w:p w:rsidR="00E41A39" w:rsidRPr="00D8046E" w:rsidRDefault="00165FFB" w:rsidP="00E41A39">
      <w:pPr>
        <w:spacing w:line="480" w:lineRule="auto"/>
      </w:pPr>
      <w:r w:rsidRPr="00D8046E">
        <w:t>McCauley, C.</w:t>
      </w:r>
      <w:r w:rsidR="00132AA0" w:rsidRPr="00D8046E">
        <w:t>,</w:t>
      </w:r>
      <w:r w:rsidRPr="00D8046E">
        <w:t xml:space="preserve"> &amp; Jacques, S. (1979). The popularity of conspiracy theories of </w:t>
      </w:r>
      <w:r w:rsidR="008A7A9A" w:rsidRPr="00D8046E">
        <w:t>presidential</w:t>
      </w:r>
      <w:r w:rsidRPr="00D8046E">
        <w:tab/>
        <w:t xml:space="preserve">assassination: A Bayesian analysis. </w:t>
      </w:r>
      <w:r w:rsidRPr="00D8046E">
        <w:rPr>
          <w:i/>
          <w:iCs/>
        </w:rPr>
        <w:t>Journal of P</w:t>
      </w:r>
      <w:r w:rsidR="00E41A39" w:rsidRPr="00D8046E">
        <w:rPr>
          <w:i/>
          <w:iCs/>
        </w:rPr>
        <w:t xml:space="preserve">ersonality &amp; Social Psychology, </w:t>
      </w:r>
      <w:r w:rsidRPr="00D8046E">
        <w:rPr>
          <w:i/>
        </w:rPr>
        <w:t>37,</w:t>
      </w:r>
      <w:r w:rsidRPr="00D8046E">
        <w:t xml:space="preserve"> </w:t>
      </w:r>
    </w:p>
    <w:p w:rsidR="00165FFB" w:rsidRPr="00D8046E" w:rsidRDefault="00165FFB" w:rsidP="00E41A39">
      <w:pPr>
        <w:spacing w:line="480" w:lineRule="auto"/>
        <w:ind w:firstLine="720"/>
      </w:pPr>
      <w:r w:rsidRPr="00D8046E">
        <w:t>637-644.</w:t>
      </w:r>
    </w:p>
    <w:p w:rsidR="00165FFB" w:rsidRPr="00D8046E" w:rsidRDefault="00165FFB" w:rsidP="00F85613">
      <w:pPr>
        <w:spacing w:line="480" w:lineRule="auto"/>
        <w:ind w:left="720" w:hanging="720"/>
      </w:pPr>
      <w:r w:rsidRPr="00D8046E">
        <w:t xml:space="preserve">McClure, J., Lalljee, M., &amp; Jaspars, J.  (1991). Explanations of extreme and moderate events. </w:t>
      </w:r>
      <w:r w:rsidRPr="00D8046E">
        <w:rPr>
          <w:i/>
        </w:rPr>
        <w:t>Journal of Research in Personality, 25</w:t>
      </w:r>
      <w:r w:rsidRPr="00D8046E">
        <w:t>,</w:t>
      </w:r>
      <w:r w:rsidRPr="00D8046E">
        <w:rPr>
          <w:i/>
        </w:rPr>
        <w:t xml:space="preserve"> </w:t>
      </w:r>
      <w:r w:rsidRPr="00D8046E">
        <w:t>146-166.</w:t>
      </w:r>
    </w:p>
    <w:p w:rsidR="00617340" w:rsidRDefault="00617340" w:rsidP="00617340">
      <w:pPr>
        <w:spacing w:line="480" w:lineRule="auto"/>
        <w:ind w:left="720" w:hanging="720"/>
      </w:pPr>
      <w:r w:rsidRPr="00D8046E">
        <w:t xml:space="preserve">Miller, J.G. (1984). Culture and the development of everyday social explanation. </w:t>
      </w:r>
      <w:r w:rsidRPr="00D8046E">
        <w:rPr>
          <w:i/>
          <w:iCs/>
        </w:rPr>
        <w:t xml:space="preserve">Journal of Personality and Social Psychology, 46, </w:t>
      </w:r>
      <w:r w:rsidRPr="00D8046E">
        <w:t>961-978.</w:t>
      </w:r>
    </w:p>
    <w:p w:rsidR="00A351DE" w:rsidRPr="00D8046E" w:rsidRDefault="00A351DE" w:rsidP="00A351DE">
      <w:pPr>
        <w:spacing w:line="480" w:lineRule="auto"/>
        <w:ind w:left="720" w:hanging="720"/>
      </w:pPr>
      <w:r w:rsidRPr="00D8046E">
        <w:t xml:space="preserve">Morris, M.W., &amp; Peng, K. (1994). Culture and cause: American and Chinese attributions for social and physical events. </w:t>
      </w:r>
      <w:r w:rsidRPr="00D8046E">
        <w:rPr>
          <w:i/>
          <w:iCs/>
        </w:rPr>
        <w:t xml:space="preserve">Journal of Personality and Social Psychology, 67, </w:t>
      </w:r>
      <w:r w:rsidRPr="00D8046E">
        <w:t>949-971.</w:t>
      </w:r>
    </w:p>
    <w:p w:rsidR="00147F3D" w:rsidRPr="00D8046E" w:rsidRDefault="00147F3D" w:rsidP="00147F3D">
      <w:pPr>
        <w:spacing w:line="480" w:lineRule="auto"/>
      </w:pPr>
      <w:r w:rsidRPr="00D8046E">
        <w:t xml:space="preserve">Nisbett , R.E., Peng, K., Choi, </w:t>
      </w:r>
      <w:smartTag w:uri="urn:schemas-microsoft-com:office:smarttags" w:element="place">
        <w:r w:rsidRPr="00D8046E">
          <w:t>I.</w:t>
        </w:r>
      </w:smartTag>
      <w:r w:rsidRPr="00D8046E">
        <w:t xml:space="preserve">, &amp; Norenzayan, A. (2001). Culture and systems of </w:t>
      </w:r>
    </w:p>
    <w:p w:rsidR="00147F3D" w:rsidRPr="00D8046E" w:rsidRDefault="00147F3D" w:rsidP="00147F3D">
      <w:pPr>
        <w:spacing w:line="480" w:lineRule="auto"/>
        <w:ind w:firstLine="720"/>
      </w:pPr>
      <w:r w:rsidRPr="00D8046E">
        <w:t xml:space="preserve">thought: Holistic versus analytic cognition.  </w:t>
      </w:r>
      <w:r w:rsidRPr="00D8046E">
        <w:rPr>
          <w:i/>
        </w:rPr>
        <w:t>Psychological Review, 108,</w:t>
      </w:r>
      <w:r w:rsidRPr="00D8046E">
        <w:t xml:space="preserve"> 291-310.</w:t>
      </w:r>
    </w:p>
    <w:p w:rsidR="00E41A39" w:rsidRPr="00D8046E" w:rsidRDefault="00165FFB" w:rsidP="00E41A39">
      <w:pPr>
        <w:spacing w:line="480" w:lineRule="auto"/>
        <w:rPr>
          <w:i/>
        </w:rPr>
      </w:pPr>
      <w:r w:rsidRPr="00D8046E">
        <w:t xml:space="preserve">Nisbett, R.E., &amp; Ross, L. (1980). </w:t>
      </w:r>
      <w:r w:rsidRPr="00D8046E">
        <w:rPr>
          <w:i/>
        </w:rPr>
        <w:t xml:space="preserve">Human inference:  Strategies and shortcomings of social </w:t>
      </w:r>
    </w:p>
    <w:p w:rsidR="00165FFB" w:rsidRPr="00D8046E" w:rsidRDefault="00165FFB" w:rsidP="00E41A39">
      <w:pPr>
        <w:spacing w:line="480" w:lineRule="auto"/>
        <w:ind w:firstLine="720"/>
      </w:pPr>
      <w:r w:rsidRPr="00D8046E">
        <w:rPr>
          <w:i/>
        </w:rPr>
        <w:t>judgment</w:t>
      </w:r>
      <w:r w:rsidRPr="00D8046E">
        <w:t xml:space="preserve">. </w:t>
      </w:r>
      <w:smartTag w:uri="urn:schemas-microsoft-com:office:smarttags" w:element="City">
        <w:smartTag w:uri="urn:schemas-microsoft-com:office:smarttags" w:element="place">
          <w:r w:rsidRPr="00D8046E">
            <w:t>Englewood</w:t>
          </w:r>
        </w:smartTag>
      </w:smartTag>
      <w:r w:rsidRPr="00D8046E">
        <w:t xml:space="preserve"> Cliffs, NJ:  Prentice-Hall.</w:t>
      </w:r>
    </w:p>
    <w:p w:rsidR="00BF5B17" w:rsidRPr="00D8046E" w:rsidRDefault="00BF5B17" w:rsidP="00BF5B17">
      <w:pPr>
        <w:spacing w:line="480" w:lineRule="auto"/>
      </w:pPr>
      <w:r w:rsidRPr="00D8046E">
        <w:lastRenderedPageBreak/>
        <w:t>Norenzayan, A.</w:t>
      </w:r>
      <w:r w:rsidR="00132AA0" w:rsidRPr="00D8046E">
        <w:t>,</w:t>
      </w:r>
      <w:r w:rsidRPr="00D8046E">
        <w:t xml:space="preserve"> &amp; Hei</w:t>
      </w:r>
      <w:r w:rsidR="00984E81">
        <w:t>ne, S.J. (2005). Psychological universals: What are t</w:t>
      </w:r>
      <w:r w:rsidRPr="00D8046E">
        <w:t xml:space="preserve">hey and </w:t>
      </w:r>
    </w:p>
    <w:p w:rsidR="00BF5B17" w:rsidRDefault="00984E81" w:rsidP="00BF5B17">
      <w:pPr>
        <w:spacing w:line="480" w:lineRule="auto"/>
        <w:ind w:firstLine="720"/>
      </w:pPr>
      <w:r>
        <w:t>how can we k</w:t>
      </w:r>
      <w:r w:rsidR="00BF5B17" w:rsidRPr="00D8046E">
        <w:t xml:space="preserve">now? </w:t>
      </w:r>
      <w:r w:rsidR="006415C6" w:rsidRPr="00D8046E">
        <w:rPr>
          <w:i/>
        </w:rPr>
        <w:t>Psychological Bulletin,</w:t>
      </w:r>
      <w:r w:rsidR="00BF5B17" w:rsidRPr="00D8046E">
        <w:rPr>
          <w:i/>
        </w:rPr>
        <w:t xml:space="preserve"> 131</w:t>
      </w:r>
      <w:r w:rsidR="006415C6" w:rsidRPr="00D8046E">
        <w:rPr>
          <w:i/>
        </w:rPr>
        <w:t>,</w:t>
      </w:r>
      <w:r w:rsidR="00BF5B17" w:rsidRPr="00D8046E">
        <w:t xml:space="preserve"> 763-784</w:t>
      </w:r>
      <w:r w:rsidR="006415C6" w:rsidRPr="00D8046E">
        <w:t>.</w:t>
      </w:r>
    </w:p>
    <w:p w:rsidR="00984E81" w:rsidRDefault="00984E81" w:rsidP="00984E81">
      <w:pPr>
        <w:spacing w:line="480" w:lineRule="auto"/>
      </w:pPr>
      <w:r>
        <w:t xml:space="preserve">Osgoode, C.E. (1957). </w:t>
      </w:r>
      <w:r w:rsidRPr="00984E81">
        <w:rPr>
          <w:i/>
        </w:rPr>
        <w:t>Measurement of Meaning</w:t>
      </w:r>
      <w:r>
        <w:rPr>
          <w:i/>
        </w:rPr>
        <w:t>.</w:t>
      </w:r>
      <w:r>
        <w:t xml:space="preserve"> </w:t>
      </w:r>
      <w:smartTag w:uri="urn:schemas-microsoft-com:office:smarttags" w:element="City">
        <w:r>
          <w:t>Chicago</w:t>
        </w:r>
      </w:smartTag>
      <w:r>
        <w:t>:</w:t>
      </w:r>
      <w:r w:rsidRPr="00984E81">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Illinois</w:t>
          </w:r>
        </w:smartTag>
      </w:smartTag>
      <w:r>
        <w:t xml:space="preserve"> Press</w:t>
      </w:r>
      <w:r w:rsidR="00C26ADE">
        <w:t>.</w:t>
      </w:r>
    </w:p>
    <w:p w:rsidR="00C26ADE" w:rsidRDefault="00C26ADE" w:rsidP="00984E81">
      <w:pPr>
        <w:spacing w:line="480" w:lineRule="auto"/>
        <w:rPr>
          <w:i/>
        </w:rPr>
      </w:pPr>
      <w:r>
        <w:t xml:space="preserve">Osgoode, C.E., May, W.H., &amp; Murray, S.M. (1975). </w:t>
      </w:r>
      <w:r>
        <w:rPr>
          <w:i/>
        </w:rPr>
        <w:t xml:space="preserve">Cross-cultural universals of affective </w:t>
      </w:r>
    </w:p>
    <w:p w:rsidR="00C26ADE" w:rsidRPr="00C26ADE" w:rsidRDefault="00C26ADE" w:rsidP="00C26ADE">
      <w:pPr>
        <w:spacing w:line="480" w:lineRule="auto"/>
        <w:ind w:firstLine="720"/>
      </w:pPr>
      <w:r>
        <w:rPr>
          <w:i/>
        </w:rPr>
        <w:t>meaning.</w:t>
      </w:r>
      <w:r>
        <w:t xml:space="preserve"> </w:t>
      </w:r>
      <w:smartTag w:uri="urn:schemas-microsoft-com:office:smarttags" w:element="City">
        <w:r>
          <w:t>Chicago</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Illinois</w:t>
          </w:r>
        </w:smartTag>
      </w:smartTag>
      <w:r>
        <w:t xml:space="preserve"> Press.</w:t>
      </w:r>
    </w:p>
    <w:p w:rsidR="00820578" w:rsidRDefault="00820578" w:rsidP="00820578">
      <w:pPr>
        <w:spacing w:line="480" w:lineRule="auto"/>
      </w:pPr>
      <w:r>
        <w:t xml:space="preserve">Peng, K., &amp; Nisbett, R.A. (1999). Culture, dialectics, and reasoning about contradiction, </w:t>
      </w:r>
    </w:p>
    <w:p w:rsidR="00820578" w:rsidRDefault="00820578" w:rsidP="00820578">
      <w:pPr>
        <w:spacing w:line="480" w:lineRule="auto"/>
      </w:pPr>
      <w:r>
        <w:tab/>
      </w:r>
      <w:r w:rsidRPr="00B24F54">
        <w:rPr>
          <w:i/>
        </w:rPr>
        <w:t xml:space="preserve">American psychologist, 54, </w:t>
      </w:r>
      <w:r>
        <w:t>741-754.</w:t>
      </w:r>
    </w:p>
    <w:p w:rsidR="004561AD" w:rsidRPr="00D8046E" w:rsidRDefault="00165FFB" w:rsidP="004561AD">
      <w:pPr>
        <w:spacing w:line="480" w:lineRule="auto"/>
      </w:pPr>
      <w:r w:rsidRPr="00D8046E">
        <w:t>Schultz, T</w:t>
      </w:r>
      <w:r w:rsidR="00E03F95">
        <w:t>.</w:t>
      </w:r>
      <w:r w:rsidRPr="00D8046E">
        <w:t xml:space="preserve">R., &amp; Ravinsky, F.B.  (1977). Similarity as a principle of causal inference.  </w:t>
      </w:r>
    </w:p>
    <w:p w:rsidR="00165FFB" w:rsidRPr="00D8046E" w:rsidRDefault="00165FFB" w:rsidP="004561AD">
      <w:pPr>
        <w:spacing w:line="480" w:lineRule="auto"/>
        <w:ind w:firstLine="720"/>
      </w:pPr>
      <w:r w:rsidRPr="00D8046E">
        <w:rPr>
          <w:i/>
        </w:rPr>
        <w:t>Child Development, 48</w:t>
      </w:r>
      <w:r w:rsidRPr="00D8046E">
        <w:t>, 1552-1558.</w:t>
      </w:r>
    </w:p>
    <w:p w:rsidR="00CF2899" w:rsidRPr="00D8046E" w:rsidRDefault="00CF2899" w:rsidP="00CF2899">
      <w:pPr>
        <w:autoSpaceDE w:val="0"/>
        <w:autoSpaceDN w:val="0"/>
        <w:adjustRightInd w:val="0"/>
        <w:spacing w:line="480" w:lineRule="auto"/>
        <w:jc w:val="center"/>
      </w:pPr>
      <w:r w:rsidRPr="00D8046E">
        <w:br w:type="page"/>
      </w:r>
      <w:r w:rsidRPr="00D8046E">
        <w:lastRenderedPageBreak/>
        <w:t xml:space="preserve">Appendix </w:t>
      </w:r>
    </w:p>
    <w:p w:rsidR="00CF2899" w:rsidRPr="00D8046E" w:rsidRDefault="00CF2899" w:rsidP="00CF2899">
      <w:pPr>
        <w:autoSpaceDE w:val="0"/>
        <w:autoSpaceDN w:val="0"/>
        <w:adjustRightInd w:val="0"/>
        <w:spacing w:line="480" w:lineRule="auto"/>
        <w:rPr>
          <w:i/>
          <w:iCs/>
        </w:rPr>
      </w:pPr>
      <w:r w:rsidRPr="00D8046E">
        <w:rPr>
          <w:i/>
          <w:iCs/>
        </w:rPr>
        <w:t xml:space="preserve">Scenario used in Studies 1a, 3, and 4a  </w:t>
      </w:r>
    </w:p>
    <w:p w:rsidR="00CF2899" w:rsidRPr="00D8046E" w:rsidRDefault="00CF2899" w:rsidP="00CF2899">
      <w:pPr>
        <w:autoSpaceDE w:val="0"/>
        <w:autoSpaceDN w:val="0"/>
        <w:adjustRightInd w:val="0"/>
        <w:spacing w:line="480" w:lineRule="auto"/>
        <w:rPr>
          <w:iCs/>
        </w:rPr>
      </w:pPr>
      <w:r w:rsidRPr="00D8046E">
        <w:rPr>
          <w:i/>
          <w:iCs/>
        </w:rPr>
        <w:tab/>
        <w:t>Effects</w:t>
      </w:r>
    </w:p>
    <w:p w:rsidR="00CF2899" w:rsidRPr="00D8046E" w:rsidRDefault="00CF2899" w:rsidP="00CF2899">
      <w:pPr>
        <w:autoSpaceDE w:val="0"/>
        <w:autoSpaceDN w:val="0"/>
        <w:adjustRightInd w:val="0"/>
        <w:spacing w:line="480" w:lineRule="auto"/>
        <w:ind w:firstLine="720"/>
        <w:rPr>
          <w:iCs/>
        </w:rPr>
      </w:pPr>
      <w:r w:rsidRPr="00D8046E">
        <w:rPr>
          <w:iCs/>
        </w:rPr>
        <w:t>-- 21 people at a major downtown company became ill. They were stricken with symptoms of nausea and vomiting. Within 3 days, 11 of these individuals had experienced a rapid but horrific death and the other 10 were still in hospital. (</w:t>
      </w:r>
      <w:r w:rsidRPr="00D8046E">
        <w:rPr>
          <w:i/>
          <w:iCs/>
        </w:rPr>
        <w:t>High magnitude</w:t>
      </w:r>
      <w:r w:rsidRPr="00D8046E">
        <w:rPr>
          <w:iCs/>
        </w:rPr>
        <w:t>)</w:t>
      </w:r>
    </w:p>
    <w:p w:rsidR="00CF2899" w:rsidRPr="00D8046E" w:rsidRDefault="00CF2899" w:rsidP="00CF2899">
      <w:pPr>
        <w:autoSpaceDE w:val="0"/>
        <w:autoSpaceDN w:val="0"/>
        <w:adjustRightInd w:val="0"/>
        <w:spacing w:line="480" w:lineRule="auto"/>
        <w:rPr>
          <w:iCs/>
        </w:rPr>
      </w:pPr>
      <w:r w:rsidRPr="00D8046E">
        <w:rPr>
          <w:i/>
          <w:iCs/>
        </w:rPr>
        <w:tab/>
        <w:t xml:space="preserve">-- </w:t>
      </w:r>
      <w:r w:rsidRPr="00D8046E">
        <w:rPr>
          <w:iCs/>
        </w:rPr>
        <w:t>7 people at a major downtown company became ill. They were stricken with symptoms of nausea and vomiting. Within 3 days, 3 of these individuals had recovered and the other 4 were still experiencing minor symptoms. (</w:t>
      </w:r>
      <w:r w:rsidRPr="00D8046E">
        <w:rPr>
          <w:i/>
          <w:iCs/>
        </w:rPr>
        <w:t>Low magnitude</w:t>
      </w:r>
      <w:r w:rsidRPr="00D8046E">
        <w:rPr>
          <w:iCs/>
        </w:rPr>
        <w:t>)</w:t>
      </w:r>
    </w:p>
    <w:p w:rsidR="00CF2899" w:rsidRPr="00D8046E" w:rsidRDefault="00CF2899" w:rsidP="00CF2899">
      <w:pPr>
        <w:autoSpaceDE w:val="0"/>
        <w:autoSpaceDN w:val="0"/>
        <w:adjustRightInd w:val="0"/>
        <w:spacing w:line="480" w:lineRule="auto"/>
        <w:rPr>
          <w:i/>
          <w:iCs/>
        </w:rPr>
      </w:pPr>
      <w:r w:rsidRPr="00D8046E">
        <w:rPr>
          <w:i/>
          <w:iCs/>
        </w:rPr>
        <w:tab/>
        <w:t xml:space="preserve">Causes: </w:t>
      </w:r>
    </w:p>
    <w:p w:rsidR="00CF2899" w:rsidRPr="00D8046E" w:rsidRDefault="00CF2899" w:rsidP="00CF2899">
      <w:pPr>
        <w:autoSpaceDE w:val="0"/>
        <w:autoSpaceDN w:val="0"/>
        <w:adjustRightInd w:val="0"/>
        <w:spacing w:line="480" w:lineRule="auto"/>
        <w:ind w:firstLine="720"/>
      </w:pPr>
      <w:r w:rsidRPr="00D8046E">
        <w:rPr>
          <w:i/>
          <w:iCs/>
        </w:rPr>
        <w:t xml:space="preserve">-- </w:t>
      </w:r>
      <w:r w:rsidRPr="00D8046E">
        <w:t>An employee came into contact with a highly infectious type of super-bacteria, while on a business trip. (</w:t>
      </w:r>
      <w:r w:rsidRPr="00D8046E">
        <w:rPr>
          <w:i/>
          <w:iCs/>
        </w:rPr>
        <w:t>High magnitude</w:t>
      </w:r>
      <w:r w:rsidRPr="00D8046E">
        <w:rPr>
          <w:iCs/>
        </w:rPr>
        <w:t>)</w:t>
      </w:r>
    </w:p>
    <w:p w:rsidR="00CF2899" w:rsidRPr="00D8046E" w:rsidRDefault="00CF2899" w:rsidP="00CF2899">
      <w:pPr>
        <w:autoSpaceDE w:val="0"/>
        <w:autoSpaceDN w:val="0"/>
        <w:adjustRightInd w:val="0"/>
        <w:spacing w:line="480" w:lineRule="auto"/>
        <w:rPr>
          <w:iCs/>
        </w:rPr>
      </w:pPr>
      <w:r w:rsidRPr="00D8046E">
        <w:rPr>
          <w:i/>
          <w:iCs/>
        </w:rPr>
        <w:tab/>
        <w:t xml:space="preserve">-- </w:t>
      </w:r>
      <w:r w:rsidRPr="00D8046E">
        <w:t>An employee came into contact with a standard type of bacteria, while on a business trip.</w:t>
      </w:r>
      <w:r w:rsidRPr="00D8046E">
        <w:rPr>
          <w:i/>
          <w:iCs/>
        </w:rPr>
        <w:t xml:space="preserve"> </w:t>
      </w:r>
      <w:r w:rsidRPr="00D8046E">
        <w:rPr>
          <w:iCs/>
        </w:rPr>
        <w:t>(</w:t>
      </w:r>
      <w:r w:rsidRPr="00D8046E">
        <w:rPr>
          <w:i/>
          <w:iCs/>
        </w:rPr>
        <w:t>Low magnitude</w:t>
      </w:r>
      <w:r w:rsidRPr="00D8046E">
        <w:rPr>
          <w:iCs/>
        </w:rPr>
        <w:t>)</w:t>
      </w:r>
    </w:p>
    <w:p w:rsidR="00CF2899" w:rsidRPr="00D8046E" w:rsidRDefault="00CF2899" w:rsidP="00CF2899">
      <w:pPr>
        <w:autoSpaceDE w:val="0"/>
        <w:autoSpaceDN w:val="0"/>
        <w:adjustRightInd w:val="0"/>
        <w:spacing w:line="480" w:lineRule="auto"/>
      </w:pPr>
    </w:p>
    <w:p w:rsidR="007256B6" w:rsidRPr="00D8046E" w:rsidRDefault="00CF2899" w:rsidP="00CF2899">
      <w:pPr>
        <w:autoSpaceDE w:val="0"/>
        <w:autoSpaceDN w:val="0"/>
        <w:adjustRightInd w:val="0"/>
        <w:spacing w:line="480" w:lineRule="auto"/>
        <w:rPr>
          <w:i/>
          <w:iCs/>
        </w:rPr>
      </w:pPr>
      <w:r w:rsidRPr="00D8046E">
        <w:rPr>
          <w:i/>
          <w:iCs/>
        </w:rPr>
        <w:t>Scenario used in Study 1b</w:t>
      </w:r>
    </w:p>
    <w:p w:rsidR="007256B6" w:rsidRPr="00D8046E" w:rsidRDefault="007256B6" w:rsidP="00CF2899">
      <w:pPr>
        <w:autoSpaceDE w:val="0"/>
        <w:autoSpaceDN w:val="0"/>
        <w:adjustRightInd w:val="0"/>
        <w:spacing w:line="480" w:lineRule="auto"/>
        <w:rPr>
          <w:i/>
          <w:iCs/>
        </w:rPr>
      </w:pPr>
      <w:r w:rsidRPr="00D8046E">
        <w:rPr>
          <w:i/>
          <w:iCs/>
        </w:rPr>
        <w:tab/>
        <w:t>Effects</w:t>
      </w:r>
    </w:p>
    <w:p w:rsidR="00CF2899" w:rsidRPr="00D8046E" w:rsidRDefault="007256B6" w:rsidP="007256B6">
      <w:pPr>
        <w:autoSpaceDE w:val="0"/>
        <w:autoSpaceDN w:val="0"/>
        <w:adjustRightInd w:val="0"/>
        <w:spacing w:line="480" w:lineRule="auto"/>
        <w:ind w:firstLine="720"/>
        <w:rPr>
          <w:iCs/>
        </w:rPr>
      </w:pPr>
      <w:r w:rsidRPr="00D8046E">
        <w:rPr>
          <w:iCs/>
        </w:rPr>
        <w:t xml:space="preserve">-- </w:t>
      </w:r>
      <w:r w:rsidR="00CF2899" w:rsidRPr="00D8046E">
        <w:rPr>
          <w:iCs/>
        </w:rPr>
        <w:t>Two parties are negotiating a new contract. This negotiation took over 31 weeks to reach an agreement, which is much longer than usual compared with other similar negotiations.</w:t>
      </w:r>
      <w:r w:rsidRPr="00D8046E">
        <w:rPr>
          <w:i/>
          <w:iCs/>
        </w:rPr>
        <w:t xml:space="preserve"> </w:t>
      </w:r>
      <w:r w:rsidRPr="00D8046E">
        <w:rPr>
          <w:iCs/>
        </w:rPr>
        <w:t>(</w:t>
      </w:r>
      <w:r w:rsidRPr="00D8046E">
        <w:rPr>
          <w:i/>
          <w:iCs/>
        </w:rPr>
        <w:t>High magnitude</w:t>
      </w:r>
      <w:r w:rsidRPr="00D8046E">
        <w:rPr>
          <w:iCs/>
        </w:rPr>
        <w:t>)</w:t>
      </w:r>
    </w:p>
    <w:p w:rsidR="00CF2899" w:rsidRPr="00D8046E" w:rsidRDefault="007256B6" w:rsidP="007256B6">
      <w:pPr>
        <w:autoSpaceDE w:val="0"/>
        <w:autoSpaceDN w:val="0"/>
        <w:adjustRightInd w:val="0"/>
        <w:spacing w:line="480" w:lineRule="auto"/>
        <w:ind w:firstLine="720"/>
        <w:rPr>
          <w:iCs/>
        </w:rPr>
      </w:pPr>
      <w:r w:rsidRPr="00D8046E">
        <w:rPr>
          <w:iCs/>
        </w:rPr>
        <w:t xml:space="preserve">-- </w:t>
      </w:r>
      <w:r w:rsidR="00CF2899" w:rsidRPr="00D8046E">
        <w:rPr>
          <w:iCs/>
        </w:rPr>
        <w:t>Two parties are negotiating a new contract. This negotiation took only 2 weeks to reach an agreement, which is typical compared with other similar negotiations.</w:t>
      </w:r>
      <w:r w:rsidRPr="00D8046E">
        <w:rPr>
          <w:iCs/>
        </w:rPr>
        <w:t xml:space="preserve"> (</w:t>
      </w:r>
      <w:r w:rsidRPr="00D8046E">
        <w:rPr>
          <w:i/>
          <w:iCs/>
        </w:rPr>
        <w:t>Low magnitude</w:t>
      </w:r>
      <w:r w:rsidRPr="00D8046E">
        <w:rPr>
          <w:iCs/>
        </w:rPr>
        <w:t>)</w:t>
      </w:r>
    </w:p>
    <w:p w:rsidR="007256B6" w:rsidRPr="00D8046E" w:rsidRDefault="007256B6" w:rsidP="007256B6">
      <w:pPr>
        <w:autoSpaceDE w:val="0"/>
        <w:autoSpaceDN w:val="0"/>
        <w:adjustRightInd w:val="0"/>
        <w:spacing w:line="480" w:lineRule="auto"/>
        <w:ind w:firstLine="720"/>
        <w:rPr>
          <w:i/>
          <w:iCs/>
        </w:rPr>
      </w:pPr>
      <w:r w:rsidRPr="00D8046E">
        <w:rPr>
          <w:i/>
          <w:iCs/>
        </w:rPr>
        <w:t>Causes:</w:t>
      </w:r>
    </w:p>
    <w:p w:rsidR="007256B6" w:rsidRPr="00D8046E" w:rsidRDefault="007256B6" w:rsidP="007256B6">
      <w:pPr>
        <w:autoSpaceDE w:val="0"/>
        <w:autoSpaceDN w:val="0"/>
        <w:adjustRightInd w:val="0"/>
        <w:spacing w:line="480" w:lineRule="auto"/>
        <w:ind w:firstLine="720"/>
        <w:rPr>
          <w:iCs/>
        </w:rPr>
      </w:pPr>
      <w:r w:rsidRPr="00D8046E">
        <w:lastRenderedPageBreak/>
        <w:t xml:space="preserve">-- </w:t>
      </w:r>
      <w:r w:rsidR="00CF2899" w:rsidRPr="00D8046E">
        <w:t>Two negotiating parties could not agree on one major point, which amounted to 41% of the total contract value.</w:t>
      </w:r>
      <w:r w:rsidRPr="00D8046E">
        <w:t xml:space="preserve"> </w:t>
      </w:r>
      <w:r w:rsidRPr="00D8046E">
        <w:rPr>
          <w:iCs/>
        </w:rPr>
        <w:t>(</w:t>
      </w:r>
      <w:r w:rsidRPr="00D8046E">
        <w:rPr>
          <w:i/>
          <w:iCs/>
        </w:rPr>
        <w:t>High magnitude</w:t>
      </w:r>
      <w:r w:rsidRPr="00D8046E">
        <w:rPr>
          <w:iCs/>
        </w:rPr>
        <w:t>)</w:t>
      </w:r>
    </w:p>
    <w:p w:rsidR="00CF2899" w:rsidRPr="00D8046E" w:rsidRDefault="007256B6" w:rsidP="007256B6">
      <w:pPr>
        <w:autoSpaceDE w:val="0"/>
        <w:autoSpaceDN w:val="0"/>
        <w:adjustRightInd w:val="0"/>
        <w:spacing w:line="480" w:lineRule="auto"/>
        <w:ind w:firstLine="720"/>
      </w:pPr>
      <w:r w:rsidRPr="00D8046E">
        <w:t xml:space="preserve">-- </w:t>
      </w:r>
      <w:r w:rsidR="00CF2899" w:rsidRPr="00D8046E">
        <w:t>Two negotiating parties could not agree on one minor point, which amounted to 10% of the total contract value.</w:t>
      </w:r>
      <w:r w:rsidRPr="00D8046E">
        <w:t xml:space="preserve"> </w:t>
      </w:r>
      <w:r w:rsidRPr="00D8046E">
        <w:rPr>
          <w:iCs/>
        </w:rPr>
        <w:t>(</w:t>
      </w:r>
      <w:r w:rsidRPr="00D8046E">
        <w:rPr>
          <w:i/>
          <w:iCs/>
        </w:rPr>
        <w:t>Low magnitude</w:t>
      </w:r>
      <w:r w:rsidRPr="00D8046E">
        <w:rPr>
          <w:iCs/>
        </w:rPr>
        <w:t>)</w:t>
      </w:r>
    </w:p>
    <w:p w:rsidR="00CF2899" w:rsidRPr="00D8046E" w:rsidRDefault="00CF2899" w:rsidP="00CF2899">
      <w:pPr>
        <w:autoSpaceDE w:val="0"/>
        <w:autoSpaceDN w:val="0"/>
        <w:adjustRightInd w:val="0"/>
        <w:spacing w:line="480" w:lineRule="auto"/>
      </w:pPr>
    </w:p>
    <w:p w:rsidR="00717627" w:rsidRPr="00D8046E" w:rsidRDefault="00EE17D6" w:rsidP="00124F57">
      <w:pPr>
        <w:spacing w:line="480" w:lineRule="auto"/>
        <w:ind w:left="360" w:hanging="360"/>
      </w:pPr>
      <w:r w:rsidRPr="00D8046E">
        <w:br w:type="page"/>
      </w:r>
      <w:r w:rsidR="00717627" w:rsidRPr="00D8046E">
        <w:lastRenderedPageBreak/>
        <w:t>Table 1</w:t>
      </w:r>
    </w:p>
    <w:p w:rsidR="004414E1" w:rsidRPr="00D8046E" w:rsidRDefault="00717627" w:rsidP="004414E1">
      <w:pPr>
        <w:spacing w:line="480" w:lineRule="auto"/>
      </w:pPr>
      <w:r w:rsidRPr="00D8046E">
        <w:t xml:space="preserve">Frequencies of </w:t>
      </w:r>
      <w:r w:rsidR="00DB551A" w:rsidRPr="00D8046E">
        <w:t xml:space="preserve">Canadian and Chinese </w:t>
      </w:r>
      <w:r w:rsidRPr="00D8046E">
        <w:t xml:space="preserve">cause magnitude choices </w:t>
      </w:r>
      <w:r w:rsidR="000E73F3" w:rsidRPr="00D8046E">
        <w:t>(</w:t>
      </w:r>
      <w:r w:rsidRPr="00D8046E">
        <w:t>and percentages within each culture</w:t>
      </w:r>
      <w:r w:rsidR="000E73F3" w:rsidRPr="00D8046E">
        <w:t>)</w:t>
      </w:r>
      <w:r w:rsidRPr="00D8046E">
        <w:t xml:space="preserve"> (Study 3)</w:t>
      </w:r>
      <w:r w:rsidR="000E73F3" w:rsidRPr="00D8046E">
        <w:t>.</w:t>
      </w:r>
    </w:p>
    <w:tbl>
      <w:tblPr>
        <w:tblW w:w="0" w:type="auto"/>
        <w:tblBorders>
          <w:insideH w:val="single" w:sz="4" w:space="0" w:color="auto"/>
          <w:insideV w:val="single" w:sz="4" w:space="0" w:color="auto"/>
        </w:tblBorders>
        <w:tblLook w:val="0000" w:firstRow="0" w:lastRow="0" w:firstColumn="0" w:lastColumn="0" w:noHBand="0" w:noVBand="0"/>
      </w:tblPr>
      <w:tblGrid>
        <w:gridCol w:w="1106"/>
        <w:gridCol w:w="1110"/>
        <w:gridCol w:w="13"/>
        <w:gridCol w:w="1092"/>
        <w:gridCol w:w="18"/>
        <w:gridCol w:w="1092"/>
        <w:gridCol w:w="13"/>
        <w:gridCol w:w="1211"/>
        <w:gridCol w:w="19"/>
        <w:gridCol w:w="1091"/>
        <w:gridCol w:w="13"/>
        <w:gridCol w:w="1092"/>
        <w:gridCol w:w="13"/>
        <w:gridCol w:w="1091"/>
        <w:gridCol w:w="13"/>
      </w:tblGrid>
      <w:tr w:rsidR="004414E1" w:rsidRPr="00D8046E">
        <w:tblPrEx>
          <w:tblCellMar>
            <w:top w:w="0" w:type="dxa"/>
            <w:bottom w:w="0" w:type="dxa"/>
          </w:tblCellMar>
        </w:tblPrEx>
        <w:tc>
          <w:tcPr>
            <w:tcW w:w="1106" w:type="dxa"/>
            <w:tcBorders>
              <w:top w:val="nil"/>
              <w:left w:val="nil"/>
              <w:bottom w:val="nil"/>
              <w:right w:val="nil"/>
            </w:tcBorders>
          </w:tcPr>
          <w:p w:rsidR="004414E1" w:rsidRPr="00D8046E" w:rsidRDefault="004414E1" w:rsidP="00453D54">
            <w:pPr>
              <w:autoSpaceDE w:val="0"/>
              <w:autoSpaceDN w:val="0"/>
              <w:adjustRightInd w:val="0"/>
            </w:pPr>
          </w:p>
        </w:tc>
        <w:tc>
          <w:tcPr>
            <w:tcW w:w="1123" w:type="dxa"/>
            <w:gridSpan w:val="2"/>
            <w:tcBorders>
              <w:top w:val="nil"/>
              <w:left w:val="nil"/>
              <w:bottom w:val="nil"/>
              <w:right w:val="nil"/>
            </w:tcBorders>
          </w:tcPr>
          <w:p w:rsidR="004414E1" w:rsidRPr="00D8046E" w:rsidRDefault="004414E1" w:rsidP="00453D54">
            <w:pPr>
              <w:autoSpaceDE w:val="0"/>
              <w:autoSpaceDN w:val="0"/>
              <w:adjustRightInd w:val="0"/>
            </w:pPr>
          </w:p>
        </w:tc>
        <w:tc>
          <w:tcPr>
            <w:tcW w:w="1105" w:type="dxa"/>
            <w:gridSpan w:val="2"/>
            <w:tcBorders>
              <w:top w:val="nil"/>
              <w:left w:val="nil"/>
              <w:bottom w:val="nil"/>
              <w:right w:val="nil"/>
            </w:tcBorders>
          </w:tcPr>
          <w:p w:rsidR="004414E1" w:rsidRPr="00D8046E" w:rsidRDefault="004414E1" w:rsidP="00453D54">
            <w:pPr>
              <w:autoSpaceDE w:val="0"/>
              <w:autoSpaceDN w:val="0"/>
              <w:adjustRightInd w:val="0"/>
            </w:pPr>
            <w:r w:rsidRPr="00D8046E">
              <w:t>Disease Outbreak</w:t>
            </w:r>
          </w:p>
        </w:tc>
        <w:tc>
          <w:tcPr>
            <w:tcW w:w="1105" w:type="dxa"/>
            <w:gridSpan w:val="2"/>
            <w:tcBorders>
              <w:top w:val="nil"/>
              <w:left w:val="nil"/>
              <w:bottom w:val="nil"/>
              <w:right w:val="nil"/>
            </w:tcBorders>
          </w:tcPr>
          <w:p w:rsidR="004414E1" w:rsidRPr="00D8046E" w:rsidRDefault="004414E1" w:rsidP="00453D54">
            <w:pPr>
              <w:autoSpaceDE w:val="0"/>
              <w:autoSpaceDN w:val="0"/>
              <w:adjustRightInd w:val="0"/>
            </w:pPr>
          </w:p>
        </w:tc>
        <w:tc>
          <w:tcPr>
            <w:tcW w:w="1105" w:type="dxa"/>
            <w:gridSpan w:val="2"/>
            <w:tcBorders>
              <w:top w:val="nil"/>
              <w:left w:val="nil"/>
              <w:bottom w:val="nil"/>
              <w:right w:val="nil"/>
            </w:tcBorders>
          </w:tcPr>
          <w:p w:rsidR="004414E1" w:rsidRPr="00D8046E" w:rsidRDefault="004414E1" w:rsidP="00453D54">
            <w:pPr>
              <w:autoSpaceDE w:val="0"/>
              <w:autoSpaceDN w:val="0"/>
              <w:adjustRightInd w:val="0"/>
            </w:pPr>
            <w:r w:rsidRPr="00D8046E">
              <w:t>Basketball Game</w:t>
            </w:r>
          </w:p>
        </w:tc>
        <w:tc>
          <w:tcPr>
            <w:tcW w:w="1104" w:type="dxa"/>
            <w:gridSpan w:val="2"/>
            <w:tcBorders>
              <w:top w:val="nil"/>
              <w:left w:val="nil"/>
              <w:bottom w:val="nil"/>
              <w:right w:val="nil"/>
            </w:tcBorders>
          </w:tcPr>
          <w:p w:rsidR="004414E1" w:rsidRPr="00D8046E" w:rsidRDefault="004414E1" w:rsidP="00453D54">
            <w:pPr>
              <w:autoSpaceDE w:val="0"/>
              <w:autoSpaceDN w:val="0"/>
              <w:adjustRightInd w:val="0"/>
            </w:pPr>
          </w:p>
        </w:tc>
        <w:tc>
          <w:tcPr>
            <w:tcW w:w="1105" w:type="dxa"/>
            <w:gridSpan w:val="2"/>
            <w:tcBorders>
              <w:top w:val="nil"/>
              <w:left w:val="nil"/>
              <w:bottom w:val="nil"/>
              <w:right w:val="nil"/>
            </w:tcBorders>
          </w:tcPr>
          <w:p w:rsidR="004414E1" w:rsidRPr="00D8046E" w:rsidRDefault="004414E1" w:rsidP="00453D54">
            <w:pPr>
              <w:autoSpaceDE w:val="0"/>
              <w:autoSpaceDN w:val="0"/>
              <w:adjustRightInd w:val="0"/>
            </w:pPr>
            <w:r w:rsidRPr="00D8046E">
              <w:t>Tornado</w:t>
            </w:r>
          </w:p>
          <w:p w:rsidR="004414E1" w:rsidRPr="00D8046E" w:rsidRDefault="004414E1" w:rsidP="00453D54">
            <w:pPr>
              <w:autoSpaceDE w:val="0"/>
              <w:autoSpaceDN w:val="0"/>
              <w:adjustRightInd w:val="0"/>
            </w:pPr>
            <w:r w:rsidRPr="00D8046E">
              <w:t>Damage</w:t>
            </w:r>
          </w:p>
        </w:tc>
        <w:tc>
          <w:tcPr>
            <w:tcW w:w="1104" w:type="dxa"/>
            <w:gridSpan w:val="2"/>
            <w:tcBorders>
              <w:top w:val="nil"/>
              <w:left w:val="nil"/>
              <w:bottom w:val="nil"/>
              <w:right w:val="nil"/>
            </w:tcBorders>
          </w:tcPr>
          <w:p w:rsidR="004414E1" w:rsidRPr="00D8046E" w:rsidRDefault="004414E1" w:rsidP="00453D54">
            <w:pPr>
              <w:autoSpaceDE w:val="0"/>
              <w:autoSpaceDN w:val="0"/>
              <w:adjustRightInd w:val="0"/>
            </w:pPr>
          </w:p>
        </w:tc>
      </w:tr>
      <w:tr w:rsidR="004414E1" w:rsidRPr="00D8046E">
        <w:tblPrEx>
          <w:tblCellMar>
            <w:top w:w="0" w:type="dxa"/>
            <w:bottom w:w="0" w:type="dxa"/>
          </w:tblCellMar>
        </w:tblPrEx>
        <w:tc>
          <w:tcPr>
            <w:tcW w:w="1106" w:type="dxa"/>
            <w:tcBorders>
              <w:top w:val="nil"/>
              <w:bottom w:val="single" w:sz="4" w:space="0" w:color="auto"/>
              <w:right w:val="nil"/>
            </w:tcBorders>
          </w:tcPr>
          <w:p w:rsidR="004414E1" w:rsidRPr="00D8046E" w:rsidRDefault="004414E1" w:rsidP="00453D54">
            <w:pPr>
              <w:autoSpaceDE w:val="0"/>
              <w:autoSpaceDN w:val="0"/>
              <w:adjustRightInd w:val="0"/>
            </w:pPr>
          </w:p>
        </w:tc>
        <w:tc>
          <w:tcPr>
            <w:tcW w:w="1123" w:type="dxa"/>
            <w:gridSpan w:val="2"/>
            <w:tcBorders>
              <w:top w:val="nil"/>
              <w:left w:val="nil"/>
              <w:bottom w:val="single" w:sz="4" w:space="0" w:color="auto"/>
              <w:right w:val="nil"/>
            </w:tcBorders>
          </w:tcPr>
          <w:p w:rsidR="004414E1" w:rsidRPr="00D8046E" w:rsidRDefault="004414E1" w:rsidP="00453D54">
            <w:pPr>
              <w:autoSpaceDE w:val="0"/>
              <w:autoSpaceDN w:val="0"/>
              <w:adjustRightInd w:val="0"/>
            </w:pPr>
          </w:p>
        </w:tc>
        <w:tc>
          <w:tcPr>
            <w:tcW w:w="1105" w:type="dxa"/>
            <w:gridSpan w:val="2"/>
            <w:tcBorders>
              <w:top w:val="nil"/>
              <w:left w:val="nil"/>
              <w:bottom w:val="single" w:sz="4" w:space="0" w:color="auto"/>
              <w:right w:val="nil"/>
            </w:tcBorders>
          </w:tcPr>
          <w:p w:rsidR="004414E1" w:rsidRPr="00D8046E" w:rsidRDefault="004414E1" w:rsidP="00453D54">
            <w:pPr>
              <w:autoSpaceDE w:val="0"/>
              <w:autoSpaceDN w:val="0"/>
              <w:adjustRightInd w:val="0"/>
            </w:pPr>
            <w:r w:rsidRPr="00D8046E">
              <w:t>Causes</w:t>
            </w:r>
          </w:p>
        </w:tc>
        <w:tc>
          <w:tcPr>
            <w:tcW w:w="1105" w:type="dxa"/>
            <w:gridSpan w:val="2"/>
            <w:tcBorders>
              <w:top w:val="nil"/>
              <w:left w:val="nil"/>
              <w:bottom w:val="single" w:sz="4" w:space="0" w:color="auto"/>
              <w:right w:val="nil"/>
            </w:tcBorders>
          </w:tcPr>
          <w:p w:rsidR="004414E1" w:rsidRPr="00D8046E" w:rsidRDefault="004414E1" w:rsidP="00453D54">
            <w:pPr>
              <w:autoSpaceDE w:val="0"/>
              <w:autoSpaceDN w:val="0"/>
              <w:adjustRightInd w:val="0"/>
            </w:pPr>
          </w:p>
        </w:tc>
        <w:tc>
          <w:tcPr>
            <w:tcW w:w="1105" w:type="dxa"/>
            <w:gridSpan w:val="2"/>
            <w:tcBorders>
              <w:top w:val="nil"/>
              <w:left w:val="nil"/>
              <w:bottom w:val="single" w:sz="4" w:space="0" w:color="auto"/>
              <w:right w:val="nil"/>
            </w:tcBorders>
          </w:tcPr>
          <w:p w:rsidR="004414E1" w:rsidRPr="00D8046E" w:rsidRDefault="004414E1" w:rsidP="00453D54">
            <w:pPr>
              <w:autoSpaceDE w:val="0"/>
              <w:autoSpaceDN w:val="0"/>
              <w:adjustRightInd w:val="0"/>
            </w:pPr>
            <w:r w:rsidRPr="00D8046E">
              <w:t xml:space="preserve">Causes </w:t>
            </w:r>
          </w:p>
        </w:tc>
        <w:tc>
          <w:tcPr>
            <w:tcW w:w="1104" w:type="dxa"/>
            <w:gridSpan w:val="2"/>
            <w:tcBorders>
              <w:top w:val="nil"/>
              <w:left w:val="nil"/>
              <w:bottom w:val="single" w:sz="4" w:space="0" w:color="auto"/>
              <w:right w:val="nil"/>
            </w:tcBorders>
          </w:tcPr>
          <w:p w:rsidR="004414E1" w:rsidRPr="00D8046E" w:rsidRDefault="004414E1" w:rsidP="00453D54">
            <w:pPr>
              <w:autoSpaceDE w:val="0"/>
              <w:autoSpaceDN w:val="0"/>
              <w:adjustRightInd w:val="0"/>
            </w:pPr>
          </w:p>
        </w:tc>
        <w:tc>
          <w:tcPr>
            <w:tcW w:w="1105" w:type="dxa"/>
            <w:gridSpan w:val="2"/>
            <w:tcBorders>
              <w:top w:val="nil"/>
              <w:left w:val="nil"/>
              <w:bottom w:val="single" w:sz="4" w:space="0" w:color="auto"/>
              <w:right w:val="nil"/>
            </w:tcBorders>
          </w:tcPr>
          <w:p w:rsidR="004414E1" w:rsidRPr="00D8046E" w:rsidRDefault="004414E1" w:rsidP="00453D54">
            <w:pPr>
              <w:autoSpaceDE w:val="0"/>
              <w:autoSpaceDN w:val="0"/>
              <w:adjustRightInd w:val="0"/>
            </w:pPr>
            <w:r w:rsidRPr="00D8046E">
              <w:t>Causes</w:t>
            </w:r>
          </w:p>
        </w:tc>
        <w:tc>
          <w:tcPr>
            <w:tcW w:w="1104" w:type="dxa"/>
            <w:gridSpan w:val="2"/>
            <w:tcBorders>
              <w:top w:val="nil"/>
              <w:left w:val="nil"/>
              <w:bottom w:val="single" w:sz="4" w:space="0" w:color="auto"/>
              <w:right w:val="nil"/>
            </w:tcBorders>
          </w:tcPr>
          <w:p w:rsidR="004414E1" w:rsidRPr="00D8046E" w:rsidRDefault="004414E1" w:rsidP="00453D54">
            <w:pPr>
              <w:autoSpaceDE w:val="0"/>
              <w:autoSpaceDN w:val="0"/>
              <w:adjustRightInd w:val="0"/>
            </w:pPr>
          </w:p>
        </w:tc>
      </w:tr>
      <w:tr w:rsidR="004414E1" w:rsidRPr="00D8046E">
        <w:tblPrEx>
          <w:tblCellMar>
            <w:top w:w="0" w:type="dxa"/>
            <w:bottom w:w="0" w:type="dxa"/>
          </w:tblCellMar>
        </w:tblPrEx>
        <w:tc>
          <w:tcPr>
            <w:tcW w:w="1106" w:type="dxa"/>
            <w:tcBorders>
              <w:top w:val="single" w:sz="4" w:space="0" w:color="auto"/>
              <w:bottom w:val="single" w:sz="4" w:space="0" w:color="auto"/>
              <w:right w:val="nil"/>
            </w:tcBorders>
          </w:tcPr>
          <w:p w:rsidR="004414E1" w:rsidRPr="00D8046E" w:rsidRDefault="004414E1" w:rsidP="00453D54">
            <w:pPr>
              <w:autoSpaceDE w:val="0"/>
              <w:autoSpaceDN w:val="0"/>
              <w:adjustRightInd w:val="0"/>
            </w:pPr>
            <w:r w:rsidRPr="00D8046E">
              <w:t>Effect</w:t>
            </w:r>
          </w:p>
        </w:tc>
        <w:tc>
          <w:tcPr>
            <w:tcW w:w="1123" w:type="dxa"/>
            <w:gridSpan w:val="2"/>
            <w:tcBorders>
              <w:top w:val="single" w:sz="4" w:space="0" w:color="auto"/>
              <w:left w:val="nil"/>
              <w:bottom w:val="single" w:sz="4" w:space="0" w:color="auto"/>
              <w:right w:val="nil"/>
            </w:tcBorders>
          </w:tcPr>
          <w:p w:rsidR="004414E1" w:rsidRPr="00D8046E" w:rsidRDefault="004414E1" w:rsidP="00453D54">
            <w:pPr>
              <w:autoSpaceDE w:val="0"/>
              <w:autoSpaceDN w:val="0"/>
              <w:adjustRightInd w:val="0"/>
            </w:pPr>
            <w:r w:rsidRPr="00D8046E">
              <w:t>Culture</w:t>
            </w:r>
          </w:p>
        </w:tc>
        <w:tc>
          <w:tcPr>
            <w:tcW w:w="1105" w:type="dxa"/>
            <w:gridSpan w:val="2"/>
            <w:tcBorders>
              <w:top w:val="single" w:sz="4" w:space="0" w:color="auto"/>
              <w:left w:val="nil"/>
              <w:bottom w:val="single" w:sz="4" w:space="0" w:color="auto"/>
              <w:right w:val="nil"/>
            </w:tcBorders>
          </w:tcPr>
          <w:p w:rsidR="004414E1" w:rsidRPr="00D8046E" w:rsidRDefault="004414E1" w:rsidP="00453D54">
            <w:pPr>
              <w:autoSpaceDE w:val="0"/>
              <w:autoSpaceDN w:val="0"/>
              <w:adjustRightInd w:val="0"/>
            </w:pPr>
            <w:r w:rsidRPr="00D8046E">
              <w:t>High</w:t>
            </w:r>
          </w:p>
        </w:tc>
        <w:tc>
          <w:tcPr>
            <w:tcW w:w="1105" w:type="dxa"/>
            <w:gridSpan w:val="2"/>
            <w:tcBorders>
              <w:top w:val="single" w:sz="4" w:space="0" w:color="auto"/>
              <w:left w:val="nil"/>
              <w:bottom w:val="single" w:sz="4" w:space="0" w:color="auto"/>
              <w:right w:val="nil"/>
            </w:tcBorders>
          </w:tcPr>
          <w:p w:rsidR="004414E1" w:rsidRPr="00D8046E" w:rsidRDefault="004414E1" w:rsidP="00453D54">
            <w:pPr>
              <w:autoSpaceDE w:val="0"/>
              <w:autoSpaceDN w:val="0"/>
              <w:adjustRightInd w:val="0"/>
            </w:pPr>
            <w:r w:rsidRPr="00D8046E">
              <w:t>Low</w:t>
            </w:r>
          </w:p>
        </w:tc>
        <w:tc>
          <w:tcPr>
            <w:tcW w:w="1105" w:type="dxa"/>
            <w:gridSpan w:val="2"/>
            <w:tcBorders>
              <w:top w:val="single" w:sz="4" w:space="0" w:color="auto"/>
              <w:left w:val="nil"/>
              <w:bottom w:val="single" w:sz="4" w:space="0" w:color="auto"/>
              <w:right w:val="nil"/>
            </w:tcBorders>
          </w:tcPr>
          <w:p w:rsidR="004414E1" w:rsidRPr="00D8046E" w:rsidRDefault="004414E1" w:rsidP="00453D54">
            <w:pPr>
              <w:autoSpaceDE w:val="0"/>
              <w:autoSpaceDN w:val="0"/>
              <w:adjustRightInd w:val="0"/>
            </w:pPr>
            <w:r w:rsidRPr="00D8046E">
              <w:t>High</w:t>
            </w:r>
          </w:p>
        </w:tc>
        <w:tc>
          <w:tcPr>
            <w:tcW w:w="1104" w:type="dxa"/>
            <w:gridSpan w:val="2"/>
            <w:tcBorders>
              <w:top w:val="single" w:sz="4" w:space="0" w:color="auto"/>
              <w:left w:val="nil"/>
              <w:bottom w:val="single" w:sz="4" w:space="0" w:color="auto"/>
              <w:right w:val="nil"/>
            </w:tcBorders>
          </w:tcPr>
          <w:p w:rsidR="004414E1" w:rsidRPr="00D8046E" w:rsidRDefault="004414E1" w:rsidP="00453D54">
            <w:pPr>
              <w:autoSpaceDE w:val="0"/>
              <w:autoSpaceDN w:val="0"/>
              <w:adjustRightInd w:val="0"/>
            </w:pPr>
            <w:r w:rsidRPr="00D8046E">
              <w:t>Low</w:t>
            </w:r>
          </w:p>
        </w:tc>
        <w:tc>
          <w:tcPr>
            <w:tcW w:w="1105" w:type="dxa"/>
            <w:gridSpan w:val="2"/>
            <w:tcBorders>
              <w:top w:val="single" w:sz="4" w:space="0" w:color="auto"/>
              <w:left w:val="nil"/>
              <w:bottom w:val="single" w:sz="4" w:space="0" w:color="auto"/>
              <w:right w:val="nil"/>
            </w:tcBorders>
          </w:tcPr>
          <w:p w:rsidR="004414E1" w:rsidRPr="00D8046E" w:rsidRDefault="004414E1" w:rsidP="00453D54">
            <w:pPr>
              <w:autoSpaceDE w:val="0"/>
              <w:autoSpaceDN w:val="0"/>
              <w:adjustRightInd w:val="0"/>
            </w:pPr>
            <w:r w:rsidRPr="00D8046E">
              <w:t>High</w:t>
            </w:r>
          </w:p>
        </w:tc>
        <w:tc>
          <w:tcPr>
            <w:tcW w:w="1104" w:type="dxa"/>
            <w:gridSpan w:val="2"/>
            <w:tcBorders>
              <w:top w:val="single" w:sz="4" w:space="0" w:color="auto"/>
              <w:left w:val="nil"/>
              <w:bottom w:val="single" w:sz="4" w:space="0" w:color="auto"/>
              <w:right w:val="nil"/>
            </w:tcBorders>
          </w:tcPr>
          <w:p w:rsidR="004414E1" w:rsidRPr="00D8046E" w:rsidRDefault="004414E1" w:rsidP="00453D54">
            <w:pPr>
              <w:autoSpaceDE w:val="0"/>
              <w:autoSpaceDN w:val="0"/>
              <w:adjustRightInd w:val="0"/>
            </w:pPr>
            <w:r w:rsidRPr="00D8046E">
              <w:t>Low</w:t>
            </w:r>
          </w:p>
        </w:tc>
      </w:tr>
      <w:tr w:rsidR="004414E1" w:rsidRPr="00D8046E">
        <w:tblPrEx>
          <w:tblCellMar>
            <w:top w:w="0" w:type="dxa"/>
            <w:bottom w:w="0" w:type="dxa"/>
          </w:tblCellMar>
        </w:tblPrEx>
        <w:tc>
          <w:tcPr>
            <w:tcW w:w="1106" w:type="dxa"/>
            <w:tcBorders>
              <w:top w:val="single" w:sz="4" w:space="0" w:color="auto"/>
              <w:bottom w:val="nil"/>
              <w:right w:val="nil"/>
            </w:tcBorders>
          </w:tcPr>
          <w:p w:rsidR="004414E1" w:rsidRPr="00D8046E" w:rsidRDefault="004414E1" w:rsidP="00453D54">
            <w:pPr>
              <w:autoSpaceDE w:val="0"/>
              <w:autoSpaceDN w:val="0"/>
              <w:adjustRightInd w:val="0"/>
            </w:pPr>
            <w:r w:rsidRPr="00D8046E">
              <w:t>High</w:t>
            </w:r>
          </w:p>
        </w:tc>
        <w:tc>
          <w:tcPr>
            <w:tcW w:w="1123" w:type="dxa"/>
            <w:gridSpan w:val="2"/>
            <w:tcBorders>
              <w:top w:val="single" w:sz="4" w:space="0" w:color="auto"/>
              <w:left w:val="nil"/>
              <w:bottom w:val="nil"/>
              <w:right w:val="nil"/>
            </w:tcBorders>
          </w:tcPr>
          <w:p w:rsidR="004414E1" w:rsidRPr="00D8046E" w:rsidRDefault="004414E1" w:rsidP="00453D54">
            <w:pPr>
              <w:autoSpaceDE w:val="0"/>
              <w:autoSpaceDN w:val="0"/>
              <w:adjustRightInd w:val="0"/>
            </w:pPr>
            <w:r w:rsidRPr="00D8046E">
              <w:t>Canadian</w:t>
            </w:r>
          </w:p>
        </w:tc>
        <w:tc>
          <w:tcPr>
            <w:tcW w:w="1105" w:type="dxa"/>
            <w:gridSpan w:val="2"/>
            <w:tcBorders>
              <w:top w:val="single" w:sz="4" w:space="0" w:color="auto"/>
              <w:left w:val="nil"/>
              <w:bottom w:val="nil"/>
              <w:right w:val="nil"/>
            </w:tcBorders>
          </w:tcPr>
          <w:p w:rsidR="004414E1" w:rsidRPr="00D8046E" w:rsidRDefault="004414E1" w:rsidP="00453D54">
            <w:pPr>
              <w:autoSpaceDE w:val="0"/>
              <w:autoSpaceDN w:val="0"/>
              <w:adjustRightInd w:val="0"/>
            </w:pPr>
            <w:r w:rsidRPr="00D8046E">
              <w:t>29</w:t>
            </w:r>
          </w:p>
          <w:p w:rsidR="004414E1" w:rsidRPr="00D8046E" w:rsidRDefault="004414E1" w:rsidP="00453D54">
            <w:pPr>
              <w:autoSpaceDE w:val="0"/>
              <w:autoSpaceDN w:val="0"/>
              <w:adjustRightInd w:val="0"/>
            </w:pPr>
            <w:r w:rsidRPr="00D8046E">
              <w:t>(90.6%)</w:t>
            </w:r>
          </w:p>
        </w:tc>
        <w:tc>
          <w:tcPr>
            <w:tcW w:w="1105" w:type="dxa"/>
            <w:gridSpan w:val="2"/>
            <w:tcBorders>
              <w:top w:val="single" w:sz="4" w:space="0" w:color="auto"/>
              <w:left w:val="nil"/>
              <w:bottom w:val="nil"/>
              <w:right w:val="nil"/>
            </w:tcBorders>
          </w:tcPr>
          <w:p w:rsidR="004414E1" w:rsidRPr="00D8046E" w:rsidRDefault="004414E1" w:rsidP="00453D54">
            <w:pPr>
              <w:autoSpaceDE w:val="0"/>
              <w:autoSpaceDN w:val="0"/>
              <w:adjustRightInd w:val="0"/>
            </w:pPr>
            <w:r w:rsidRPr="00D8046E">
              <w:t>3</w:t>
            </w:r>
          </w:p>
          <w:p w:rsidR="004414E1" w:rsidRPr="00D8046E" w:rsidRDefault="004414E1" w:rsidP="00453D54">
            <w:pPr>
              <w:autoSpaceDE w:val="0"/>
              <w:autoSpaceDN w:val="0"/>
              <w:adjustRightInd w:val="0"/>
            </w:pPr>
            <w:r w:rsidRPr="00D8046E">
              <w:t>(9.4%)</w:t>
            </w:r>
          </w:p>
        </w:tc>
        <w:tc>
          <w:tcPr>
            <w:tcW w:w="1105" w:type="dxa"/>
            <w:gridSpan w:val="2"/>
            <w:tcBorders>
              <w:top w:val="single" w:sz="4" w:space="0" w:color="auto"/>
              <w:left w:val="nil"/>
              <w:bottom w:val="nil"/>
              <w:right w:val="nil"/>
            </w:tcBorders>
          </w:tcPr>
          <w:p w:rsidR="004414E1" w:rsidRPr="00D8046E" w:rsidRDefault="004414E1" w:rsidP="00453D54">
            <w:pPr>
              <w:autoSpaceDE w:val="0"/>
              <w:autoSpaceDN w:val="0"/>
              <w:adjustRightInd w:val="0"/>
            </w:pPr>
            <w:r w:rsidRPr="00D8046E">
              <w:t>30 (93.8%)</w:t>
            </w:r>
          </w:p>
        </w:tc>
        <w:tc>
          <w:tcPr>
            <w:tcW w:w="1104" w:type="dxa"/>
            <w:gridSpan w:val="2"/>
            <w:tcBorders>
              <w:top w:val="single" w:sz="4" w:space="0" w:color="auto"/>
              <w:left w:val="nil"/>
              <w:bottom w:val="nil"/>
              <w:right w:val="nil"/>
            </w:tcBorders>
          </w:tcPr>
          <w:p w:rsidR="004414E1" w:rsidRPr="00D8046E" w:rsidRDefault="004414E1" w:rsidP="00453D54">
            <w:pPr>
              <w:autoSpaceDE w:val="0"/>
              <w:autoSpaceDN w:val="0"/>
              <w:adjustRightInd w:val="0"/>
            </w:pPr>
            <w:r w:rsidRPr="00D8046E">
              <w:t>2</w:t>
            </w:r>
          </w:p>
          <w:p w:rsidR="004414E1" w:rsidRPr="00D8046E" w:rsidRDefault="004414E1" w:rsidP="00453D54">
            <w:pPr>
              <w:autoSpaceDE w:val="0"/>
              <w:autoSpaceDN w:val="0"/>
              <w:adjustRightInd w:val="0"/>
            </w:pPr>
            <w:r w:rsidRPr="00D8046E">
              <w:t>(6.2%)</w:t>
            </w:r>
          </w:p>
        </w:tc>
        <w:tc>
          <w:tcPr>
            <w:tcW w:w="1105" w:type="dxa"/>
            <w:gridSpan w:val="2"/>
            <w:tcBorders>
              <w:top w:val="single" w:sz="4" w:space="0" w:color="auto"/>
              <w:left w:val="nil"/>
              <w:bottom w:val="nil"/>
              <w:right w:val="nil"/>
            </w:tcBorders>
          </w:tcPr>
          <w:p w:rsidR="004414E1" w:rsidRPr="00D8046E" w:rsidRDefault="004414E1" w:rsidP="00453D54">
            <w:pPr>
              <w:autoSpaceDE w:val="0"/>
              <w:autoSpaceDN w:val="0"/>
              <w:adjustRightInd w:val="0"/>
            </w:pPr>
            <w:r w:rsidRPr="00D8046E">
              <w:t>28</w:t>
            </w:r>
          </w:p>
          <w:p w:rsidR="004414E1" w:rsidRPr="00D8046E" w:rsidRDefault="004414E1" w:rsidP="00453D54">
            <w:pPr>
              <w:autoSpaceDE w:val="0"/>
              <w:autoSpaceDN w:val="0"/>
              <w:adjustRightInd w:val="0"/>
            </w:pPr>
            <w:r w:rsidRPr="00D8046E">
              <w:t>(87.5%)</w:t>
            </w:r>
          </w:p>
        </w:tc>
        <w:tc>
          <w:tcPr>
            <w:tcW w:w="1104" w:type="dxa"/>
            <w:gridSpan w:val="2"/>
            <w:tcBorders>
              <w:top w:val="single" w:sz="4" w:space="0" w:color="auto"/>
              <w:left w:val="nil"/>
              <w:bottom w:val="nil"/>
              <w:right w:val="nil"/>
            </w:tcBorders>
          </w:tcPr>
          <w:p w:rsidR="004414E1" w:rsidRPr="00D8046E" w:rsidRDefault="004414E1" w:rsidP="00453D54">
            <w:pPr>
              <w:autoSpaceDE w:val="0"/>
              <w:autoSpaceDN w:val="0"/>
              <w:adjustRightInd w:val="0"/>
            </w:pPr>
            <w:r w:rsidRPr="00D8046E">
              <w:t>4</w:t>
            </w:r>
          </w:p>
          <w:p w:rsidR="004414E1" w:rsidRPr="00D8046E" w:rsidRDefault="004414E1" w:rsidP="00453D54">
            <w:pPr>
              <w:autoSpaceDE w:val="0"/>
              <w:autoSpaceDN w:val="0"/>
              <w:adjustRightInd w:val="0"/>
            </w:pPr>
            <w:r w:rsidRPr="00D8046E">
              <w:t>(12.5%)</w:t>
            </w:r>
          </w:p>
        </w:tc>
      </w:tr>
      <w:tr w:rsidR="004414E1" w:rsidRPr="00D8046E">
        <w:tblPrEx>
          <w:tblCellMar>
            <w:top w:w="0" w:type="dxa"/>
            <w:bottom w:w="0" w:type="dxa"/>
          </w:tblCellMar>
        </w:tblPrEx>
        <w:trPr>
          <w:gridAfter w:val="1"/>
          <w:wAfter w:w="13" w:type="dxa"/>
        </w:trPr>
        <w:tc>
          <w:tcPr>
            <w:tcW w:w="1106" w:type="dxa"/>
            <w:tcBorders>
              <w:top w:val="nil"/>
              <w:bottom w:val="single" w:sz="4" w:space="0" w:color="auto"/>
              <w:right w:val="nil"/>
            </w:tcBorders>
          </w:tcPr>
          <w:p w:rsidR="004414E1" w:rsidRPr="00D8046E" w:rsidRDefault="004414E1" w:rsidP="00453D54">
            <w:pPr>
              <w:autoSpaceDE w:val="0"/>
              <w:autoSpaceDN w:val="0"/>
              <w:adjustRightInd w:val="0"/>
            </w:pPr>
          </w:p>
        </w:tc>
        <w:tc>
          <w:tcPr>
            <w:tcW w:w="1110" w:type="dxa"/>
            <w:tcBorders>
              <w:top w:val="nil"/>
              <w:left w:val="nil"/>
              <w:bottom w:val="single" w:sz="4" w:space="0" w:color="auto"/>
              <w:right w:val="nil"/>
            </w:tcBorders>
          </w:tcPr>
          <w:p w:rsidR="004414E1" w:rsidRPr="00D8046E" w:rsidRDefault="004414E1" w:rsidP="00453D54">
            <w:pPr>
              <w:autoSpaceDE w:val="0"/>
              <w:autoSpaceDN w:val="0"/>
              <w:adjustRightInd w:val="0"/>
            </w:pPr>
            <w:r w:rsidRPr="00D8046E">
              <w:t>Chinese</w:t>
            </w:r>
          </w:p>
        </w:tc>
        <w:tc>
          <w:tcPr>
            <w:tcW w:w="1105" w:type="dxa"/>
            <w:gridSpan w:val="2"/>
            <w:tcBorders>
              <w:top w:val="nil"/>
              <w:left w:val="nil"/>
              <w:bottom w:val="single" w:sz="4" w:space="0" w:color="auto"/>
              <w:right w:val="nil"/>
            </w:tcBorders>
          </w:tcPr>
          <w:p w:rsidR="004414E1" w:rsidRPr="00D8046E" w:rsidRDefault="004414E1" w:rsidP="00453D54">
            <w:pPr>
              <w:autoSpaceDE w:val="0"/>
              <w:autoSpaceDN w:val="0"/>
              <w:adjustRightInd w:val="0"/>
            </w:pPr>
            <w:r w:rsidRPr="00D8046E">
              <w:t>18</w:t>
            </w:r>
          </w:p>
          <w:p w:rsidR="004414E1" w:rsidRPr="00D8046E" w:rsidRDefault="004414E1" w:rsidP="00453D54">
            <w:pPr>
              <w:autoSpaceDE w:val="0"/>
              <w:autoSpaceDN w:val="0"/>
              <w:adjustRightInd w:val="0"/>
            </w:pPr>
            <w:r w:rsidRPr="00D8046E">
              <w:t>(56.2%)</w:t>
            </w:r>
          </w:p>
        </w:tc>
        <w:tc>
          <w:tcPr>
            <w:tcW w:w="1105" w:type="dxa"/>
            <w:gridSpan w:val="2"/>
            <w:tcBorders>
              <w:top w:val="nil"/>
              <w:left w:val="nil"/>
              <w:bottom w:val="single" w:sz="4" w:space="0" w:color="auto"/>
              <w:right w:val="nil"/>
            </w:tcBorders>
          </w:tcPr>
          <w:p w:rsidR="004414E1" w:rsidRPr="00D8046E" w:rsidRDefault="004414E1" w:rsidP="00453D54">
            <w:pPr>
              <w:autoSpaceDE w:val="0"/>
              <w:autoSpaceDN w:val="0"/>
              <w:adjustRightInd w:val="0"/>
            </w:pPr>
            <w:r w:rsidRPr="00D8046E">
              <w:t>14</w:t>
            </w:r>
          </w:p>
          <w:p w:rsidR="004414E1" w:rsidRPr="00D8046E" w:rsidRDefault="004414E1" w:rsidP="00453D54">
            <w:pPr>
              <w:autoSpaceDE w:val="0"/>
              <w:autoSpaceDN w:val="0"/>
              <w:adjustRightInd w:val="0"/>
            </w:pPr>
            <w:r w:rsidRPr="00D8046E">
              <w:t>(43.8%)</w:t>
            </w:r>
          </w:p>
        </w:tc>
        <w:tc>
          <w:tcPr>
            <w:tcW w:w="1105" w:type="dxa"/>
            <w:gridSpan w:val="2"/>
            <w:tcBorders>
              <w:top w:val="nil"/>
              <w:left w:val="nil"/>
              <w:bottom w:val="single" w:sz="4" w:space="0" w:color="auto"/>
              <w:right w:val="nil"/>
            </w:tcBorders>
          </w:tcPr>
          <w:p w:rsidR="004414E1" w:rsidRPr="00D8046E" w:rsidRDefault="004414E1" w:rsidP="00453D54">
            <w:pPr>
              <w:autoSpaceDE w:val="0"/>
              <w:autoSpaceDN w:val="0"/>
              <w:adjustRightInd w:val="0"/>
            </w:pPr>
            <w:r w:rsidRPr="00D8046E">
              <w:t>20</w:t>
            </w:r>
          </w:p>
          <w:p w:rsidR="004414E1" w:rsidRPr="00D8046E" w:rsidRDefault="004414E1" w:rsidP="00453D54">
            <w:pPr>
              <w:autoSpaceDE w:val="0"/>
              <w:autoSpaceDN w:val="0"/>
              <w:adjustRightInd w:val="0"/>
            </w:pPr>
            <w:r w:rsidRPr="00D8046E">
              <w:t>(62.5%)</w:t>
            </w:r>
          </w:p>
        </w:tc>
        <w:tc>
          <w:tcPr>
            <w:tcW w:w="1104" w:type="dxa"/>
            <w:gridSpan w:val="2"/>
            <w:tcBorders>
              <w:top w:val="nil"/>
              <w:left w:val="nil"/>
              <w:bottom w:val="single" w:sz="4" w:space="0" w:color="auto"/>
              <w:right w:val="nil"/>
            </w:tcBorders>
          </w:tcPr>
          <w:p w:rsidR="004414E1" w:rsidRPr="00D8046E" w:rsidRDefault="004414E1" w:rsidP="00453D54">
            <w:pPr>
              <w:autoSpaceDE w:val="0"/>
              <w:autoSpaceDN w:val="0"/>
              <w:adjustRightInd w:val="0"/>
            </w:pPr>
            <w:r w:rsidRPr="00D8046E">
              <w:t>12</w:t>
            </w:r>
          </w:p>
          <w:p w:rsidR="004414E1" w:rsidRPr="00D8046E" w:rsidRDefault="004414E1" w:rsidP="00453D54">
            <w:pPr>
              <w:autoSpaceDE w:val="0"/>
              <w:autoSpaceDN w:val="0"/>
              <w:adjustRightInd w:val="0"/>
            </w:pPr>
            <w:r w:rsidRPr="00D8046E">
              <w:t>(37.5%)</w:t>
            </w:r>
          </w:p>
        </w:tc>
        <w:tc>
          <w:tcPr>
            <w:tcW w:w="1105" w:type="dxa"/>
            <w:gridSpan w:val="2"/>
            <w:tcBorders>
              <w:top w:val="nil"/>
              <w:left w:val="nil"/>
              <w:bottom w:val="single" w:sz="4" w:space="0" w:color="auto"/>
              <w:right w:val="nil"/>
            </w:tcBorders>
          </w:tcPr>
          <w:p w:rsidR="004414E1" w:rsidRPr="00D8046E" w:rsidRDefault="004414E1" w:rsidP="00453D54">
            <w:pPr>
              <w:autoSpaceDE w:val="0"/>
              <w:autoSpaceDN w:val="0"/>
              <w:adjustRightInd w:val="0"/>
            </w:pPr>
            <w:r w:rsidRPr="00D8046E">
              <w:t>19</w:t>
            </w:r>
          </w:p>
          <w:p w:rsidR="004414E1" w:rsidRPr="00D8046E" w:rsidRDefault="004414E1" w:rsidP="00453D54">
            <w:pPr>
              <w:autoSpaceDE w:val="0"/>
              <w:autoSpaceDN w:val="0"/>
              <w:adjustRightInd w:val="0"/>
            </w:pPr>
            <w:r w:rsidRPr="00D8046E">
              <w:t>(59.4%)</w:t>
            </w:r>
          </w:p>
        </w:tc>
        <w:tc>
          <w:tcPr>
            <w:tcW w:w="1104" w:type="dxa"/>
            <w:gridSpan w:val="2"/>
            <w:tcBorders>
              <w:top w:val="nil"/>
              <w:left w:val="nil"/>
              <w:bottom w:val="single" w:sz="4" w:space="0" w:color="auto"/>
              <w:right w:val="nil"/>
            </w:tcBorders>
          </w:tcPr>
          <w:p w:rsidR="004414E1" w:rsidRPr="00D8046E" w:rsidRDefault="004414E1" w:rsidP="00453D54">
            <w:pPr>
              <w:autoSpaceDE w:val="0"/>
              <w:autoSpaceDN w:val="0"/>
              <w:adjustRightInd w:val="0"/>
            </w:pPr>
            <w:r w:rsidRPr="00D8046E">
              <w:t>13</w:t>
            </w:r>
          </w:p>
          <w:p w:rsidR="004414E1" w:rsidRPr="00D8046E" w:rsidRDefault="004414E1" w:rsidP="00453D54">
            <w:pPr>
              <w:autoSpaceDE w:val="0"/>
              <w:autoSpaceDN w:val="0"/>
              <w:adjustRightInd w:val="0"/>
            </w:pPr>
            <w:r w:rsidRPr="00D8046E">
              <w:t>(40.6%)</w:t>
            </w:r>
          </w:p>
        </w:tc>
      </w:tr>
      <w:tr w:rsidR="004414E1" w:rsidRPr="00D8046E">
        <w:tblPrEx>
          <w:tblCellMar>
            <w:top w:w="0" w:type="dxa"/>
            <w:bottom w:w="0" w:type="dxa"/>
          </w:tblCellMar>
        </w:tblPrEx>
        <w:tc>
          <w:tcPr>
            <w:tcW w:w="1106" w:type="dxa"/>
            <w:tcBorders>
              <w:top w:val="single" w:sz="4" w:space="0" w:color="auto"/>
              <w:bottom w:val="nil"/>
              <w:right w:val="nil"/>
            </w:tcBorders>
          </w:tcPr>
          <w:p w:rsidR="004414E1" w:rsidRPr="00D8046E" w:rsidRDefault="004414E1" w:rsidP="00453D54">
            <w:pPr>
              <w:autoSpaceDE w:val="0"/>
              <w:autoSpaceDN w:val="0"/>
              <w:adjustRightInd w:val="0"/>
            </w:pPr>
            <w:r w:rsidRPr="00D8046E">
              <w:t>Low</w:t>
            </w:r>
          </w:p>
        </w:tc>
        <w:tc>
          <w:tcPr>
            <w:tcW w:w="1123" w:type="dxa"/>
            <w:gridSpan w:val="2"/>
            <w:tcBorders>
              <w:top w:val="single" w:sz="4" w:space="0" w:color="auto"/>
              <w:left w:val="nil"/>
              <w:bottom w:val="nil"/>
              <w:right w:val="nil"/>
            </w:tcBorders>
          </w:tcPr>
          <w:p w:rsidR="004414E1" w:rsidRPr="00D8046E" w:rsidRDefault="004414E1" w:rsidP="00453D54">
            <w:pPr>
              <w:autoSpaceDE w:val="0"/>
              <w:autoSpaceDN w:val="0"/>
              <w:adjustRightInd w:val="0"/>
            </w:pPr>
            <w:r w:rsidRPr="00D8046E">
              <w:t>Canadian</w:t>
            </w:r>
          </w:p>
        </w:tc>
        <w:tc>
          <w:tcPr>
            <w:tcW w:w="1105" w:type="dxa"/>
            <w:gridSpan w:val="2"/>
            <w:tcBorders>
              <w:top w:val="single" w:sz="4" w:space="0" w:color="auto"/>
              <w:left w:val="nil"/>
              <w:bottom w:val="nil"/>
              <w:right w:val="nil"/>
            </w:tcBorders>
          </w:tcPr>
          <w:p w:rsidR="004414E1" w:rsidRPr="00D8046E" w:rsidRDefault="004414E1" w:rsidP="00453D54">
            <w:pPr>
              <w:autoSpaceDE w:val="0"/>
              <w:autoSpaceDN w:val="0"/>
              <w:adjustRightInd w:val="0"/>
            </w:pPr>
            <w:r w:rsidRPr="00D8046E">
              <w:t>4</w:t>
            </w:r>
          </w:p>
          <w:p w:rsidR="004414E1" w:rsidRPr="00D8046E" w:rsidRDefault="004414E1" w:rsidP="00453D54">
            <w:pPr>
              <w:autoSpaceDE w:val="0"/>
              <w:autoSpaceDN w:val="0"/>
              <w:adjustRightInd w:val="0"/>
            </w:pPr>
            <w:r w:rsidRPr="00D8046E">
              <w:t>(12.9%)</w:t>
            </w:r>
          </w:p>
        </w:tc>
        <w:tc>
          <w:tcPr>
            <w:tcW w:w="1105" w:type="dxa"/>
            <w:gridSpan w:val="2"/>
            <w:tcBorders>
              <w:top w:val="single" w:sz="4" w:space="0" w:color="auto"/>
              <w:left w:val="nil"/>
              <w:bottom w:val="nil"/>
              <w:right w:val="nil"/>
            </w:tcBorders>
          </w:tcPr>
          <w:p w:rsidR="004414E1" w:rsidRPr="00D8046E" w:rsidRDefault="004414E1" w:rsidP="00453D54">
            <w:pPr>
              <w:autoSpaceDE w:val="0"/>
              <w:autoSpaceDN w:val="0"/>
              <w:adjustRightInd w:val="0"/>
            </w:pPr>
            <w:r w:rsidRPr="00D8046E">
              <w:t>27</w:t>
            </w:r>
          </w:p>
          <w:p w:rsidR="004414E1" w:rsidRPr="00D8046E" w:rsidRDefault="004414E1" w:rsidP="00453D54">
            <w:pPr>
              <w:autoSpaceDE w:val="0"/>
              <w:autoSpaceDN w:val="0"/>
              <w:adjustRightInd w:val="0"/>
            </w:pPr>
            <w:r w:rsidRPr="00D8046E">
              <w:t>(87.1%)</w:t>
            </w:r>
          </w:p>
        </w:tc>
        <w:tc>
          <w:tcPr>
            <w:tcW w:w="1105" w:type="dxa"/>
            <w:gridSpan w:val="2"/>
            <w:tcBorders>
              <w:top w:val="single" w:sz="4" w:space="0" w:color="auto"/>
              <w:left w:val="nil"/>
              <w:bottom w:val="nil"/>
              <w:right w:val="nil"/>
            </w:tcBorders>
          </w:tcPr>
          <w:p w:rsidR="004414E1" w:rsidRPr="00D8046E" w:rsidRDefault="004414E1" w:rsidP="00453D54">
            <w:pPr>
              <w:autoSpaceDE w:val="0"/>
              <w:autoSpaceDN w:val="0"/>
              <w:adjustRightInd w:val="0"/>
            </w:pPr>
            <w:r w:rsidRPr="00D8046E">
              <w:t>3</w:t>
            </w:r>
          </w:p>
          <w:p w:rsidR="004414E1" w:rsidRPr="00D8046E" w:rsidRDefault="004414E1" w:rsidP="00453D54">
            <w:pPr>
              <w:autoSpaceDE w:val="0"/>
              <w:autoSpaceDN w:val="0"/>
              <w:adjustRightInd w:val="0"/>
            </w:pPr>
            <w:r w:rsidRPr="00D8046E">
              <w:t>(9.7%)</w:t>
            </w:r>
          </w:p>
        </w:tc>
        <w:tc>
          <w:tcPr>
            <w:tcW w:w="1104" w:type="dxa"/>
            <w:gridSpan w:val="2"/>
            <w:tcBorders>
              <w:top w:val="single" w:sz="4" w:space="0" w:color="auto"/>
              <w:left w:val="nil"/>
              <w:bottom w:val="nil"/>
              <w:right w:val="nil"/>
            </w:tcBorders>
          </w:tcPr>
          <w:p w:rsidR="004414E1" w:rsidRPr="00D8046E" w:rsidRDefault="004414E1" w:rsidP="00453D54">
            <w:pPr>
              <w:autoSpaceDE w:val="0"/>
              <w:autoSpaceDN w:val="0"/>
              <w:adjustRightInd w:val="0"/>
            </w:pPr>
            <w:r w:rsidRPr="00D8046E">
              <w:t>28</w:t>
            </w:r>
          </w:p>
          <w:p w:rsidR="004414E1" w:rsidRPr="00D8046E" w:rsidRDefault="004414E1" w:rsidP="00453D54">
            <w:pPr>
              <w:autoSpaceDE w:val="0"/>
              <w:autoSpaceDN w:val="0"/>
              <w:adjustRightInd w:val="0"/>
            </w:pPr>
            <w:r w:rsidRPr="00D8046E">
              <w:t>(90.3%)</w:t>
            </w:r>
          </w:p>
        </w:tc>
        <w:tc>
          <w:tcPr>
            <w:tcW w:w="1105" w:type="dxa"/>
            <w:gridSpan w:val="2"/>
            <w:tcBorders>
              <w:top w:val="single" w:sz="4" w:space="0" w:color="auto"/>
              <w:left w:val="nil"/>
              <w:bottom w:val="nil"/>
              <w:right w:val="nil"/>
            </w:tcBorders>
          </w:tcPr>
          <w:p w:rsidR="004414E1" w:rsidRPr="00D8046E" w:rsidRDefault="004414E1" w:rsidP="00453D54">
            <w:pPr>
              <w:autoSpaceDE w:val="0"/>
              <w:autoSpaceDN w:val="0"/>
              <w:adjustRightInd w:val="0"/>
            </w:pPr>
            <w:r w:rsidRPr="00D8046E">
              <w:t>4</w:t>
            </w:r>
          </w:p>
          <w:p w:rsidR="004414E1" w:rsidRPr="00D8046E" w:rsidRDefault="004414E1" w:rsidP="00453D54">
            <w:pPr>
              <w:autoSpaceDE w:val="0"/>
              <w:autoSpaceDN w:val="0"/>
              <w:adjustRightInd w:val="0"/>
            </w:pPr>
            <w:r w:rsidRPr="00D8046E">
              <w:t>(12.9%)</w:t>
            </w:r>
          </w:p>
        </w:tc>
        <w:tc>
          <w:tcPr>
            <w:tcW w:w="1104" w:type="dxa"/>
            <w:gridSpan w:val="2"/>
            <w:tcBorders>
              <w:top w:val="single" w:sz="4" w:space="0" w:color="auto"/>
              <w:left w:val="nil"/>
              <w:bottom w:val="nil"/>
              <w:right w:val="nil"/>
            </w:tcBorders>
          </w:tcPr>
          <w:p w:rsidR="004414E1" w:rsidRPr="00D8046E" w:rsidRDefault="004414E1" w:rsidP="00453D54">
            <w:pPr>
              <w:autoSpaceDE w:val="0"/>
              <w:autoSpaceDN w:val="0"/>
              <w:adjustRightInd w:val="0"/>
            </w:pPr>
            <w:r w:rsidRPr="00D8046E">
              <w:t>27</w:t>
            </w:r>
          </w:p>
          <w:p w:rsidR="004414E1" w:rsidRPr="00D8046E" w:rsidRDefault="004414E1" w:rsidP="00453D54">
            <w:pPr>
              <w:autoSpaceDE w:val="0"/>
              <w:autoSpaceDN w:val="0"/>
              <w:adjustRightInd w:val="0"/>
            </w:pPr>
            <w:r w:rsidRPr="00D8046E">
              <w:t>(87.1%)</w:t>
            </w:r>
          </w:p>
        </w:tc>
      </w:tr>
      <w:tr w:rsidR="004414E1" w:rsidRPr="00D8046E">
        <w:tblPrEx>
          <w:tblCellMar>
            <w:top w:w="0" w:type="dxa"/>
            <w:bottom w:w="0" w:type="dxa"/>
          </w:tblCellMar>
        </w:tblPrEx>
        <w:tc>
          <w:tcPr>
            <w:tcW w:w="1106" w:type="dxa"/>
            <w:tcBorders>
              <w:top w:val="nil"/>
              <w:bottom w:val="single" w:sz="4" w:space="0" w:color="auto"/>
              <w:right w:val="nil"/>
            </w:tcBorders>
          </w:tcPr>
          <w:p w:rsidR="004414E1" w:rsidRPr="00D8046E" w:rsidRDefault="004414E1" w:rsidP="00453D54">
            <w:pPr>
              <w:autoSpaceDE w:val="0"/>
              <w:autoSpaceDN w:val="0"/>
              <w:adjustRightInd w:val="0"/>
            </w:pPr>
          </w:p>
        </w:tc>
        <w:tc>
          <w:tcPr>
            <w:tcW w:w="1123" w:type="dxa"/>
            <w:gridSpan w:val="2"/>
            <w:tcBorders>
              <w:top w:val="nil"/>
              <w:left w:val="nil"/>
              <w:bottom w:val="single" w:sz="4" w:space="0" w:color="auto"/>
              <w:right w:val="nil"/>
            </w:tcBorders>
          </w:tcPr>
          <w:p w:rsidR="004414E1" w:rsidRPr="00D8046E" w:rsidRDefault="004414E1" w:rsidP="00453D54">
            <w:pPr>
              <w:autoSpaceDE w:val="0"/>
              <w:autoSpaceDN w:val="0"/>
              <w:adjustRightInd w:val="0"/>
            </w:pPr>
            <w:r w:rsidRPr="00D8046E">
              <w:t>Chinese</w:t>
            </w:r>
          </w:p>
        </w:tc>
        <w:tc>
          <w:tcPr>
            <w:tcW w:w="1105" w:type="dxa"/>
            <w:gridSpan w:val="2"/>
            <w:tcBorders>
              <w:top w:val="nil"/>
              <w:left w:val="nil"/>
              <w:bottom w:val="single" w:sz="4" w:space="0" w:color="auto"/>
              <w:right w:val="nil"/>
            </w:tcBorders>
          </w:tcPr>
          <w:p w:rsidR="004414E1" w:rsidRPr="00D8046E" w:rsidRDefault="004414E1" w:rsidP="00453D54">
            <w:pPr>
              <w:autoSpaceDE w:val="0"/>
              <w:autoSpaceDN w:val="0"/>
              <w:adjustRightInd w:val="0"/>
            </w:pPr>
            <w:r w:rsidRPr="00D8046E">
              <w:t>14</w:t>
            </w:r>
          </w:p>
          <w:p w:rsidR="004414E1" w:rsidRPr="00D8046E" w:rsidRDefault="004414E1" w:rsidP="00453D54">
            <w:pPr>
              <w:autoSpaceDE w:val="0"/>
              <w:autoSpaceDN w:val="0"/>
              <w:adjustRightInd w:val="0"/>
            </w:pPr>
            <w:r w:rsidRPr="00D8046E">
              <w:t>(45.2%)</w:t>
            </w:r>
          </w:p>
        </w:tc>
        <w:tc>
          <w:tcPr>
            <w:tcW w:w="1105" w:type="dxa"/>
            <w:gridSpan w:val="2"/>
            <w:tcBorders>
              <w:top w:val="nil"/>
              <w:left w:val="nil"/>
              <w:bottom w:val="single" w:sz="4" w:space="0" w:color="auto"/>
              <w:right w:val="nil"/>
            </w:tcBorders>
          </w:tcPr>
          <w:p w:rsidR="004414E1" w:rsidRPr="00D8046E" w:rsidRDefault="004414E1" w:rsidP="00453D54">
            <w:pPr>
              <w:autoSpaceDE w:val="0"/>
              <w:autoSpaceDN w:val="0"/>
              <w:adjustRightInd w:val="0"/>
            </w:pPr>
            <w:r w:rsidRPr="00D8046E">
              <w:t>17</w:t>
            </w:r>
          </w:p>
          <w:p w:rsidR="004414E1" w:rsidRPr="00D8046E" w:rsidRDefault="004414E1" w:rsidP="00453D54">
            <w:pPr>
              <w:autoSpaceDE w:val="0"/>
              <w:autoSpaceDN w:val="0"/>
              <w:adjustRightInd w:val="0"/>
            </w:pPr>
            <w:r w:rsidRPr="00D8046E">
              <w:t>(54.8%)</w:t>
            </w:r>
          </w:p>
        </w:tc>
        <w:tc>
          <w:tcPr>
            <w:tcW w:w="1105" w:type="dxa"/>
            <w:gridSpan w:val="2"/>
            <w:tcBorders>
              <w:top w:val="nil"/>
              <w:left w:val="nil"/>
              <w:bottom w:val="single" w:sz="4" w:space="0" w:color="auto"/>
              <w:right w:val="nil"/>
            </w:tcBorders>
          </w:tcPr>
          <w:p w:rsidR="004414E1" w:rsidRPr="00D8046E" w:rsidRDefault="004414E1" w:rsidP="00453D54">
            <w:pPr>
              <w:autoSpaceDE w:val="0"/>
              <w:autoSpaceDN w:val="0"/>
              <w:adjustRightInd w:val="0"/>
            </w:pPr>
            <w:r w:rsidRPr="00D8046E">
              <w:t>13</w:t>
            </w:r>
          </w:p>
          <w:p w:rsidR="004414E1" w:rsidRPr="00D8046E" w:rsidRDefault="004414E1" w:rsidP="00453D54">
            <w:pPr>
              <w:autoSpaceDE w:val="0"/>
              <w:autoSpaceDN w:val="0"/>
              <w:adjustRightInd w:val="0"/>
            </w:pPr>
            <w:r w:rsidRPr="00D8046E">
              <w:t>(41.9%)</w:t>
            </w:r>
          </w:p>
        </w:tc>
        <w:tc>
          <w:tcPr>
            <w:tcW w:w="1104" w:type="dxa"/>
            <w:gridSpan w:val="2"/>
            <w:tcBorders>
              <w:top w:val="nil"/>
              <w:left w:val="nil"/>
              <w:bottom w:val="single" w:sz="4" w:space="0" w:color="auto"/>
              <w:right w:val="nil"/>
            </w:tcBorders>
          </w:tcPr>
          <w:p w:rsidR="004414E1" w:rsidRPr="00D8046E" w:rsidRDefault="004414E1" w:rsidP="00453D54">
            <w:pPr>
              <w:autoSpaceDE w:val="0"/>
              <w:autoSpaceDN w:val="0"/>
              <w:adjustRightInd w:val="0"/>
            </w:pPr>
            <w:r w:rsidRPr="00D8046E">
              <w:t>18</w:t>
            </w:r>
          </w:p>
          <w:p w:rsidR="004414E1" w:rsidRPr="00D8046E" w:rsidRDefault="004414E1" w:rsidP="00453D54">
            <w:pPr>
              <w:autoSpaceDE w:val="0"/>
              <w:autoSpaceDN w:val="0"/>
              <w:adjustRightInd w:val="0"/>
            </w:pPr>
            <w:r w:rsidRPr="00D8046E">
              <w:t>(58.1%)</w:t>
            </w:r>
          </w:p>
        </w:tc>
        <w:tc>
          <w:tcPr>
            <w:tcW w:w="1105" w:type="dxa"/>
            <w:gridSpan w:val="2"/>
            <w:tcBorders>
              <w:top w:val="nil"/>
              <w:left w:val="nil"/>
              <w:bottom w:val="single" w:sz="4" w:space="0" w:color="auto"/>
              <w:right w:val="nil"/>
            </w:tcBorders>
          </w:tcPr>
          <w:p w:rsidR="004414E1" w:rsidRPr="00D8046E" w:rsidRDefault="004414E1" w:rsidP="00453D54">
            <w:pPr>
              <w:autoSpaceDE w:val="0"/>
              <w:autoSpaceDN w:val="0"/>
              <w:adjustRightInd w:val="0"/>
            </w:pPr>
            <w:r w:rsidRPr="00D8046E">
              <w:t>13</w:t>
            </w:r>
          </w:p>
          <w:p w:rsidR="004414E1" w:rsidRPr="00D8046E" w:rsidRDefault="004414E1" w:rsidP="00453D54">
            <w:pPr>
              <w:autoSpaceDE w:val="0"/>
              <w:autoSpaceDN w:val="0"/>
              <w:adjustRightInd w:val="0"/>
            </w:pPr>
            <w:r w:rsidRPr="00D8046E">
              <w:t>(41.9%)</w:t>
            </w:r>
          </w:p>
        </w:tc>
        <w:tc>
          <w:tcPr>
            <w:tcW w:w="1104" w:type="dxa"/>
            <w:gridSpan w:val="2"/>
            <w:tcBorders>
              <w:top w:val="nil"/>
              <w:left w:val="nil"/>
              <w:bottom w:val="single" w:sz="4" w:space="0" w:color="auto"/>
              <w:right w:val="nil"/>
            </w:tcBorders>
          </w:tcPr>
          <w:p w:rsidR="004414E1" w:rsidRPr="00D8046E" w:rsidRDefault="004414E1" w:rsidP="00453D54">
            <w:pPr>
              <w:autoSpaceDE w:val="0"/>
              <w:autoSpaceDN w:val="0"/>
              <w:adjustRightInd w:val="0"/>
            </w:pPr>
            <w:r w:rsidRPr="00D8046E">
              <w:t>18</w:t>
            </w:r>
          </w:p>
          <w:p w:rsidR="004414E1" w:rsidRPr="00D8046E" w:rsidRDefault="004414E1" w:rsidP="00453D54">
            <w:pPr>
              <w:autoSpaceDE w:val="0"/>
              <w:autoSpaceDN w:val="0"/>
              <w:adjustRightInd w:val="0"/>
            </w:pPr>
            <w:r w:rsidRPr="00D8046E">
              <w:t>(58.1%)</w:t>
            </w:r>
          </w:p>
        </w:tc>
      </w:tr>
    </w:tbl>
    <w:p w:rsidR="004414E1" w:rsidRPr="00D8046E" w:rsidRDefault="004414E1" w:rsidP="004414E1">
      <w:pPr>
        <w:autoSpaceDE w:val="0"/>
        <w:autoSpaceDN w:val="0"/>
        <w:adjustRightInd w:val="0"/>
      </w:pPr>
    </w:p>
    <w:p w:rsidR="002D7CE5" w:rsidRPr="00D8046E" w:rsidRDefault="002D7CE5" w:rsidP="002D7CE5">
      <w:pPr>
        <w:autoSpaceDE w:val="0"/>
        <w:autoSpaceDN w:val="0"/>
        <w:adjustRightInd w:val="0"/>
        <w:spacing w:line="480" w:lineRule="auto"/>
        <w:jc w:val="center"/>
      </w:pPr>
      <w:r w:rsidRPr="00D8046E">
        <w:br w:type="page"/>
      </w:r>
      <w:r w:rsidRPr="00D8046E">
        <w:lastRenderedPageBreak/>
        <w:t>Figure Caption</w:t>
      </w:r>
      <w:r w:rsidR="003D2BF1" w:rsidRPr="00D8046E">
        <w:t>s</w:t>
      </w:r>
    </w:p>
    <w:p w:rsidR="0095001C" w:rsidRPr="00D8046E" w:rsidRDefault="002D7CE5" w:rsidP="00307154">
      <w:pPr>
        <w:autoSpaceDE w:val="0"/>
        <w:autoSpaceDN w:val="0"/>
        <w:adjustRightInd w:val="0"/>
        <w:spacing w:line="480" w:lineRule="auto"/>
      </w:pPr>
      <w:r w:rsidRPr="00D8046E">
        <w:rPr>
          <w:i/>
        </w:rPr>
        <w:t>Figure 1.</w:t>
      </w:r>
      <w:r w:rsidRPr="00D8046E">
        <w:t xml:space="preserve"> Canadian and Chinese</w:t>
      </w:r>
      <w:r w:rsidR="005D3D43" w:rsidRPr="00D8046E">
        <w:t xml:space="preserve"> </w:t>
      </w:r>
      <w:r w:rsidRPr="00D8046E">
        <w:t xml:space="preserve">likelihood estimates </w:t>
      </w:r>
      <w:r w:rsidR="000E73F3" w:rsidRPr="00D8046E">
        <w:t>(+</w:t>
      </w:r>
      <w:r w:rsidR="00736E75" w:rsidRPr="00D8046E">
        <w:t xml:space="preserve"> </w:t>
      </w:r>
      <w:r w:rsidR="000E73F3" w:rsidRPr="00D8046E">
        <w:rPr>
          <w:i/>
        </w:rPr>
        <w:t>SE</w:t>
      </w:r>
      <w:r w:rsidR="000E73F3" w:rsidRPr="00D8046E">
        <w:t xml:space="preserve">) </w:t>
      </w:r>
      <w:r w:rsidRPr="00D8046E">
        <w:t>of high and low magnitude causes leading to high and low magnitude effects</w:t>
      </w:r>
      <w:r w:rsidR="001E1DCC" w:rsidRPr="00D8046E">
        <w:t xml:space="preserve"> </w:t>
      </w:r>
      <w:r w:rsidR="006D1F1B" w:rsidRPr="00D8046E">
        <w:t>(Study 1a)</w:t>
      </w:r>
      <w:r w:rsidR="001E1DCC" w:rsidRPr="00D8046E">
        <w:t>.</w:t>
      </w:r>
    </w:p>
    <w:p w:rsidR="00FD7AD2" w:rsidRPr="00D8046E" w:rsidRDefault="00FD7AD2" w:rsidP="00FD7AD2">
      <w:pPr>
        <w:autoSpaceDE w:val="0"/>
        <w:autoSpaceDN w:val="0"/>
        <w:adjustRightInd w:val="0"/>
        <w:spacing w:line="480" w:lineRule="auto"/>
      </w:pPr>
      <w:r w:rsidRPr="00D8046E">
        <w:rPr>
          <w:i/>
        </w:rPr>
        <w:t>Figure 2.</w:t>
      </w:r>
      <w:r w:rsidRPr="00D8046E">
        <w:t xml:space="preserve"> Canadian and Chinese likelihood estimates </w:t>
      </w:r>
      <w:r w:rsidR="000E73F3" w:rsidRPr="00D8046E">
        <w:t>(+</w:t>
      </w:r>
      <w:r w:rsidR="00736E75" w:rsidRPr="00D8046E">
        <w:t xml:space="preserve"> </w:t>
      </w:r>
      <w:r w:rsidR="000E73F3" w:rsidRPr="00D8046E">
        <w:rPr>
          <w:i/>
        </w:rPr>
        <w:t>SE</w:t>
      </w:r>
      <w:r w:rsidR="000E73F3" w:rsidRPr="00D8046E">
        <w:t xml:space="preserve">) </w:t>
      </w:r>
      <w:r w:rsidRPr="00D8046E">
        <w:t xml:space="preserve">of high and low magnitude causes leading to high and low magnitude effects </w:t>
      </w:r>
      <w:r w:rsidR="006D1F1B" w:rsidRPr="00D8046E">
        <w:t>(Study 1b)</w:t>
      </w:r>
      <w:r w:rsidRPr="00D8046E">
        <w:t>.</w:t>
      </w:r>
    </w:p>
    <w:p w:rsidR="00FD7AD2" w:rsidRPr="00D8046E" w:rsidRDefault="00FD7AD2" w:rsidP="00FD7AD2">
      <w:pPr>
        <w:autoSpaceDE w:val="0"/>
        <w:autoSpaceDN w:val="0"/>
        <w:adjustRightInd w:val="0"/>
        <w:spacing w:line="480" w:lineRule="auto"/>
      </w:pPr>
      <w:r w:rsidRPr="00D8046E">
        <w:rPr>
          <w:i/>
        </w:rPr>
        <w:t>Figure 3.</w:t>
      </w:r>
      <w:r w:rsidRPr="00D8046E">
        <w:t xml:space="preserve"> Canadian</w:t>
      </w:r>
      <w:r w:rsidR="00DB551A" w:rsidRPr="00D8046E">
        <w:t xml:space="preserve"> </w:t>
      </w:r>
      <w:r w:rsidRPr="00D8046E">
        <w:t xml:space="preserve">and Chinese likelihood estimates </w:t>
      </w:r>
      <w:r w:rsidR="000E73F3" w:rsidRPr="00D8046E">
        <w:t>(+</w:t>
      </w:r>
      <w:r w:rsidR="00736E75" w:rsidRPr="00D8046E">
        <w:t xml:space="preserve"> </w:t>
      </w:r>
      <w:r w:rsidR="000E73F3" w:rsidRPr="00D8046E">
        <w:rPr>
          <w:i/>
        </w:rPr>
        <w:t>SE</w:t>
      </w:r>
      <w:r w:rsidR="000E73F3" w:rsidRPr="00D8046E">
        <w:t xml:space="preserve">) </w:t>
      </w:r>
      <w:r w:rsidRPr="00D8046E">
        <w:t xml:space="preserve">of high and low magnitude causes leading to high and low magnitude effects </w:t>
      </w:r>
      <w:r w:rsidR="006D1F1B" w:rsidRPr="00D8046E">
        <w:t>(Study 2)</w:t>
      </w:r>
      <w:r w:rsidRPr="00D8046E">
        <w:t>.</w:t>
      </w:r>
    </w:p>
    <w:p w:rsidR="00FD7AD2" w:rsidRPr="00D8046E" w:rsidRDefault="00FD7AD2" w:rsidP="00FD7AD2">
      <w:pPr>
        <w:autoSpaceDE w:val="0"/>
        <w:autoSpaceDN w:val="0"/>
        <w:adjustRightInd w:val="0"/>
        <w:spacing w:line="480" w:lineRule="auto"/>
      </w:pPr>
      <w:r w:rsidRPr="00D8046E">
        <w:rPr>
          <w:i/>
        </w:rPr>
        <w:t xml:space="preserve">Figure 4. </w:t>
      </w:r>
      <w:r w:rsidRPr="00D8046E">
        <w:t xml:space="preserve">Analytically </w:t>
      </w:r>
      <w:r w:rsidR="00DB551A" w:rsidRPr="00D8046E">
        <w:t xml:space="preserve">primed </w:t>
      </w:r>
      <w:r w:rsidRPr="00D8046E">
        <w:t>and holistically primed</w:t>
      </w:r>
      <w:r w:rsidR="005D3D43" w:rsidRPr="00D8046E">
        <w:t xml:space="preserve"> </w:t>
      </w:r>
      <w:r w:rsidRPr="00D8046E">
        <w:t>Canadian likelihood estimates</w:t>
      </w:r>
      <w:r w:rsidR="000E73F3" w:rsidRPr="00D8046E">
        <w:t xml:space="preserve"> (+</w:t>
      </w:r>
      <w:r w:rsidR="00736E75" w:rsidRPr="00D8046E">
        <w:t xml:space="preserve"> </w:t>
      </w:r>
      <w:r w:rsidR="000E73F3" w:rsidRPr="00D8046E">
        <w:rPr>
          <w:i/>
        </w:rPr>
        <w:t>SE</w:t>
      </w:r>
      <w:r w:rsidR="000E73F3" w:rsidRPr="00D8046E">
        <w:t xml:space="preserve">) </w:t>
      </w:r>
      <w:r w:rsidRPr="00D8046E">
        <w:t xml:space="preserve">of high and low magnitude causes leading to high and low magnitude effects </w:t>
      </w:r>
      <w:r w:rsidR="006D1F1B" w:rsidRPr="00D8046E">
        <w:t>(Study 4a)</w:t>
      </w:r>
      <w:r w:rsidRPr="00D8046E">
        <w:t>.</w:t>
      </w:r>
    </w:p>
    <w:p w:rsidR="00FD7AD2" w:rsidRPr="00D8046E" w:rsidRDefault="00FD7AD2" w:rsidP="00FD7AD2">
      <w:pPr>
        <w:autoSpaceDE w:val="0"/>
        <w:autoSpaceDN w:val="0"/>
        <w:adjustRightInd w:val="0"/>
        <w:spacing w:line="480" w:lineRule="auto"/>
      </w:pPr>
      <w:r w:rsidRPr="00D8046E">
        <w:rPr>
          <w:i/>
        </w:rPr>
        <w:t xml:space="preserve">Figure 5. </w:t>
      </w:r>
      <w:r w:rsidR="003D33C1" w:rsidRPr="00D8046E">
        <w:t xml:space="preserve">No prime, </w:t>
      </w:r>
      <w:r w:rsidR="003D33C1" w:rsidRPr="00D8046E">
        <w:rPr>
          <w:i/>
        </w:rPr>
        <w:t>a</w:t>
      </w:r>
      <w:r w:rsidR="003D33C1" w:rsidRPr="00D8046E">
        <w:t>nalytically primed, and holistically primed</w:t>
      </w:r>
      <w:r w:rsidR="005D3D43" w:rsidRPr="00D8046E">
        <w:t xml:space="preserve"> </w:t>
      </w:r>
      <w:r w:rsidRPr="00D8046E">
        <w:t>Canadian likelihood estimates</w:t>
      </w:r>
      <w:r w:rsidR="000E73F3" w:rsidRPr="00D8046E">
        <w:t xml:space="preserve"> (+</w:t>
      </w:r>
      <w:r w:rsidR="00736E75" w:rsidRPr="00D8046E">
        <w:t xml:space="preserve"> </w:t>
      </w:r>
      <w:r w:rsidR="000E73F3" w:rsidRPr="00D8046E">
        <w:rPr>
          <w:i/>
        </w:rPr>
        <w:t>SE</w:t>
      </w:r>
      <w:r w:rsidR="000E73F3" w:rsidRPr="00D8046E">
        <w:t xml:space="preserve">) </w:t>
      </w:r>
      <w:r w:rsidRPr="00D8046E">
        <w:t xml:space="preserve">of high and low magnitude causes leading to high and low magnitude </w:t>
      </w:r>
      <w:r w:rsidR="00AC7A39" w:rsidRPr="00D8046E">
        <w:t>effects</w:t>
      </w:r>
      <w:r w:rsidRPr="00D8046E">
        <w:t xml:space="preserve"> </w:t>
      </w:r>
      <w:r w:rsidR="006D1F1B" w:rsidRPr="00D8046E">
        <w:t>(Study 4b)</w:t>
      </w:r>
      <w:r w:rsidRPr="00D8046E">
        <w:t>.</w:t>
      </w:r>
    </w:p>
    <w:p w:rsidR="00FD7AD2" w:rsidRPr="00D8046E" w:rsidRDefault="00FD7AD2" w:rsidP="00FD7AD2">
      <w:pPr>
        <w:autoSpaceDE w:val="0"/>
        <w:autoSpaceDN w:val="0"/>
        <w:adjustRightInd w:val="0"/>
        <w:spacing w:line="480" w:lineRule="auto"/>
      </w:pPr>
    </w:p>
    <w:p w:rsidR="00FD7AD2" w:rsidRPr="00D8046E" w:rsidRDefault="00FD7AD2" w:rsidP="00307154">
      <w:pPr>
        <w:autoSpaceDE w:val="0"/>
        <w:autoSpaceDN w:val="0"/>
        <w:adjustRightInd w:val="0"/>
        <w:spacing w:line="480" w:lineRule="auto"/>
      </w:pPr>
    </w:p>
    <w:p w:rsidR="002D7CE5" w:rsidRPr="00D8046E" w:rsidRDefault="002D7CE5" w:rsidP="00307154">
      <w:pPr>
        <w:autoSpaceDE w:val="0"/>
        <w:autoSpaceDN w:val="0"/>
        <w:adjustRightInd w:val="0"/>
        <w:spacing w:line="480" w:lineRule="auto"/>
        <w:rPr>
          <w:i/>
        </w:rPr>
      </w:pPr>
    </w:p>
    <w:p w:rsidR="001E1509" w:rsidRPr="00D8046E" w:rsidRDefault="002D7CE5" w:rsidP="006D1F1B">
      <w:pPr>
        <w:autoSpaceDE w:val="0"/>
        <w:autoSpaceDN w:val="0"/>
        <w:adjustRightInd w:val="0"/>
      </w:pPr>
      <w:r w:rsidRPr="00D8046E">
        <w:rPr>
          <w:i/>
        </w:rPr>
        <w:br w:type="page"/>
      </w:r>
      <w:r w:rsidR="001E1509" w:rsidRPr="00D8046E">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45.75pt">
            <v:imagedata r:id="rId13" o:title=""/>
          </v:shape>
        </w:pict>
      </w:r>
    </w:p>
    <w:p w:rsidR="006D1F1B" w:rsidRPr="00D8046E" w:rsidRDefault="006D1F1B" w:rsidP="006D1F1B">
      <w:pPr>
        <w:autoSpaceDE w:val="0"/>
        <w:autoSpaceDN w:val="0"/>
        <w:adjustRightInd w:val="0"/>
        <w:rPr>
          <w:i/>
        </w:rPr>
      </w:pPr>
      <w:r w:rsidRPr="00D8046E">
        <w:rPr>
          <w:i/>
        </w:rPr>
        <w:t>Figure 1</w:t>
      </w:r>
    </w:p>
    <w:p w:rsidR="001E1509" w:rsidRPr="00D8046E" w:rsidRDefault="00EB7EE8" w:rsidP="00FD7AD2">
      <w:pPr>
        <w:autoSpaceDE w:val="0"/>
        <w:autoSpaceDN w:val="0"/>
        <w:adjustRightInd w:val="0"/>
        <w:spacing w:line="480" w:lineRule="auto"/>
        <w:jc w:val="center"/>
      </w:pPr>
      <w:r w:rsidRPr="00D8046E">
        <w:rPr>
          <w:i/>
        </w:rPr>
        <w:br w:type="page"/>
      </w:r>
      <w:r w:rsidR="001E1509" w:rsidRPr="00D8046E">
        <w:lastRenderedPageBreak/>
        <w:pict>
          <v:shape id="_x0000_i1026" type="#_x0000_t75" style="width:6in;height:345.75pt">
            <v:imagedata r:id="rId14" o:title=""/>
          </v:shape>
        </w:pict>
      </w:r>
    </w:p>
    <w:p w:rsidR="001E1509" w:rsidRPr="00D8046E" w:rsidRDefault="006D1F1B" w:rsidP="001E1509">
      <w:pPr>
        <w:autoSpaceDE w:val="0"/>
        <w:autoSpaceDN w:val="0"/>
        <w:adjustRightInd w:val="0"/>
        <w:spacing w:line="400" w:lineRule="atLeast"/>
        <w:rPr>
          <w:i/>
        </w:rPr>
      </w:pPr>
      <w:r w:rsidRPr="00D8046E">
        <w:rPr>
          <w:i/>
        </w:rPr>
        <w:t>Figure 2</w:t>
      </w:r>
    </w:p>
    <w:p w:rsidR="00562C63" w:rsidRPr="00D8046E" w:rsidRDefault="00EB7EE8" w:rsidP="00562C63">
      <w:pPr>
        <w:autoSpaceDE w:val="0"/>
        <w:autoSpaceDN w:val="0"/>
        <w:adjustRightInd w:val="0"/>
      </w:pPr>
      <w:r w:rsidRPr="00D8046E">
        <w:br w:type="page"/>
      </w:r>
      <w:r w:rsidR="00FD7AD2" w:rsidRPr="00D8046E">
        <w:lastRenderedPageBreak/>
        <w:t xml:space="preserve"> </w:t>
      </w:r>
      <w:r w:rsidR="00562C63" w:rsidRPr="00D8046E">
        <w:pict>
          <v:shape id="_x0000_i1027" type="#_x0000_t75" style="width:441pt;height:353.25pt">
            <v:imagedata r:id="rId15" o:title=""/>
          </v:shape>
        </w:pict>
      </w:r>
    </w:p>
    <w:p w:rsidR="00562C63" w:rsidRPr="00D8046E" w:rsidRDefault="00562C63" w:rsidP="00562C63">
      <w:pPr>
        <w:autoSpaceDE w:val="0"/>
        <w:autoSpaceDN w:val="0"/>
        <w:adjustRightInd w:val="0"/>
      </w:pPr>
    </w:p>
    <w:p w:rsidR="00EB7EE8" w:rsidRPr="00D8046E" w:rsidRDefault="006D1F1B" w:rsidP="00EB7EE8">
      <w:pPr>
        <w:autoSpaceDE w:val="0"/>
        <w:autoSpaceDN w:val="0"/>
        <w:adjustRightInd w:val="0"/>
        <w:spacing w:line="400" w:lineRule="atLeast"/>
        <w:rPr>
          <w:i/>
        </w:rPr>
      </w:pPr>
      <w:r w:rsidRPr="00D8046E">
        <w:rPr>
          <w:i/>
        </w:rPr>
        <w:t>Figure 3</w:t>
      </w:r>
    </w:p>
    <w:p w:rsidR="00EB7EE8" w:rsidRPr="00D8046E" w:rsidRDefault="00EB7EE8" w:rsidP="00EB7EE8">
      <w:pPr>
        <w:autoSpaceDE w:val="0"/>
        <w:autoSpaceDN w:val="0"/>
        <w:adjustRightInd w:val="0"/>
        <w:spacing w:line="480" w:lineRule="auto"/>
      </w:pPr>
    </w:p>
    <w:p w:rsidR="001E1509" w:rsidRPr="00D8046E" w:rsidRDefault="00DF1730" w:rsidP="001E1509">
      <w:pPr>
        <w:autoSpaceDE w:val="0"/>
        <w:autoSpaceDN w:val="0"/>
        <w:adjustRightInd w:val="0"/>
      </w:pPr>
      <w:r w:rsidRPr="00D8046E">
        <w:rPr>
          <w:i/>
        </w:rPr>
        <w:br w:type="page"/>
      </w:r>
      <w:r w:rsidR="00FD7AD2" w:rsidRPr="00D8046E">
        <w:lastRenderedPageBreak/>
        <w:t xml:space="preserve"> </w:t>
      </w:r>
      <w:r w:rsidR="001E1509" w:rsidRPr="00D8046E">
        <w:pict>
          <v:shape id="_x0000_i1028" type="#_x0000_t75" style="width:6in;height:345.75pt">
            <v:imagedata r:id="rId16" o:title=""/>
          </v:shape>
        </w:pict>
      </w:r>
    </w:p>
    <w:p w:rsidR="001E1509" w:rsidRPr="00D8046E" w:rsidRDefault="001E1509" w:rsidP="001E1509">
      <w:pPr>
        <w:autoSpaceDE w:val="0"/>
        <w:autoSpaceDN w:val="0"/>
        <w:adjustRightInd w:val="0"/>
      </w:pPr>
    </w:p>
    <w:p w:rsidR="00373AAB" w:rsidRPr="00D8046E" w:rsidRDefault="006D1F1B" w:rsidP="00373AAB">
      <w:pPr>
        <w:autoSpaceDE w:val="0"/>
        <w:autoSpaceDN w:val="0"/>
        <w:adjustRightInd w:val="0"/>
        <w:rPr>
          <w:i/>
        </w:rPr>
      </w:pPr>
      <w:r w:rsidRPr="00D8046E">
        <w:rPr>
          <w:i/>
        </w:rPr>
        <w:t>Figure 4</w:t>
      </w:r>
    </w:p>
    <w:p w:rsidR="00373AAB" w:rsidRPr="00D8046E" w:rsidRDefault="00373AAB" w:rsidP="00373AAB">
      <w:pPr>
        <w:autoSpaceDE w:val="0"/>
        <w:autoSpaceDN w:val="0"/>
        <w:adjustRightInd w:val="0"/>
        <w:spacing w:line="400" w:lineRule="atLeast"/>
      </w:pPr>
    </w:p>
    <w:p w:rsidR="00373AAB" w:rsidRPr="00D8046E" w:rsidRDefault="00373AAB" w:rsidP="00373AAB">
      <w:pPr>
        <w:autoSpaceDE w:val="0"/>
        <w:autoSpaceDN w:val="0"/>
        <w:adjustRightInd w:val="0"/>
      </w:pPr>
      <w:r w:rsidRPr="00D8046E">
        <w:br w:type="page"/>
      </w:r>
      <w:r w:rsidR="00FD7AD2" w:rsidRPr="00D8046E">
        <w:lastRenderedPageBreak/>
        <w:t xml:space="preserve"> </w:t>
      </w:r>
      <w:r w:rsidRPr="00D8046E">
        <w:pict>
          <v:shape id="_x0000_i1029" type="#_x0000_t75" style="width:441pt;height:353.25pt">
            <v:imagedata r:id="rId17" o:title=""/>
          </v:shape>
        </w:pict>
      </w:r>
    </w:p>
    <w:p w:rsidR="00373AAB" w:rsidRPr="006D1F1B" w:rsidRDefault="006D1F1B" w:rsidP="00373AAB">
      <w:pPr>
        <w:autoSpaceDE w:val="0"/>
        <w:autoSpaceDN w:val="0"/>
        <w:adjustRightInd w:val="0"/>
        <w:spacing w:line="400" w:lineRule="atLeast"/>
        <w:rPr>
          <w:i/>
        </w:rPr>
      </w:pPr>
      <w:r w:rsidRPr="00D8046E">
        <w:rPr>
          <w:i/>
        </w:rPr>
        <w:t>Figure 5</w:t>
      </w:r>
    </w:p>
    <w:p w:rsidR="00373AAB" w:rsidRPr="00373AAB" w:rsidRDefault="00373AAB" w:rsidP="00373AAB">
      <w:pPr>
        <w:autoSpaceDE w:val="0"/>
        <w:autoSpaceDN w:val="0"/>
        <w:adjustRightInd w:val="0"/>
        <w:spacing w:line="480" w:lineRule="auto"/>
      </w:pPr>
    </w:p>
    <w:p w:rsidR="00DF1730" w:rsidRPr="00DF1730" w:rsidRDefault="00DF1730" w:rsidP="006872E4">
      <w:pPr>
        <w:autoSpaceDE w:val="0"/>
        <w:autoSpaceDN w:val="0"/>
        <w:adjustRightInd w:val="0"/>
        <w:spacing w:line="480" w:lineRule="auto"/>
      </w:pPr>
    </w:p>
    <w:sectPr w:rsidR="00DF1730" w:rsidRPr="00DF1730" w:rsidSect="00D71DD3">
      <w:headerReference w:type="even" r:id="rId18"/>
      <w:headerReference w:type="default" r:id="rId1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89E" w:rsidRDefault="0060389E">
      <w:r>
        <w:separator/>
      </w:r>
    </w:p>
  </w:endnote>
  <w:endnote w:type="continuationSeparator" w:id="0">
    <w:p w:rsidR="0060389E" w:rsidRDefault="0060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89E" w:rsidRDefault="0060389E">
      <w:r>
        <w:separator/>
      </w:r>
    </w:p>
  </w:footnote>
  <w:footnote w:type="continuationSeparator" w:id="0">
    <w:p w:rsidR="0060389E" w:rsidRDefault="00603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18B" w:rsidRDefault="0089418B" w:rsidP="003B50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418B" w:rsidRDefault="0089418B" w:rsidP="0057007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18B" w:rsidRDefault="0089418B" w:rsidP="003B50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4F54">
      <w:rPr>
        <w:rStyle w:val="PageNumber"/>
        <w:noProof/>
      </w:rPr>
      <w:t>1</w:t>
    </w:r>
    <w:r>
      <w:rPr>
        <w:rStyle w:val="PageNumber"/>
      </w:rPr>
      <w:fldChar w:fldCharType="end"/>
    </w:r>
  </w:p>
  <w:p w:rsidR="0089418B" w:rsidRDefault="00C607D1" w:rsidP="00F13EE5">
    <w:pPr>
      <w:pStyle w:val="Header"/>
      <w:ind w:right="360"/>
      <w:jc w:val="right"/>
    </w:pPr>
    <w:r>
      <w:t xml:space="preserve">Culture and </w:t>
    </w:r>
    <w:r w:rsidR="00AA09C3">
      <w:t>Representativeness Heuristic</w:t>
    </w:r>
    <w:r w:rsidR="00AA09C3" w:rsidDel="00AA09C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28329A"/>
    <w:lvl w:ilvl="0">
      <w:numFmt w:val="bullet"/>
      <w:lvlText w:val="*"/>
      <w:lvlJc w:val="left"/>
    </w:lvl>
  </w:abstractNum>
  <w:abstractNum w:abstractNumId="1" w15:restartNumberingAfterBreak="0">
    <w:nsid w:val="2A6D4B00"/>
    <w:multiLevelType w:val="hybridMultilevel"/>
    <w:tmpl w:val="C15679F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7B14FA"/>
    <w:multiLevelType w:val="hybridMultilevel"/>
    <w:tmpl w:val="35740E20"/>
    <w:lvl w:ilvl="0" w:tplc="37122E00">
      <w:start w:val="1"/>
      <w:numFmt w:val="decimal"/>
      <w:lvlText w:val="%1."/>
      <w:lvlJc w:val="left"/>
      <w:pPr>
        <w:tabs>
          <w:tab w:val="num" w:pos="360"/>
        </w:tabs>
        <w:ind w:left="360" w:hanging="360"/>
      </w:pPr>
      <w:rPr>
        <w:rFonts w:ascii="Arial" w:hAnsi="Arial" w:cs="Arial" w:hint="default"/>
        <w:b/>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2FE6891"/>
    <w:multiLevelType w:val="hybridMultilevel"/>
    <w:tmpl w:val="967E0BDA"/>
    <w:lvl w:ilvl="0" w:tplc="58FC32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F72B6B"/>
    <w:multiLevelType w:val="hybridMultilevel"/>
    <w:tmpl w:val="65921BE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BA45BB"/>
    <w:multiLevelType w:val="hybridMultilevel"/>
    <w:tmpl w:val="F78E9E2A"/>
    <w:lvl w:ilvl="0" w:tplc="A950E6D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2F6097"/>
    <w:multiLevelType w:val="hybridMultilevel"/>
    <w:tmpl w:val="01602FEE"/>
    <w:lvl w:ilvl="0" w:tplc="5AF24C92">
      <w:start w:val="1"/>
      <w:numFmt w:val="decimal"/>
      <w:lvlText w:val="%1."/>
      <w:lvlJc w:val="left"/>
      <w:pPr>
        <w:tabs>
          <w:tab w:val="num" w:pos="360"/>
        </w:tabs>
        <w:ind w:left="360" w:hanging="360"/>
      </w:pPr>
      <w:rPr>
        <w:rFonts w:ascii="Arial" w:hAnsi="Arial" w:cs="Arial" w:hint="default"/>
        <w:b/>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4D368C2"/>
    <w:multiLevelType w:val="hybridMultilevel"/>
    <w:tmpl w:val="A1B2A00C"/>
    <w:lvl w:ilvl="0" w:tplc="2BE8D8F4">
      <w:start w:val="1"/>
      <w:numFmt w:val="decimal"/>
      <w:lvlText w:val="%1."/>
      <w:lvlJc w:val="left"/>
      <w:pPr>
        <w:tabs>
          <w:tab w:val="num" w:pos="360"/>
        </w:tabs>
        <w:ind w:left="360" w:hanging="360"/>
      </w:pPr>
      <w:rPr>
        <w:rFonts w:ascii="Arial" w:hAnsi="Arial" w:cs="Arial" w:hint="default"/>
        <w:b/>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EA245A3"/>
    <w:multiLevelType w:val="hybridMultilevel"/>
    <w:tmpl w:val="27763908"/>
    <w:lvl w:ilvl="0" w:tplc="5234EB66">
      <w:start w:val="1"/>
      <w:numFmt w:val="decimal"/>
      <w:lvlText w:val="%1."/>
      <w:lvlJc w:val="left"/>
      <w:pPr>
        <w:tabs>
          <w:tab w:val="num" w:pos="1065"/>
        </w:tabs>
        <w:ind w:left="1065" w:hanging="705"/>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7"/>
  </w:num>
  <w:num w:numId="4">
    <w:abstractNumId w:val="2"/>
  </w:num>
  <w:num w:numId="5">
    <w:abstractNumId w:val="6"/>
  </w:num>
  <w:num w:numId="6">
    <w:abstractNumId w:val="5"/>
  </w:num>
  <w:num w:numId="7">
    <w:abstractNumId w:val="3"/>
  </w:num>
  <w:num w:numId="8">
    <w:abstractNumId w:val="0"/>
    <w:lvlOverride w:ilvl="0">
      <w:lvl w:ilvl="0">
        <w:numFmt w:val="bullet"/>
        <w:lvlText w:val=""/>
        <w:legacy w:legacy="1" w:legacySpace="0" w:legacyIndent="0"/>
        <w:lvlJc w:val="left"/>
        <w:rPr>
          <w:rFonts w:ascii="Wingdings" w:hAnsi="Wingdings" w:hint="default"/>
          <w:sz w:val="20"/>
        </w:rPr>
      </w:lvl>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BBE"/>
    <w:rsid w:val="000002A4"/>
    <w:rsid w:val="0000070A"/>
    <w:rsid w:val="0000128D"/>
    <w:rsid w:val="000013DE"/>
    <w:rsid w:val="00002C8E"/>
    <w:rsid w:val="00004331"/>
    <w:rsid w:val="0000439C"/>
    <w:rsid w:val="000064C2"/>
    <w:rsid w:val="00011774"/>
    <w:rsid w:val="000133F9"/>
    <w:rsid w:val="00013546"/>
    <w:rsid w:val="00014908"/>
    <w:rsid w:val="00014A0C"/>
    <w:rsid w:val="00016166"/>
    <w:rsid w:val="000164C7"/>
    <w:rsid w:val="00016CF6"/>
    <w:rsid w:val="00017A8B"/>
    <w:rsid w:val="000200E8"/>
    <w:rsid w:val="00020FEF"/>
    <w:rsid w:val="00021A34"/>
    <w:rsid w:val="00022C47"/>
    <w:rsid w:val="00024283"/>
    <w:rsid w:val="0002461B"/>
    <w:rsid w:val="00024F44"/>
    <w:rsid w:val="00025855"/>
    <w:rsid w:val="0002631E"/>
    <w:rsid w:val="0002657C"/>
    <w:rsid w:val="00026B76"/>
    <w:rsid w:val="00030527"/>
    <w:rsid w:val="0003056B"/>
    <w:rsid w:val="000314E3"/>
    <w:rsid w:val="0003171D"/>
    <w:rsid w:val="00032200"/>
    <w:rsid w:val="00032843"/>
    <w:rsid w:val="00033572"/>
    <w:rsid w:val="00036D93"/>
    <w:rsid w:val="00040E27"/>
    <w:rsid w:val="00041908"/>
    <w:rsid w:val="00042D29"/>
    <w:rsid w:val="00044FF3"/>
    <w:rsid w:val="000457AA"/>
    <w:rsid w:val="00045E9E"/>
    <w:rsid w:val="00046F56"/>
    <w:rsid w:val="00050FAB"/>
    <w:rsid w:val="00051EE4"/>
    <w:rsid w:val="00052280"/>
    <w:rsid w:val="0005320F"/>
    <w:rsid w:val="000536AF"/>
    <w:rsid w:val="00054606"/>
    <w:rsid w:val="00054965"/>
    <w:rsid w:val="00055C4B"/>
    <w:rsid w:val="00056156"/>
    <w:rsid w:val="00056E54"/>
    <w:rsid w:val="00057876"/>
    <w:rsid w:val="000602AD"/>
    <w:rsid w:val="00060900"/>
    <w:rsid w:val="00060DE9"/>
    <w:rsid w:val="000613B6"/>
    <w:rsid w:val="0006191E"/>
    <w:rsid w:val="00062543"/>
    <w:rsid w:val="00063777"/>
    <w:rsid w:val="000654FE"/>
    <w:rsid w:val="000656A3"/>
    <w:rsid w:val="000660EB"/>
    <w:rsid w:val="00066CFC"/>
    <w:rsid w:val="00067138"/>
    <w:rsid w:val="0007001C"/>
    <w:rsid w:val="00070591"/>
    <w:rsid w:val="000708CE"/>
    <w:rsid w:val="00071B5B"/>
    <w:rsid w:val="00074062"/>
    <w:rsid w:val="000740B4"/>
    <w:rsid w:val="0007423D"/>
    <w:rsid w:val="00076146"/>
    <w:rsid w:val="00076C0E"/>
    <w:rsid w:val="00076F8A"/>
    <w:rsid w:val="0007708E"/>
    <w:rsid w:val="00077C2A"/>
    <w:rsid w:val="00077CFF"/>
    <w:rsid w:val="000804FB"/>
    <w:rsid w:val="00081165"/>
    <w:rsid w:val="00081561"/>
    <w:rsid w:val="00081FBA"/>
    <w:rsid w:val="00082B48"/>
    <w:rsid w:val="00084B12"/>
    <w:rsid w:val="00084F1D"/>
    <w:rsid w:val="00086172"/>
    <w:rsid w:val="0009015C"/>
    <w:rsid w:val="0009065B"/>
    <w:rsid w:val="000907CF"/>
    <w:rsid w:val="00092538"/>
    <w:rsid w:val="0009342D"/>
    <w:rsid w:val="0009428C"/>
    <w:rsid w:val="00094458"/>
    <w:rsid w:val="00096057"/>
    <w:rsid w:val="00096412"/>
    <w:rsid w:val="00096476"/>
    <w:rsid w:val="000A09D2"/>
    <w:rsid w:val="000A0B91"/>
    <w:rsid w:val="000A213F"/>
    <w:rsid w:val="000A254D"/>
    <w:rsid w:val="000A44FA"/>
    <w:rsid w:val="000A526A"/>
    <w:rsid w:val="000A6189"/>
    <w:rsid w:val="000A680A"/>
    <w:rsid w:val="000A6906"/>
    <w:rsid w:val="000A7042"/>
    <w:rsid w:val="000A7FC5"/>
    <w:rsid w:val="000B0D54"/>
    <w:rsid w:val="000B0FFA"/>
    <w:rsid w:val="000B1CD5"/>
    <w:rsid w:val="000B549A"/>
    <w:rsid w:val="000B5DAB"/>
    <w:rsid w:val="000C0F1E"/>
    <w:rsid w:val="000C2E5D"/>
    <w:rsid w:val="000C32AC"/>
    <w:rsid w:val="000C3323"/>
    <w:rsid w:val="000C4845"/>
    <w:rsid w:val="000C4E97"/>
    <w:rsid w:val="000C5D8E"/>
    <w:rsid w:val="000C6562"/>
    <w:rsid w:val="000C737C"/>
    <w:rsid w:val="000D0A61"/>
    <w:rsid w:val="000D33F9"/>
    <w:rsid w:val="000D355E"/>
    <w:rsid w:val="000D38CD"/>
    <w:rsid w:val="000D41B7"/>
    <w:rsid w:val="000D4B59"/>
    <w:rsid w:val="000D4BB9"/>
    <w:rsid w:val="000D57C8"/>
    <w:rsid w:val="000D5F7B"/>
    <w:rsid w:val="000D63F5"/>
    <w:rsid w:val="000D7020"/>
    <w:rsid w:val="000D7779"/>
    <w:rsid w:val="000D7980"/>
    <w:rsid w:val="000D7A0E"/>
    <w:rsid w:val="000D7FA3"/>
    <w:rsid w:val="000E06D3"/>
    <w:rsid w:val="000E07C6"/>
    <w:rsid w:val="000E1AFE"/>
    <w:rsid w:val="000E1E06"/>
    <w:rsid w:val="000E320B"/>
    <w:rsid w:val="000E3D6B"/>
    <w:rsid w:val="000E3FB6"/>
    <w:rsid w:val="000E3FF9"/>
    <w:rsid w:val="000E4AEB"/>
    <w:rsid w:val="000E4CE4"/>
    <w:rsid w:val="000E5633"/>
    <w:rsid w:val="000E73F3"/>
    <w:rsid w:val="000E7837"/>
    <w:rsid w:val="000F185D"/>
    <w:rsid w:val="000F2E08"/>
    <w:rsid w:val="000F4E6C"/>
    <w:rsid w:val="000F5966"/>
    <w:rsid w:val="000F6A4C"/>
    <w:rsid w:val="000F7729"/>
    <w:rsid w:val="000F7E3F"/>
    <w:rsid w:val="0010095C"/>
    <w:rsid w:val="001012E4"/>
    <w:rsid w:val="00101C75"/>
    <w:rsid w:val="00104961"/>
    <w:rsid w:val="00110027"/>
    <w:rsid w:val="00110413"/>
    <w:rsid w:val="00112D76"/>
    <w:rsid w:val="0011379E"/>
    <w:rsid w:val="00113F12"/>
    <w:rsid w:val="00114554"/>
    <w:rsid w:val="00114BC5"/>
    <w:rsid w:val="00114FA4"/>
    <w:rsid w:val="00115338"/>
    <w:rsid w:val="0011536B"/>
    <w:rsid w:val="00115C17"/>
    <w:rsid w:val="00115FE8"/>
    <w:rsid w:val="00116738"/>
    <w:rsid w:val="001176A0"/>
    <w:rsid w:val="001200E9"/>
    <w:rsid w:val="00120B21"/>
    <w:rsid w:val="00122354"/>
    <w:rsid w:val="00123E07"/>
    <w:rsid w:val="00123F79"/>
    <w:rsid w:val="0012450A"/>
    <w:rsid w:val="00124F57"/>
    <w:rsid w:val="00125EEB"/>
    <w:rsid w:val="00132AA0"/>
    <w:rsid w:val="0013367C"/>
    <w:rsid w:val="001346E4"/>
    <w:rsid w:val="0013523C"/>
    <w:rsid w:val="001368F6"/>
    <w:rsid w:val="001376F3"/>
    <w:rsid w:val="00137CC3"/>
    <w:rsid w:val="001409FD"/>
    <w:rsid w:val="00141FBA"/>
    <w:rsid w:val="00142BB9"/>
    <w:rsid w:val="00143A4A"/>
    <w:rsid w:val="001441B1"/>
    <w:rsid w:val="001479C7"/>
    <w:rsid w:val="00147A5C"/>
    <w:rsid w:val="00147F3D"/>
    <w:rsid w:val="0015025E"/>
    <w:rsid w:val="00151DF6"/>
    <w:rsid w:val="001522D9"/>
    <w:rsid w:val="00152E29"/>
    <w:rsid w:val="00153277"/>
    <w:rsid w:val="0015376A"/>
    <w:rsid w:val="00153FED"/>
    <w:rsid w:val="00154029"/>
    <w:rsid w:val="00154461"/>
    <w:rsid w:val="00155234"/>
    <w:rsid w:val="00157740"/>
    <w:rsid w:val="0015794F"/>
    <w:rsid w:val="001606E1"/>
    <w:rsid w:val="00162E6E"/>
    <w:rsid w:val="00163AD7"/>
    <w:rsid w:val="001642FA"/>
    <w:rsid w:val="00164C30"/>
    <w:rsid w:val="001650DF"/>
    <w:rsid w:val="00165A8C"/>
    <w:rsid w:val="00165FFB"/>
    <w:rsid w:val="0016761E"/>
    <w:rsid w:val="00173EAA"/>
    <w:rsid w:val="001740E0"/>
    <w:rsid w:val="00174194"/>
    <w:rsid w:val="00174A1F"/>
    <w:rsid w:val="00180161"/>
    <w:rsid w:val="00180E87"/>
    <w:rsid w:val="00181154"/>
    <w:rsid w:val="001813DE"/>
    <w:rsid w:val="001816D6"/>
    <w:rsid w:val="001818E6"/>
    <w:rsid w:val="00181A33"/>
    <w:rsid w:val="00181A72"/>
    <w:rsid w:val="00181FE4"/>
    <w:rsid w:val="001823B2"/>
    <w:rsid w:val="00182A3D"/>
    <w:rsid w:val="001848D6"/>
    <w:rsid w:val="00187F4F"/>
    <w:rsid w:val="001909D3"/>
    <w:rsid w:val="00190B16"/>
    <w:rsid w:val="0019266E"/>
    <w:rsid w:val="001927B1"/>
    <w:rsid w:val="00193600"/>
    <w:rsid w:val="001937C5"/>
    <w:rsid w:val="00195E73"/>
    <w:rsid w:val="001A14E2"/>
    <w:rsid w:val="001A20DB"/>
    <w:rsid w:val="001A313B"/>
    <w:rsid w:val="001A3F86"/>
    <w:rsid w:val="001A4CD2"/>
    <w:rsid w:val="001A515D"/>
    <w:rsid w:val="001A52F3"/>
    <w:rsid w:val="001A540D"/>
    <w:rsid w:val="001A70D9"/>
    <w:rsid w:val="001A7550"/>
    <w:rsid w:val="001A7D1D"/>
    <w:rsid w:val="001B1562"/>
    <w:rsid w:val="001B2853"/>
    <w:rsid w:val="001B37EF"/>
    <w:rsid w:val="001B4471"/>
    <w:rsid w:val="001B4BC8"/>
    <w:rsid w:val="001B4D07"/>
    <w:rsid w:val="001B4D51"/>
    <w:rsid w:val="001B5F58"/>
    <w:rsid w:val="001B6408"/>
    <w:rsid w:val="001B64E1"/>
    <w:rsid w:val="001B6BA1"/>
    <w:rsid w:val="001B6C48"/>
    <w:rsid w:val="001B728B"/>
    <w:rsid w:val="001B7B15"/>
    <w:rsid w:val="001B7D5E"/>
    <w:rsid w:val="001C008F"/>
    <w:rsid w:val="001C0553"/>
    <w:rsid w:val="001C346F"/>
    <w:rsid w:val="001C491A"/>
    <w:rsid w:val="001C5DD2"/>
    <w:rsid w:val="001C62E3"/>
    <w:rsid w:val="001C6757"/>
    <w:rsid w:val="001C6972"/>
    <w:rsid w:val="001D093F"/>
    <w:rsid w:val="001D136B"/>
    <w:rsid w:val="001D1491"/>
    <w:rsid w:val="001D1FE2"/>
    <w:rsid w:val="001D243D"/>
    <w:rsid w:val="001D25F5"/>
    <w:rsid w:val="001D45AC"/>
    <w:rsid w:val="001D5E0E"/>
    <w:rsid w:val="001D68FD"/>
    <w:rsid w:val="001D7BDE"/>
    <w:rsid w:val="001E0AB1"/>
    <w:rsid w:val="001E1509"/>
    <w:rsid w:val="001E196F"/>
    <w:rsid w:val="001E1DCC"/>
    <w:rsid w:val="001E1F8F"/>
    <w:rsid w:val="001E2026"/>
    <w:rsid w:val="001E251B"/>
    <w:rsid w:val="001E2E66"/>
    <w:rsid w:val="001E2FC7"/>
    <w:rsid w:val="001E3517"/>
    <w:rsid w:val="001E3DCC"/>
    <w:rsid w:val="001E3E7B"/>
    <w:rsid w:val="001E41E3"/>
    <w:rsid w:val="001E56DF"/>
    <w:rsid w:val="001E63CC"/>
    <w:rsid w:val="001E6BF1"/>
    <w:rsid w:val="001E6EEC"/>
    <w:rsid w:val="001E7294"/>
    <w:rsid w:val="001E7D53"/>
    <w:rsid w:val="001F0AF9"/>
    <w:rsid w:val="001F0DE4"/>
    <w:rsid w:val="001F2ACD"/>
    <w:rsid w:val="001F2FBE"/>
    <w:rsid w:val="001F4AAA"/>
    <w:rsid w:val="001F7577"/>
    <w:rsid w:val="001F79D8"/>
    <w:rsid w:val="0020002E"/>
    <w:rsid w:val="00200802"/>
    <w:rsid w:val="0020174E"/>
    <w:rsid w:val="002029B8"/>
    <w:rsid w:val="00203094"/>
    <w:rsid w:val="00203E2E"/>
    <w:rsid w:val="00203E41"/>
    <w:rsid w:val="00204016"/>
    <w:rsid w:val="0020424F"/>
    <w:rsid w:val="0020431B"/>
    <w:rsid w:val="00204430"/>
    <w:rsid w:val="00205D6D"/>
    <w:rsid w:val="0020634A"/>
    <w:rsid w:val="00206931"/>
    <w:rsid w:val="00206A61"/>
    <w:rsid w:val="0021165E"/>
    <w:rsid w:val="002145D6"/>
    <w:rsid w:val="00215B14"/>
    <w:rsid w:val="00216C60"/>
    <w:rsid w:val="00220652"/>
    <w:rsid w:val="00221339"/>
    <w:rsid w:val="00224053"/>
    <w:rsid w:val="00224745"/>
    <w:rsid w:val="00224E62"/>
    <w:rsid w:val="00225648"/>
    <w:rsid w:val="00225B22"/>
    <w:rsid w:val="00230644"/>
    <w:rsid w:val="0023083C"/>
    <w:rsid w:val="0023351E"/>
    <w:rsid w:val="00235483"/>
    <w:rsid w:val="00235D2D"/>
    <w:rsid w:val="00235DD6"/>
    <w:rsid w:val="0023613D"/>
    <w:rsid w:val="00236988"/>
    <w:rsid w:val="00237243"/>
    <w:rsid w:val="002413A3"/>
    <w:rsid w:val="00241BEF"/>
    <w:rsid w:val="00241C8D"/>
    <w:rsid w:val="00243689"/>
    <w:rsid w:val="0024372E"/>
    <w:rsid w:val="00244915"/>
    <w:rsid w:val="00245416"/>
    <w:rsid w:val="00245BBA"/>
    <w:rsid w:val="002461E4"/>
    <w:rsid w:val="00246BF2"/>
    <w:rsid w:val="00246FA3"/>
    <w:rsid w:val="002476AE"/>
    <w:rsid w:val="00254994"/>
    <w:rsid w:val="0025724A"/>
    <w:rsid w:val="002612C3"/>
    <w:rsid w:val="002621F4"/>
    <w:rsid w:val="00262AD0"/>
    <w:rsid w:val="00263532"/>
    <w:rsid w:val="00263DC5"/>
    <w:rsid w:val="00263F21"/>
    <w:rsid w:val="002650F1"/>
    <w:rsid w:val="002656A8"/>
    <w:rsid w:val="002669C0"/>
    <w:rsid w:val="00267095"/>
    <w:rsid w:val="002678F0"/>
    <w:rsid w:val="00267C43"/>
    <w:rsid w:val="0027072C"/>
    <w:rsid w:val="00271D0B"/>
    <w:rsid w:val="00271E6F"/>
    <w:rsid w:val="00271FA1"/>
    <w:rsid w:val="0027213A"/>
    <w:rsid w:val="00272225"/>
    <w:rsid w:val="0028185A"/>
    <w:rsid w:val="00281BBC"/>
    <w:rsid w:val="00281C50"/>
    <w:rsid w:val="00283C9A"/>
    <w:rsid w:val="00284800"/>
    <w:rsid w:val="0028529F"/>
    <w:rsid w:val="002853DA"/>
    <w:rsid w:val="00286053"/>
    <w:rsid w:val="00291B60"/>
    <w:rsid w:val="00293FF7"/>
    <w:rsid w:val="00294710"/>
    <w:rsid w:val="00294FB8"/>
    <w:rsid w:val="00295916"/>
    <w:rsid w:val="00295AFE"/>
    <w:rsid w:val="00295C70"/>
    <w:rsid w:val="002A10AB"/>
    <w:rsid w:val="002A19A4"/>
    <w:rsid w:val="002A2791"/>
    <w:rsid w:val="002A3ECC"/>
    <w:rsid w:val="002A5E60"/>
    <w:rsid w:val="002A61F5"/>
    <w:rsid w:val="002A6B48"/>
    <w:rsid w:val="002A73FE"/>
    <w:rsid w:val="002B0548"/>
    <w:rsid w:val="002B26BA"/>
    <w:rsid w:val="002B2F13"/>
    <w:rsid w:val="002B36E0"/>
    <w:rsid w:val="002B39B9"/>
    <w:rsid w:val="002B48BA"/>
    <w:rsid w:val="002B4908"/>
    <w:rsid w:val="002B61CA"/>
    <w:rsid w:val="002B6308"/>
    <w:rsid w:val="002B64A7"/>
    <w:rsid w:val="002B64EF"/>
    <w:rsid w:val="002B67AF"/>
    <w:rsid w:val="002B67E8"/>
    <w:rsid w:val="002B7790"/>
    <w:rsid w:val="002C010F"/>
    <w:rsid w:val="002C226E"/>
    <w:rsid w:val="002C2764"/>
    <w:rsid w:val="002C3356"/>
    <w:rsid w:val="002C335E"/>
    <w:rsid w:val="002C37C8"/>
    <w:rsid w:val="002C3FF4"/>
    <w:rsid w:val="002C41CC"/>
    <w:rsid w:val="002C5FC2"/>
    <w:rsid w:val="002C7A17"/>
    <w:rsid w:val="002C7D12"/>
    <w:rsid w:val="002D084C"/>
    <w:rsid w:val="002D1269"/>
    <w:rsid w:val="002D2381"/>
    <w:rsid w:val="002D2860"/>
    <w:rsid w:val="002D3A11"/>
    <w:rsid w:val="002D5C9D"/>
    <w:rsid w:val="002D6795"/>
    <w:rsid w:val="002D6B3D"/>
    <w:rsid w:val="002D76EC"/>
    <w:rsid w:val="002D7CE5"/>
    <w:rsid w:val="002E0FE0"/>
    <w:rsid w:val="002E1239"/>
    <w:rsid w:val="002E212E"/>
    <w:rsid w:val="002E2569"/>
    <w:rsid w:val="002E2680"/>
    <w:rsid w:val="002E2C23"/>
    <w:rsid w:val="002E4F32"/>
    <w:rsid w:val="002E5183"/>
    <w:rsid w:val="002E62E0"/>
    <w:rsid w:val="002E6434"/>
    <w:rsid w:val="002E782A"/>
    <w:rsid w:val="002E7E46"/>
    <w:rsid w:val="002F057A"/>
    <w:rsid w:val="002F0662"/>
    <w:rsid w:val="002F0BC5"/>
    <w:rsid w:val="002F1ACD"/>
    <w:rsid w:val="002F2052"/>
    <w:rsid w:val="002F3685"/>
    <w:rsid w:val="002F3B20"/>
    <w:rsid w:val="002F467E"/>
    <w:rsid w:val="002F4919"/>
    <w:rsid w:val="002F576E"/>
    <w:rsid w:val="002F5BE7"/>
    <w:rsid w:val="002F6942"/>
    <w:rsid w:val="002F755C"/>
    <w:rsid w:val="002F7C55"/>
    <w:rsid w:val="00301664"/>
    <w:rsid w:val="003020D3"/>
    <w:rsid w:val="00303525"/>
    <w:rsid w:val="00303EAC"/>
    <w:rsid w:val="003045C0"/>
    <w:rsid w:val="00304A3B"/>
    <w:rsid w:val="00304C95"/>
    <w:rsid w:val="00304E4F"/>
    <w:rsid w:val="003068C0"/>
    <w:rsid w:val="00307154"/>
    <w:rsid w:val="00311366"/>
    <w:rsid w:val="00311E71"/>
    <w:rsid w:val="0031276A"/>
    <w:rsid w:val="00313055"/>
    <w:rsid w:val="0031409E"/>
    <w:rsid w:val="0031430D"/>
    <w:rsid w:val="00315A48"/>
    <w:rsid w:val="0031606F"/>
    <w:rsid w:val="003169A6"/>
    <w:rsid w:val="00316D99"/>
    <w:rsid w:val="0032032F"/>
    <w:rsid w:val="0032124B"/>
    <w:rsid w:val="0032125E"/>
    <w:rsid w:val="003221EF"/>
    <w:rsid w:val="00323B0D"/>
    <w:rsid w:val="00324639"/>
    <w:rsid w:val="00324A81"/>
    <w:rsid w:val="00324F53"/>
    <w:rsid w:val="00325744"/>
    <w:rsid w:val="00325F2D"/>
    <w:rsid w:val="00326204"/>
    <w:rsid w:val="0032677E"/>
    <w:rsid w:val="00326A29"/>
    <w:rsid w:val="00326BE6"/>
    <w:rsid w:val="00326D1D"/>
    <w:rsid w:val="003272F4"/>
    <w:rsid w:val="003273DB"/>
    <w:rsid w:val="00327E6B"/>
    <w:rsid w:val="0033006D"/>
    <w:rsid w:val="00331FD5"/>
    <w:rsid w:val="00332175"/>
    <w:rsid w:val="00332675"/>
    <w:rsid w:val="00333055"/>
    <w:rsid w:val="00334322"/>
    <w:rsid w:val="00337E19"/>
    <w:rsid w:val="00340811"/>
    <w:rsid w:val="00340CEF"/>
    <w:rsid w:val="0034155F"/>
    <w:rsid w:val="00341EC4"/>
    <w:rsid w:val="003422CE"/>
    <w:rsid w:val="003425FB"/>
    <w:rsid w:val="003429CB"/>
    <w:rsid w:val="00344451"/>
    <w:rsid w:val="0035172A"/>
    <w:rsid w:val="00351F1D"/>
    <w:rsid w:val="00353205"/>
    <w:rsid w:val="00353397"/>
    <w:rsid w:val="00355CBB"/>
    <w:rsid w:val="003564C5"/>
    <w:rsid w:val="00356B64"/>
    <w:rsid w:val="00361597"/>
    <w:rsid w:val="00362C88"/>
    <w:rsid w:val="00363D4A"/>
    <w:rsid w:val="00364A42"/>
    <w:rsid w:val="003663DB"/>
    <w:rsid w:val="0036662A"/>
    <w:rsid w:val="0036667E"/>
    <w:rsid w:val="00367AFA"/>
    <w:rsid w:val="0037059F"/>
    <w:rsid w:val="00372DD7"/>
    <w:rsid w:val="00373AAB"/>
    <w:rsid w:val="00373D77"/>
    <w:rsid w:val="00373DAF"/>
    <w:rsid w:val="00374916"/>
    <w:rsid w:val="00375935"/>
    <w:rsid w:val="00375C25"/>
    <w:rsid w:val="00376481"/>
    <w:rsid w:val="00377C00"/>
    <w:rsid w:val="003801A2"/>
    <w:rsid w:val="003815AD"/>
    <w:rsid w:val="00381EEB"/>
    <w:rsid w:val="003835C5"/>
    <w:rsid w:val="00384D94"/>
    <w:rsid w:val="00385279"/>
    <w:rsid w:val="0038703B"/>
    <w:rsid w:val="00387455"/>
    <w:rsid w:val="00387A84"/>
    <w:rsid w:val="00390551"/>
    <w:rsid w:val="00392098"/>
    <w:rsid w:val="003927E8"/>
    <w:rsid w:val="00393AA3"/>
    <w:rsid w:val="00393C3E"/>
    <w:rsid w:val="00394B8F"/>
    <w:rsid w:val="003969F2"/>
    <w:rsid w:val="003969FF"/>
    <w:rsid w:val="00396A37"/>
    <w:rsid w:val="00396C45"/>
    <w:rsid w:val="003A036C"/>
    <w:rsid w:val="003A1AB1"/>
    <w:rsid w:val="003A35DB"/>
    <w:rsid w:val="003A48DF"/>
    <w:rsid w:val="003A590D"/>
    <w:rsid w:val="003A5A4B"/>
    <w:rsid w:val="003A6FCD"/>
    <w:rsid w:val="003A74A3"/>
    <w:rsid w:val="003B088B"/>
    <w:rsid w:val="003B2443"/>
    <w:rsid w:val="003B29C1"/>
    <w:rsid w:val="003B4323"/>
    <w:rsid w:val="003B44A3"/>
    <w:rsid w:val="003B504B"/>
    <w:rsid w:val="003B5273"/>
    <w:rsid w:val="003B681C"/>
    <w:rsid w:val="003B71F9"/>
    <w:rsid w:val="003B7C0D"/>
    <w:rsid w:val="003C0578"/>
    <w:rsid w:val="003C0E83"/>
    <w:rsid w:val="003C4B40"/>
    <w:rsid w:val="003C4C43"/>
    <w:rsid w:val="003C706E"/>
    <w:rsid w:val="003C7C50"/>
    <w:rsid w:val="003D0563"/>
    <w:rsid w:val="003D2BF1"/>
    <w:rsid w:val="003D33C1"/>
    <w:rsid w:val="003D69BC"/>
    <w:rsid w:val="003E0C01"/>
    <w:rsid w:val="003E1A66"/>
    <w:rsid w:val="003E1AF2"/>
    <w:rsid w:val="003E1CE3"/>
    <w:rsid w:val="003E24EC"/>
    <w:rsid w:val="003E26CB"/>
    <w:rsid w:val="003E37E6"/>
    <w:rsid w:val="003E54FF"/>
    <w:rsid w:val="003E55F4"/>
    <w:rsid w:val="003E57CA"/>
    <w:rsid w:val="003E580C"/>
    <w:rsid w:val="003E5A1D"/>
    <w:rsid w:val="003E691F"/>
    <w:rsid w:val="003E6CA5"/>
    <w:rsid w:val="003E6DAC"/>
    <w:rsid w:val="003E78FD"/>
    <w:rsid w:val="003F017E"/>
    <w:rsid w:val="003F076B"/>
    <w:rsid w:val="003F0E2D"/>
    <w:rsid w:val="003F1301"/>
    <w:rsid w:val="003F14F1"/>
    <w:rsid w:val="003F1E63"/>
    <w:rsid w:val="003F4371"/>
    <w:rsid w:val="003F7946"/>
    <w:rsid w:val="003F7C62"/>
    <w:rsid w:val="004003CB"/>
    <w:rsid w:val="004029BA"/>
    <w:rsid w:val="00402ADD"/>
    <w:rsid w:val="00402C14"/>
    <w:rsid w:val="00403B78"/>
    <w:rsid w:val="00403BEA"/>
    <w:rsid w:val="00403D78"/>
    <w:rsid w:val="00403E15"/>
    <w:rsid w:val="00404172"/>
    <w:rsid w:val="00406460"/>
    <w:rsid w:val="00406B34"/>
    <w:rsid w:val="00406F30"/>
    <w:rsid w:val="00410DF6"/>
    <w:rsid w:val="00411BE8"/>
    <w:rsid w:val="00411BED"/>
    <w:rsid w:val="00413108"/>
    <w:rsid w:val="00413745"/>
    <w:rsid w:val="00415030"/>
    <w:rsid w:val="0041507C"/>
    <w:rsid w:val="00416662"/>
    <w:rsid w:val="00416688"/>
    <w:rsid w:val="00417407"/>
    <w:rsid w:val="0041780D"/>
    <w:rsid w:val="00417A1F"/>
    <w:rsid w:val="004217DA"/>
    <w:rsid w:val="00421EE8"/>
    <w:rsid w:val="004222BF"/>
    <w:rsid w:val="0042326D"/>
    <w:rsid w:val="00423AFE"/>
    <w:rsid w:val="00424258"/>
    <w:rsid w:val="0042443B"/>
    <w:rsid w:val="00424560"/>
    <w:rsid w:val="004248C1"/>
    <w:rsid w:val="0042551A"/>
    <w:rsid w:val="00425724"/>
    <w:rsid w:val="00425C66"/>
    <w:rsid w:val="004264B6"/>
    <w:rsid w:val="00426F1E"/>
    <w:rsid w:val="00427E27"/>
    <w:rsid w:val="00430BC6"/>
    <w:rsid w:val="00432108"/>
    <w:rsid w:val="00432FA0"/>
    <w:rsid w:val="0043484E"/>
    <w:rsid w:val="00434F00"/>
    <w:rsid w:val="004364E5"/>
    <w:rsid w:val="00436858"/>
    <w:rsid w:val="00440109"/>
    <w:rsid w:val="00440122"/>
    <w:rsid w:val="0044014D"/>
    <w:rsid w:val="0044117F"/>
    <w:rsid w:val="004414E1"/>
    <w:rsid w:val="0044216E"/>
    <w:rsid w:val="00442E98"/>
    <w:rsid w:val="00443FF2"/>
    <w:rsid w:val="00444403"/>
    <w:rsid w:val="00444C28"/>
    <w:rsid w:val="004450FF"/>
    <w:rsid w:val="004452EC"/>
    <w:rsid w:val="004453C5"/>
    <w:rsid w:val="00445AE5"/>
    <w:rsid w:val="00446189"/>
    <w:rsid w:val="004511A9"/>
    <w:rsid w:val="004517D7"/>
    <w:rsid w:val="00452426"/>
    <w:rsid w:val="00452ED7"/>
    <w:rsid w:val="004535EC"/>
    <w:rsid w:val="00453D54"/>
    <w:rsid w:val="004547CD"/>
    <w:rsid w:val="004561AD"/>
    <w:rsid w:val="0045723C"/>
    <w:rsid w:val="00457DF7"/>
    <w:rsid w:val="00460011"/>
    <w:rsid w:val="004617E5"/>
    <w:rsid w:val="00461DE7"/>
    <w:rsid w:val="00462756"/>
    <w:rsid w:val="0046287B"/>
    <w:rsid w:val="004637A6"/>
    <w:rsid w:val="00464401"/>
    <w:rsid w:val="004645D5"/>
    <w:rsid w:val="00464AD3"/>
    <w:rsid w:val="0046564E"/>
    <w:rsid w:val="00465BAD"/>
    <w:rsid w:val="0046642D"/>
    <w:rsid w:val="00466B2B"/>
    <w:rsid w:val="004701E2"/>
    <w:rsid w:val="004728E0"/>
    <w:rsid w:val="00472E9A"/>
    <w:rsid w:val="00473C62"/>
    <w:rsid w:val="00474D28"/>
    <w:rsid w:val="0047513D"/>
    <w:rsid w:val="004753A0"/>
    <w:rsid w:val="004770DC"/>
    <w:rsid w:val="00477B74"/>
    <w:rsid w:val="004809BF"/>
    <w:rsid w:val="00481045"/>
    <w:rsid w:val="00481D1E"/>
    <w:rsid w:val="0048438E"/>
    <w:rsid w:val="004843B5"/>
    <w:rsid w:val="00484894"/>
    <w:rsid w:val="00484C23"/>
    <w:rsid w:val="004874B0"/>
    <w:rsid w:val="004900E5"/>
    <w:rsid w:val="00490E5E"/>
    <w:rsid w:val="0049415A"/>
    <w:rsid w:val="004949C3"/>
    <w:rsid w:val="00495591"/>
    <w:rsid w:val="0049670A"/>
    <w:rsid w:val="00496866"/>
    <w:rsid w:val="00497C87"/>
    <w:rsid w:val="004A071D"/>
    <w:rsid w:val="004A0D4D"/>
    <w:rsid w:val="004A29C7"/>
    <w:rsid w:val="004A6597"/>
    <w:rsid w:val="004A756F"/>
    <w:rsid w:val="004B19F3"/>
    <w:rsid w:val="004B5383"/>
    <w:rsid w:val="004B5769"/>
    <w:rsid w:val="004B5B5F"/>
    <w:rsid w:val="004B7AE0"/>
    <w:rsid w:val="004B7F35"/>
    <w:rsid w:val="004C0030"/>
    <w:rsid w:val="004C0285"/>
    <w:rsid w:val="004C0484"/>
    <w:rsid w:val="004C0689"/>
    <w:rsid w:val="004C13E0"/>
    <w:rsid w:val="004C4261"/>
    <w:rsid w:val="004C48A7"/>
    <w:rsid w:val="004C4FE8"/>
    <w:rsid w:val="004C6321"/>
    <w:rsid w:val="004C73D0"/>
    <w:rsid w:val="004D00AD"/>
    <w:rsid w:val="004D14E0"/>
    <w:rsid w:val="004D1F47"/>
    <w:rsid w:val="004D2894"/>
    <w:rsid w:val="004D2B83"/>
    <w:rsid w:val="004D4974"/>
    <w:rsid w:val="004D4BAF"/>
    <w:rsid w:val="004D5245"/>
    <w:rsid w:val="004D5372"/>
    <w:rsid w:val="004D5400"/>
    <w:rsid w:val="004D5A4F"/>
    <w:rsid w:val="004D5DB0"/>
    <w:rsid w:val="004D6E7C"/>
    <w:rsid w:val="004E08BE"/>
    <w:rsid w:val="004E0FA3"/>
    <w:rsid w:val="004E16C7"/>
    <w:rsid w:val="004E2435"/>
    <w:rsid w:val="004E25E8"/>
    <w:rsid w:val="004E2AC0"/>
    <w:rsid w:val="004E330F"/>
    <w:rsid w:val="004E3B94"/>
    <w:rsid w:val="004E4241"/>
    <w:rsid w:val="004E66F6"/>
    <w:rsid w:val="004E6C02"/>
    <w:rsid w:val="004E75B5"/>
    <w:rsid w:val="004E76F0"/>
    <w:rsid w:val="004F0F53"/>
    <w:rsid w:val="004F100F"/>
    <w:rsid w:val="004F149E"/>
    <w:rsid w:val="004F15C9"/>
    <w:rsid w:val="004F21ED"/>
    <w:rsid w:val="004F36B3"/>
    <w:rsid w:val="004F4637"/>
    <w:rsid w:val="004F4C47"/>
    <w:rsid w:val="004F5C65"/>
    <w:rsid w:val="004F5E48"/>
    <w:rsid w:val="004F64C0"/>
    <w:rsid w:val="004F6BCC"/>
    <w:rsid w:val="004F75D1"/>
    <w:rsid w:val="00500830"/>
    <w:rsid w:val="00501200"/>
    <w:rsid w:val="005018E8"/>
    <w:rsid w:val="0050401F"/>
    <w:rsid w:val="00504FED"/>
    <w:rsid w:val="005069FE"/>
    <w:rsid w:val="005078CF"/>
    <w:rsid w:val="00510717"/>
    <w:rsid w:val="00511528"/>
    <w:rsid w:val="00511A5B"/>
    <w:rsid w:val="0051404B"/>
    <w:rsid w:val="005140A1"/>
    <w:rsid w:val="00514725"/>
    <w:rsid w:val="00516440"/>
    <w:rsid w:val="005172EA"/>
    <w:rsid w:val="00520619"/>
    <w:rsid w:val="0052123A"/>
    <w:rsid w:val="00521A95"/>
    <w:rsid w:val="00521EF8"/>
    <w:rsid w:val="00522C1E"/>
    <w:rsid w:val="005236D2"/>
    <w:rsid w:val="00524EB8"/>
    <w:rsid w:val="00524F85"/>
    <w:rsid w:val="005252B2"/>
    <w:rsid w:val="00525DAC"/>
    <w:rsid w:val="00527679"/>
    <w:rsid w:val="00527C48"/>
    <w:rsid w:val="005302B6"/>
    <w:rsid w:val="005304A1"/>
    <w:rsid w:val="00530DB8"/>
    <w:rsid w:val="00531EE2"/>
    <w:rsid w:val="005326C2"/>
    <w:rsid w:val="005327F3"/>
    <w:rsid w:val="00532E56"/>
    <w:rsid w:val="00533D52"/>
    <w:rsid w:val="0053581B"/>
    <w:rsid w:val="005373D9"/>
    <w:rsid w:val="00537926"/>
    <w:rsid w:val="00540405"/>
    <w:rsid w:val="00541708"/>
    <w:rsid w:val="0054207E"/>
    <w:rsid w:val="00543468"/>
    <w:rsid w:val="00543B9A"/>
    <w:rsid w:val="00543F14"/>
    <w:rsid w:val="005457F9"/>
    <w:rsid w:val="00547A72"/>
    <w:rsid w:val="005506A9"/>
    <w:rsid w:val="00550834"/>
    <w:rsid w:val="00550F57"/>
    <w:rsid w:val="005514E8"/>
    <w:rsid w:val="00551C1E"/>
    <w:rsid w:val="00552A94"/>
    <w:rsid w:val="0055340D"/>
    <w:rsid w:val="00555108"/>
    <w:rsid w:val="00555BD0"/>
    <w:rsid w:val="00556174"/>
    <w:rsid w:val="0055699E"/>
    <w:rsid w:val="0056064A"/>
    <w:rsid w:val="00562C63"/>
    <w:rsid w:val="005635BE"/>
    <w:rsid w:val="0056375F"/>
    <w:rsid w:val="00563D48"/>
    <w:rsid w:val="0056457F"/>
    <w:rsid w:val="00566960"/>
    <w:rsid w:val="00566DA4"/>
    <w:rsid w:val="0057007F"/>
    <w:rsid w:val="00570C1B"/>
    <w:rsid w:val="0057101E"/>
    <w:rsid w:val="005726C0"/>
    <w:rsid w:val="00572B8E"/>
    <w:rsid w:val="00577099"/>
    <w:rsid w:val="0057730D"/>
    <w:rsid w:val="00577F89"/>
    <w:rsid w:val="00580358"/>
    <w:rsid w:val="00580B53"/>
    <w:rsid w:val="0058135C"/>
    <w:rsid w:val="005813AA"/>
    <w:rsid w:val="00583DEA"/>
    <w:rsid w:val="00584D51"/>
    <w:rsid w:val="00586D8D"/>
    <w:rsid w:val="005900C0"/>
    <w:rsid w:val="00591665"/>
    <w:rsid w:val="0059239B"/>
    <w:rsid w:val="00592680"/>
    <w:rsid w:val="0059355B"/>
    <w:rsid w:val="00595F90"/>
    <w:rsid w:val="0059603A"/>
    <w:rsid w:val="005965DD"/>
    <w:rsid w:val="00597767"/>
    <w:rsid w:val="005A2027"/>
    <w:rsid w:val="005A2E89"/>
    <w:rsid w:val="005A2E90"/>
    <w:rsid w:val="005A4B35"/>
    <w:rsid w:val="005A6635"/>
    <w:rsid w:val="005A6E9D"/>
    <w:rsid w:val="005B0FBA"/>
    <w:rsid w:val="005B2A4A"/>
    <w:rsid w:val="005B3470"/>
    <w:rsid w:val="005B4579"/>
    <w:rsid w:val="005B5E5C"/>
    <w:rsid w:val="005B6A66"/>
    <w:rsid w:val="005C0C07"/>
    <w:rsid w:val="005C103E"/>
    <w:rsid w:val="005C1226"/>
    <w:rsid w:val="005C3F3F"/>
    <w:rsid w:val="005C465E"/>
    <w:rsid w:val="005C5A41"/>
    <w:rsid w:val="005C67AB"/>
    <w:rsid w:val="005C707F"/>
    <w:rsid w:val="005C72CA"/>
    <w:rsid w:val="005D0A79"/>
    <w:rsid w:val="005D0F15"/>
    <w:rsid w:val="005D1D0E"/>
    <w:rsid w:val="005D219D"/>
    <w:rsid w:val="005D2D04"/>
    <w:rsid w:val="005D3D43"/>
    <w:rsid w:val="005D6A5B"/>
    <w:rsid w:val="005D7B4B"/>
    <w:rsid w:val="005D7D94"/>
    <w:rsid w:val="005E0D57"/>
    <w:rsid w:val="005E15E8"/>
    <w:rsid w:val="005E1AE8"/>
    <w:rsid w:val="005E2182"/>
    <w:rsid w:val="005E305B"/>
    <w:rsid w:val="005E3C51"/>
    <w:rsid w:val="005E4A30"/>
    <w:rsid w:val="005E4B9A"/>
    <w:rsid w:val="005E7073"/>
    <w:rsid w:val="005F1451"/>
    <w:rsid w:val="005F162D"/>
    <w:rsid w:val="005F2758"/>
    <w:rsid w:val="005F2A4F"/>
    <w:rsid w:val="005F414C"/>
    <w:rsid w:val="005F461F"/>
    <w:rsid w:val="005F48C4"/>
    <w:rsid w:val="005F4BB1"/>
    <w:rsid w:val="005F642A"/>
    <w:rsid w:val="005F6CDA"/>
    <w:rsid w:val="005F713A"/>
    <w:rsid w:val="005F7C63"/>
    <w:rsid w:val="00601041"/>
    <w:rsid w:val="006013ED"/>
    <w:rsid w:val="006035AA"/>
    <w:rsid w:val="0060389E"/>
    <w:rsid w:val="00603F72"/>
    <w:rsid w:val="0061014F"/>
    <w:rsid w:val="00610493"/>
    <w:rsid w:val="00610858"/>
    <w:rsid w:val="006111E1"/>
    <w:rsid w:val="00611873"/>
    <w:rsid w:val="006118D4"/>
    <w:rsid w:val="00612BA3"/>
    <w:rsid w:val="00613F00"/>
    <w:rsid w:val="006147A7"/>
    <w:rsid w:val="0061575D"/>
    <w:rsid w:val="00617007"/>
    <w:rsid w:val="006171E4"/>
    <w:rsid w:val="00617340"/>
    <w:rsid w:val="00620456"/>
    <w:rsid w:val="006209D3"/>
    <w:rsid w:val="0062132B"/>
    <w:rsid w:val="00623685"/>
    <w:rsid w:val="00623789"/>
    <w:rsid w:val="00624B67"/>
    <w:rsid w:val="00625326"/>
    <w:rsid w:val="006266FF"/>
    <w:rsid w:val="00627478"/>
    <w:rsid w:val="006301DA"/>
    <w:rsid w:val="00630378"/>
    <w:rsid w:val="00632A05"/>
    <w:rsid w:val="0063336B"/>
    <w:rsid w:val="0063356E"/>
    <w:rsid w:val="006337DD"/>
    <w:rsid w:val="00635599"/>
    <w:rsid w:val="00636029"/>
    <w:rsid w:val="00636B20"/>
    <w:rsid w:val="006415C6"/>
    <w:rsid w:val="00641682"/>
    <w:rsid w:val="00642EC9"/>
    <w:rsid w:val="00644B98"/>
    <w:rsid w:val="00644EF6"/>
    <w:rsid w:val="00647028"/>
    <w:rsid w:val="00650E16"/>
    <w:rsid w:val="006510E8"/>
    <w:rsid w:val="00651938"/>
    <w:rsid w:val="00651E44"/>
    <w:rsid w:val="00652461"/>
    <w:rsid w:val="00653082"/>
    <w:rsid w:val="00653417"/>
    <w:rsid w:val="00653B17"/>
    <w:rsid w:val="0065526F"/>
    <w:rsid w:val="00655B3D"/>
    <w:rsid w:val="00655B87"/>
    <w:rsid w:val="0065654E"/>
    <w:rsid w:val="0065711C"/>
    <w:rsid w:val="00657A92"/>
    <w:rsid w:val="00660E72"/>
    <w:rsid w:val="00662134"/>
    <w:rsid w:val="00662D2E"/>
    <w:rsid w:val="00662EBB"/>
    <w:rsid w:val="00663737"/>
    <w:rsid w:val="006673C9"/>
    <w:rsid w:val="00667D37"/>
    <w:rsid w:val="006745B0"/>
    <w:rsid w:val="00675669"/>
    <w:rsid w:val="0067592F"/>
    <w:rsid w:val="00675A61"/>
    <w:rsid w:val="00676707"/>
    <w:rsid w:val="0067685E"/>
    <w:rsid w:val="00683AA4"/>
    <w:rsid w:val="0068591D"/>
    <w:rsid w:val="00685BEB"/>
    <w:rsid w:val="00686B1F"/>
    <w:rsid w:val="006872E4"/>
    <w:rsid w:val="00687819"/>
    <w:rsid w:val="00687B84"/>
    <w:rsid w:val="0069031A"/>
    <w:rsid w:val="00690A64"/>
    <w:rsid w:val="006918B6"/>
    <w:rsid w:val="00692040"/>
    <w:rsid w:val="00692FAC"/>
    <w:rsid w:val="0069462B"/>
    <w:rsid w:val="00694E01"/>
    <w:rsid w:val="006A1878"/>
    <w:rsid w:val="006A448A"/>
    <w:rsid w:val="006A48E0"/>
    <w:rsid w:val="006A4BBE"/>
    <w:rsid w:val="006A5B59"/>
    <w:rsid w:val="006A5D0D"/>
    <w:rsid w:val="006A64C4"/>
    <w:rsid w:val="006A7C84"/>
    <w:rsid w:val="006A7FA7"/>
    <w:rsid w:val="006B4AC1"/>
    <w:rsid w:val="006B4BD0"/>
    <w:rsid w:val="006B4DF0"/>
    <w:rsid w:val="006B4EE8"/>
    <w:rsid w:val="006B5760"/>
    <w:rsid w:val="006B6E57"/>
    <w:rsid w:val="006B72D0"/>
    <w:rsid w:val="006B7422"/>
    <w:rsid w:val="006C07C9"/>
    <w:rsid w:val="006C0AED"/>
    <w:rsid w:val="006C210C"/>
    <w:rsid w:val="006C64D5"/>
    <w:rsid w:val="006C6D42"/>
    <w:rsid w:val="006D0582"/>
    <w:rsid w:val="006D11E9"/>
    <w:rsid w:val="006D1A66"/>
    <w:rsid w:val="006D1F1B"/>
    <w:rsid w:val="006D272C"/>
    <w:rsid w:val="006D2FDB"/>
    <w:rsid w:val="006D32B3"/>
    <w:rsid w:val="006D36D0"/>
    <w:rsid w:val="006D5857"/>
    <w:rsid w:val="006D5AAD"/>
    <w:rsid w:val="006D79A7"/>
    <w:rsid w:val="006D7B3D"/>
    <w:rsid w:val="006E06D9"/>
    <w:rsid w:val="006E0E93"/>
    <w:rsid w:val="006E1351"/>
    <w:rsid w:val="006E13A4"/>
    <w:rsid w:val="006E1867"/>
    <w:rsid w:val="006E245F"/>
    <w:rsid w:val="006E2E36"/>
    <w:rsid w:val="006E4B08"/>
    <w:rsid w:val="006E6EC5"/>
    <w:rsid w:val="006E714E"/>
    <w:rsid w:val="006E7AA1"/>
    <w:rsid w:val="006F0032"/>
    <w:rsid w:val="006F1A26"/>
    <w:rsid w:val="006F1D09"/>
    <w:rsid w:val="006F3E14"/>
    <w:rsid w:val="006F3E70"/>
    <w:rsid w:val="006F4023"/>
    <w:rsid w:val="006F65B2"/>
    <w:rsid w:val="006F7723"/>
    <w:rsid w:val="006F7A84"/>
    <w:rsid w:val="006F7F79"/>
    <w:rsid w:val="006F7FBE"/>
    <w:rsid w:val="007003E4"/>
    <w:rsid w:val="00700C8E"/>
    <w:rsid w:val="00700F78"/>
    <w:rsid w:val="007012A3"/>
    <w:rsid w:val="00701824"/>
    <w:rsid w:val="00701AF3"/>
    <w:rsid w:val="00702AA6"/>
    <w:rsid w:val="007035C2"/>
    <w:rsid w:val="00703752"/>
    <w:rsid w:val="007038E5"/>
    <w:rsid w:val="007044D2"/>
    <w:rsid w:val="00704732"/>
    <w:rsid w:val="00704B5B"/>
    <w:rsid w:val="00704C72"/>
    <w:rsid w:val="007059ED"/>
    <w:rsid w:val="00705EE4"/>
    <w:rsid w:val="00706F4C"/>
    <w:rsid w:val="00707F87"/>
    <w:rsid w:val="0071169C"/>
    <w:rsid w:val="00712F3A"/>
    <w:rsid w:val="0071397D"/>
    <w:rsid w:val="007156FD"/>
    <w:rsid w:val="0071596F"/>
    <w:rsid w:val="00715D5B"/>
    <w:rsid w:val="00715EBB"/>
    <w:rsid w:val="00717138"/>
    <w:rsid w:val="00717627"/>
    <w:rsid w:val="00720042"/>
    <w:rsid w:val="0072115E"/>
    <w:rsid w:val="00721E8A"/>
    <w:rsid w:val="00722E64"/>
    <w:rsid w:val="00723104"/>
    <w:rsid w:val="00723B94"/>
    <w:rsid w:val="0072502F"/>
    <w:rsid w:val="007256B6"/>
    <w:rsid w:val="0072594B"/>
    <w:rsid w:val="00726D6C"/>
    <w:rsid w:val="007276ED"/>
    <w:rsid w:val="0072771C"/>
    <w:rsid w:val="00730A21"/>
    <w:rsid w:val="00731AED"/>
    <w:rsid w:val="007321DD"/>
    <w:rsid w:val="00733C54"/>
    <w:rsid w:val="00733F7E"/>
    <w:rsid w:val="0073413E"/>
    <w:rsid w:val="00734471"/>
    <w:rsid w:val="007347D8"/>
    <w:rsid w:val="00735CE5"/>
    <w:rsid w:val="007362C0"/>
    <w:rsid w:val="007368D1"/>
    <w:rsid w:val="00736ADB"/>
    <w:rsid w:val="00736E75"/>
    <w:rsid w:val="00740BE0"/>
    <w:rsid w:val="00741936"/>
    <w:rsid w:val="007419A5"/>
    <w:rsid w:val="00742FD0"/>
    <w:rsid w:val="00743E41"/>
    <w:rsid w:val="0074505B"/>
    <w:rsid w:val="00745395"/>
    <w:rsid w:val="00745E38"/>
    <w:rsid w:val="007463C1"/>
    <w:rsid w:val="00747075"/>
    <w:rsid w:val="0074715D"/>
    <w:rsid w:val="007471EA"/>
    <w:rsid w:val="00752E32"/>
    <w:rsid w:val="007546B5"/>
    <w:rsid w:val="0075679C"/>
    <w:rsid w:val="00757377"/>
    <w:rsid w:val="00761495"/>
    <w:rsid w:val="00761CD9"/>
    <w:rsid w:val="00762B22"/>
    <w:rsid w:val="00763438"/>
    <w:rsid w:val="0076502F"/>
    <w:rsid w:val="00765CC7"/>
    <w:rsid w:val="00766008"/>
    <w:rsid w:val="00766467"/>
    <w:rsid w:val="00766471"/>
    <w:rsid w:val="00766DE3"/>
    <w:rsid w:val="00767540"/>
    <w:rsid w:val="00770831"/>
    <w:rsid w:val="007714BC"/>
    <w:rsid w:val="007717CA"/>
    <w:rsid w:val="00772151"/>
    <w:rsid w:val="007732A8"/>
    <w:rsid w:val="0077354E"/>
    <w:rsid w:val="00774769"/>
    <w:rsid w:val="00774C5C"/>
    <w:rsid w:val="0077543A"/>
    <w:rsid w:val="00775B7D"/>
    <w:rsid w:val="00776006"/>
    <w:rsid w:val="0077674C"/>
    <w:rsid w:val="00776D12"/>
    <w:rsid w:val="0077767D"/>
    <w:rsid w:val="007806BE"/>
    <w:rsid w:val="0078078C"/>
    <w:rsid w:val="00780B7A"/>
    <w:rsid w:val="00780E14"/>
    <w:rsid w:val="00782300"/>
    <w:rsid w:val="0078535F"/>
    <w:rsid w:val="00787549"/>
    <w:rsid w:val="00787BC4"/>
    <w:rsid w:val="007916CF"/>
    <w:rsid w:val="00792C93"/>
    <w:rsid w:val="00793D75"/>
    <w:rsid w:val="00793E49"/>
    <w:rsid w:val="007956EF"/>
    <w:rsid w:val="00796CE4"/>
    <w:rsid w:val="007A02F3"/>
    <w:rsid w:val="007A229B"/>
    <w:rsid w:val="007A4B96"/>
    <w:rsid w:val="007A50DC"/>
    <w:rsid w:val="007A54D8"/>
    <w:rsid w:val="007A6511"/>
    <w:rsid w:val="007A7AB6"/>
    <w:rsid w:val="007B1003"/>
    <w:rsid w:val="007B1C86"/>
    <w:rsid w:val="007B3F15"/>
    <w:rsid w:val="007B412A"/>
    <w:rsid w:val="007B5101"/>
    <w:rsid w:val="007B5B57"/>
    <w:rsid w:val="007B5F86"/>
    <w:rsid w:val="007B60F2"/>
    <w:rsid w:val="007B7955"/>
    <w:rsid w:val="007B7C9E"/>
    <w:rsid w:val="007C256B"/>
    <w:rsid w:val="007C30AD"/>
    <w:rsid w:val="007C317B"/>
    <w:rsid w:val="007C3854"/>
    <w:rsid w:val="007C3919"/>
    <w:rsid w:val="007C3A26"/>
    <w:rsid w:val="007C3F58"/>
    <w:rsid w:val="007C456F"/>
    <w:rsid w:val="007C4928"/>
    <w:rsid w:val="007C4BEC"/>
    <w:rsid w:val="007C5310"/>
    <w:rsid w:val="007C5593"/>
    <w:rsid w:val="007C56E5"/>
    <w:rsid w:val="007C5989"/>
    <w:rsid w:val="007C6C0C"/>
    <w:rsid w:val="007C6E45"/>
    <w:rsid w:val="007D2633"/>
    <w:rsid w:val="007D404D"/>
    <w:rsid w:val="007D4143"/>
    <w:rsid w:val="007D4AC8"/>
    <w:rsid w:val="007D682A"/>
    <w:rsid w:val="007D6C6F"/>
    <w:rsid w:val="007D7379"/>
    <w:rsid w:val="007D7AB9"/>
    <w:rsid w:val="007E15B9"/>
    <w:rsid w:val="007E20C2"/>
    <w:rsid w:val="007E2253"/>
    <w:rsid w:val="007E4D4A"/>
    <w:rsid w:val="007E4E8C"/>
    <w:rsid w:val="007E5B80"/>
    <w:rsid w:val="007E73C9"/>
    <w:rsid w:val="007F232C"/>
    <w:rsid w:val="007F260A"/>
    <w:rsid w:val="007F26DA"/>
    <w:rsid w:val="007F3C33"/>
    <w:rsid w:val="007F440A"/>
    <w:rsid w:val="007F4E77"/>
    <w:rsid w:val="007F545A"/>
    <w:rsid w:val="007F562C"/>
    <w:rsid w:val="007F75FB"/>
    <w:rsid w:val="007F7869"/>
    <w:rsid w:val="0080248F"/>
    <w:rsid w:val="00802D17"/>
    <w:rsid w:val="00803ADE"/>
    <w:rsid w:val="00806B13"/>
    <w:rsid w:val="008111A6"/>
    <w:rsid w:val="008129D5"/>
    <w:rsid w:val="008131B1"/>
    <w:rsid w:val="00813EF0"/>
    <w:rsid w:val="008141F7"/>
    <w:rsid w:val="00814D4C"/>
    <w:rsid w:val="00820481"/>
    <w:rsid w:val="00820578"/>
    <w:rsid w:val="0082072F"/>
    <w:rsid w:val="0082118A"/>
    <w:rsid w:val="008213FA"/>
    <w:rsid w:val="00821465"/>
    <w:rsid w:val="00821D2C"/>
    <w:rsid w:val="008224BB"/>
    <w:rsid w:val="00823042"/>
    <w:rsid w:val="0082357A"/>
    <w:rsid w:val="00823FA0"/>
    <w:rsid w:val="008243E8"/>
    <w:rsid w:val="00826021"/>
    <w:rsid w:val="008271DB"/>
    <w:rsid w:val="00827F1D"/>
    <w:rsid w:val="008301E6"/>
    <w:rsid w:val="008307D4"/>
    <w:rsid w:val="008309C4"/>
    <w:rsid w:val="00830FB6"/>
    <w:rsid w:val="00831CD2"/>
    <w:rsid w:val="0083324F"/>
    <w:rsid w:val="0083325D"/>
    <w:rsid w:val="00833581"/>
    <w:rsid w:val="00833A4A"/>
    <w:rsid w:val="00833E39"/>
    <w:rsid w:val="008350C9"/>
    <w:rsid w:val="00835F8A"/>
    <w:rsid w:val="008379E3"/>
    <w:rsid w:val="00840085"/>
    <w:rsid w:val="0084020A"/>
    <w:rsid w:val="0084049F"/>
    <w:rsid w:val="008404FB"/>
    <w:rsid w:val="00843770"/>
    <w:rsid w:val="00844384"/>
    <w:rsid w:val="0084665C"/>
    <w:rsid w:val="00847332"/>
    <w:rsid w:val="00850217"/>
    <w:rsid w:val="008506A1"/>
    <w:rsid w:val="008507ED"/>
    <w:rsid w:val="00852390"/>
    <w:rsid w:val="0085434D"/>
    <w:rsid w:val="00855526"/>
    <w:rsid w:val="008600A9"/>
    <w:rsid w:val="00860D20"/>
    <w:rsid w:val="00861D83"/>
    <w:rsid w:val="0086266C"/>
    <w:rsid w:val="00862FE5"/>
    <w:rsid w:val="00863BBF"/>
    <w:rsid w:val="008643E5"/>
    <w:rsid w:val="008645D3"/>
    <w:rsid w:val="00865556"/>
    <w:rsid w:val="00866F2F"/>
    <w:rsid w:val="008678DC"/>
    <w:rsid w:val="00871231"/>
    <w:rsid w:val="008717CC"/>
    <w:rsid w:val="00871B16"/>
    <w:rsid w:val="00871FA9"/>
    <w:rsid w:val="008721E5"/>
    <w:rsid w:val="008725B5"/>
    <w:rsid w:val="0087265E"/>
    <w:rsid w:val="00872829"/>
    <w:rsid w:val="0087356D"/>
    <w:rsid w:val="00873F69"/>
    <w:rsid w:val="008750F4"/>
    <w:rsid w:val="008755C6"/>
    <w:rsid w:val="00875D6E"/>
    <w:rsid w:val="00876476"/>
    <w:rsid w:val="0087784A"/>
    <w:rsid w:val="00880339"/>
    <w:rsid w:val="0088044C"/>
    <w:rsid w:val="0088091B"/>
    <w:rsid w:val="008826A0"/>
    <w:rsid w:val="00882E0C"/>
    <w:rsid w:val="00884A78"/>
    <w:rsid w:val="00885E7C"/>
    <w:rsid w:val="00885ECF"/>
    <w:rsid w:val="00885F07"/>
    <w:rsid w:val="008867A0"/>
    <w:rsid w:val="00890394"/>
    <w:rsid w:val="00890AF3"/>
    <w:rsid w:val="00892FE7"/>
    <w:rsid w:val="00893D8F"/>
    <w:rsid w:val="00893E20"/>
    <w:rsid w:val="0089418B"/>
    <w:rsid w:val="00894C9E"/>
    <w:rsid w:val="00895E60"/>
    <w:rsid w:val="008964E1"/>
    <w:rsid w:val="0089729D"/>
    <w:rsid w:val="008A017B"/>
    <w:rsid w:val="008A037E"/>
    <w:rsid w:val="008A0DC2"/>
    <w:rsid w:val="008A2993"/>
    <w:rsid w:val="008A2AC3"/>
    <w:rsid w:val="008A316E"/>
    <w:rsid w:val="008A48F7"/>
    <w:rsid w:val="008A4B5D"/>
    <w:rsid w:val="008A5475"/>
    <w:rsid w:val="008A56F1"/>
    <w:rsid w:val="008A61D1"/>
    <w:rsid w:val="008A7A9A"/>
    <w:rsid w:val="008B01C8"/>
    <w:rsid w:val="008B15E5"/>
    <w:rsid w:val="008B1844"/>
    <w:rsid w:val="008B2062"/>
    <w:rsid w:val="008B4466"/>
    <w:rsid w:val="008B49CB"/>
    <w:rsid w:val="008B4A59"/>
    <w:rsid w:val="008B6093"/>
    <w:rsid w:val="008B6784"/>
    <w:rsid w:val="008B6EBC"/>
    <w:rsid w:val="008C0FC1"/>
    <w:rsid w:val="008C22F3"/>
    <w:rsid w:val="008C26EE"/>
    <w:rsid w:val="008C2C14"/>
    <w:rsid w:val="008C2FE0"/>
    <w:rsid w:val="008C39ED"/>
    <w:rsid w:val="008C4872"/>
    <w:rsid w:val="008C6050"/>
    <w:rsid w:val="008D0CD0"/>
    <w:rsid w:val="008D1B77"/>
    <w:rsid w:val="008D1F2F"/>
    <w:rsid w:val="008D2E84"/>
    <w:rsid w:val="008D2F52"/>
    <w:rsid w:val="008D394F"/>
    <w:rsid w:val="008D471D"/>
    <w:rsid w:val="008D4DE0"/>
    <w:rsid w:val="008D57CE"/>
    <w:rsid w:val="008D59EC"/>
    <w:rsid w:val="008E06D6"/>
    <w:rsid w:val="008E281E"/>
    <w:rsid w:val="008E2A9F"/>
    <w:rsid w:val="008E2AA3"/>
    <w:rsid w:val="008E323E"/>
    <w:rsid w:val="008E355A"/>
    <w:rsid w:val="008E40FA"/>
    <w:rsid w:val="008E58F8"/>
    <w:rsid w:val="008F053D"/>
    <w:rsid w:val="008F0855"/>
    <w:rsid w:val="008F0A1F"/>
    <w:rsid w:val="008F0BA7"/>
    <w:rsid w:val="008F0CF7"/>
    <w:rsid w:val="008F1CE0"/>
    <w:rsid w:val="008F2338"/>
    <w:rsid w:val="00900698"/>
    <w:rsid w:val="0090088C"/>
    <w:rsid w:val="00900F31"/>
    <w:rsid w:val="009010B2"/>
    <w:rsid w:val="0090258E"/>
    <w:rsid w:val="00903300"/>
    <w:rsid w:val="009042AA"/>
    <w:rsid w:val="00905440"/>
    <w:rsid w:val="0090789C"/>
    <w:rsid w:val="009106DD"/>
    <w:rsid w:val="00910B04"/>
    <w:rsid w:val="00910D47"/>
    <w:rsid w:val="0091130C"/>
    <w:rsid w:val="00911FEA"/>
    <w:rsid w:val="00913342"/>
    <w:rsid w:val="009139CD"/>
    <w:rsid w:val="00915E71"/>
    <w:rsid w:val="00916941"/>
    <w:rsid w:val="00917832"/>
    <w:rsid w:val="00917A08"/>
    <w:rsid w:val="00917B7B"/>
    <w:rsid w:val="0092146D"/>
    <w:rsid w:val="00924FCE"/>
    <w:rsid w:val="00925B14"/>
    <w:rsid w:val="00927606"/>
    <w:rsid w:val="00930C01"/>
    <w:rsid w:val="009324FD"/>
    <w:rsid w:val="00933194"/>
    <w:rsid w:val="00933334"/>
    <w:rsid w:val="00933478"/>
    <w:rsid w:val="0093407D"/>
    <w:rsid w:val="009357A6"/>
    <w:rsid w:val="009362AE"/>
    <w:rsid w:val="009363C4"/>
    <w:rsid w:val="0093766B"/>
    <w:rsid w:val="009430AD"/>
    <w:rsid w:val="00944145"/>
    <w:rsid w:val="009449C3"/>
    <w:rsid w:val="00945398"/>
    <w:rsid w:val="00945A35"/>
    <w:rsid w:val="0095001C"/>
    <w:rsid w:val="00950FE5"/>
    <w:rsid w:val="0095173B"/>
    <w:rsid w:val="00952DC8"/>
    <w:rsid w:val="00953285"/>
    <w:rsid w:val="0095744D"/>
    <w:rsid w:val="00961040"/>
    <w:rsid w:val="00962134"/>
    <w:rsid w:val="0096366C"/>
    <w:rsid w:val="00964470"/>
    <w:rsid w:val="00964A0E"/>
    <w:rsid w:val="00966B00"/>
    <w:rsid w:val="00966E09"/>
    <w:rsid w:val="00970099"/>
    <w:rsid w:val="0097205D"/>
    <w:rsid w:val="00972297"/>
    <w:rsid w:val="009730AA"/>
    <w:rsid w:val="00973F8F"/>
    <w:rsid w:val="00975B7C"/>
    <w:rsid w:val="00976962"/>
    <w:rsid w:val="0097730A"/>
    <w:rsid w:val="00980079"/>
    <w:rsid w:val="00980289"/>
    <w:rsid w:val="00980458"/>
    <w:rsid w:val="00982616"/>
    <w:rsid w:val="009830DD"/>
    <w:rsid w:val="00983D6A"/>
    <w:rsid w:val="00984D6A"/>
    <w:rsid w:val="00984E81"/>
    <w:rsid w:val="00985181"/>
    <w:rsid w:val="00985D3F"/>
    <w:rsid w:val="00986552"/>
    <w:rsid w:val="00986DA7"/>
    <w:rsid w:val="00990AD5"/>
    <w:rsid w:val="00991554"/>
    <w:rsid w:val="00992242"/>
    <w:rsid w:val="00992849"/>
    <w:rsid w:val="00992EE6"/>
    <w:rsid w:val="009933C2"/>
    <w:rsid w:val="0099353A"/>
    <w:rsid w:val="00993CCC"/>
    <w:rsid w:val="00993FB1"/>
    <w:rsid w:val="0099410D"/>
    <w:rsid w:val="0099482E"/>
    <w:rsid w:val="00994999"/>
    <w:rsid w:val="00994C55"/>
    <w:rsid w:val="009950F2"/>
    <w:rsid w:val="00996132"/>
    <w:rsid w:val="009A1093"/>
    <w:rsid w:val="009A1222"/>
    <w:rsid w:val="009A2B70"/>
    <w:rsid w:val="009A2E15"/>
    <w:rsid w:val="009A325F"/>
    <w:rsid w:val="009A4912"/>
    <w:rsid w:val="009A6563"/>
    <w:rsid w:val="009B17D0"/>
    <w:rsid w:val="009B17E2"/>
    <w:rsid w:val="009B2BBC"/>
    <w:rsid w:val="009B2E50"/>
    <w:rsid w:val="009B31A1"/>
    <w:rsid w:val="009B31B0"/>
    <w:rsid w:val="009B3949"/>
    <w:rsid w:val="009B425E"/>
    <w:rsid w:val="009B430E"/>
    <w:rsid w:val="009B59F7"/>
    <w:rsid w:val="009B5F80"/>
    <w:rsid w:val="009B65F4"/>
    <w:rsid w:val="009B7666"/>
    <w:rsid w:val="009B7F42"/>
    <w:rsid w:val="009C0849"/>
    <w:rsid w:val="009C1B02"/>
    <w:rsid w:val="009C284A"/>
    <w:rsid w:val="009C2936"/>
    <w:rsid w:val="009C300E"/>
    <w:rsid w:val="009C318C"/>
    <w:rsid w:val="009C4731"/>
    <w:rsid w:val="009C5579"/>
    <w:rsid w:val="009C569E"/>
    <w:rsid w:val="009C57B3"/>
    <w:rsid w:val="009C5A82"/>
    <w:rsid w:val="009C62F0"/>
    <w:rsid w:val="009C6F67"/>
    <w:rsid w:val="009C75EF"/>
    <w:rsid w:val="009C7A10"/>
    <w:rsid w:val="009D0C60"/>
    <w:rsid w:val="009D0FCE"/>
    <w:rsid w:val="009D12CB"/>
    <w:rsid w:val="009D1D81"/>
    <w:rsid w:val="009D1E11"/>
    <w:rsid w:val="009D42E2"/>
    <w:rsid w:val="009D727A"/>
    <w:rsid w:val="009E1015"/>
    <w:rsid w:val="009F098F"/>
    <w:rsid w:val="009F0B56"/>
    <w:rsid w:val="009F0B71"/>
    <w:rsid w:val="009F3D20"/>
    <w:rsid w:val="009F4710"/>
    <w:rsid w:val="009F5CCD"/>
    <w:rsid w:val="009F6097"/>
    <w:rsid w:val="009F74C2"/>
    <w:rsid w:val="00A00D68"/>
    <w:rsid w:val="00A00E40"/>
    <w:rsid w:val="00A01003"/>
    <w:rsid w:val="00A010B3"/>
    <w:rsid w:val="00A027A0"/>
    <w:rsid w:val="00A02ADC"/>
    <w:rsid w:val="00A02F59"/>
    <w:rsid w:val="00A0322A"/>
    <w:rsid w:val="00A035F2"/>
    <w:rsid w:val="00A036B2"/>
    <w:rsid w:val="00A0375E"/>
    <w:rsid w:val="00A03BE4"/>
    <w:rsid w:val="00A03CED"/>
    <w:rsid w:val="00A04B30"/>
    <w:rsid w:val="00A04B95"/>
    <w:rsid w:val="00A04FB7"/>
    <w:rsid w:val="00A06A5C"/>
    <w:rsid w:val="00A06E4D"/>
    <w:rsid w:val="00A117B3"/>
    <w:rsid w:val="00A11884"/>
    <w:rsid w:val="00A12331"/>
    <w:rsid w:val="00A127A9"/>
    <w:rsid w:val="00A13818"/>
    <w:rsid w:val="00A13CF6"/>
    <w:rsid w:val="00A150FE"/>
    <w:rsid w:val="00A16138"/>
    <w:rsid w:val="00A162D9"/>
    <w:rsid w:val="00A1799E"/>
    <w:rsid w:val="00A20C05"/>
    <w:rsid w:val="00A233DB"/>
    <w:rsid w:val="00A25ED3"/>
    <w:rsid w:val="00A26DB5"/>
    <w:rsid w:val="00A270AF"/>
    <w:rsid w:val="00A27AB8"/>
    <w:rsid w:val="00A30900"/>
    <w:rsid w:val="00A30EEB"/>
    <w:rsid w:val="00A32064"/>
    <w:rsid w:val="00A333E0"/>
    <w:rsid w:val="00A3361D"/>
    <w:rsid w:val="00A336F3"/>
    <w:rsid w:val="00A343F3"/>
    <w:rsid w:val="00A351DE"/>
    <w:rsid w:val="00A36764"/>
    <w:rsid w:val="00A36898"/>
    <w:rsid w:val="00A379FC"/>
    <w:rsid w:val="00A40601"/>
    <w:rsid w:val="00A40714"/>
    <w:rsid w:val="00A40E86"/>
    <w:rsid w:val="00A42AB2"/>
    <w:rsid w:val="00A42DB8"/>
    <w:rsid w:val="00A4328A"/>
    <w:rsid w:val="00A45611"/>
    <w:rsid w:val="00A46489"/>
    <w:rsid w:val="00A46F81"/>
    <w:rsid w:val="00A47F84"/>
    <w:rsid w:val="00A5101E"/>
    <w:rsid w:val="00A53038"/>
    <w:rsid w:val="00A536FF"/>
    <w:rsid w:val="00A54725"/>
    <w:rsid w:val="00A561A9"/>
    <w:rsid w:val="00A57072"/>
    <w:rsid w:val="00A604EC"/>
    <w:rsid w:val="00A609DB"/>
    <w:rsid w:val="00A61838"/>
    <w:rsid w:val="00A6432C"/>
    <w:rsid w:val="00A65F3E"/>
    <w:rsid w:val="00A66DA1"/>
    <w:rsid w:val="00A674C3"/>
    <w:rsid w:val="00A676D6"/>
    <w:rsid w:val="00A678DC"/>
    <w:rsid w:val="00A70B56"/>
    <w:rsid w:val="00A71DEB"/>
    <w:rsid w:val="00A71E2F"/>
    <w:rsid w:val="00A722CF"/>
    <w:rsid w:val="00A743E8"/>
    <w:rsid w:val="00A74790"/>
    <w:rsid w:val="00A7551E"/>
    <w:rsid w:val="00A76589"/>
    <w:rsid w:val="00A77F88"/>
    <w:rsid w:val="00A81150"/>
    <w:rsid w:val="00A81968"/>
    <w:rsid w:val="00A81EC1"/>
    <w:rsid w:val="00A82385"/>
    <w:rsid w:val="00A854C8"/>
    <w:rsid w:val="00A85F8F"/>
    <w:rsid w:val="00A86833"/>
    <w:rsid w:val="00A86B98"/>
    <w:rsid w:val="00A86DFE"/>
    <w:rsid w:val="00A900D8"/>
    <w:rsid w:val="00A90900"/>
    <w:rsid w:val="00A9097B"/>
    <w:rsid w:val="00A9107F"/>
    <w:rsid w:val="00A91A76"/>
    <w:rsid w:val="00A91B6A"/>
    <w:rsid w:val="00A93EF5"/>
    <w:rsid w:val="00A94891"/>
    <w:rsid w:val="00A94B57"/>
    <w:rsid w:val="00A956FC"/>
    <w:rsid w:val="00A964E3"/>
    <w:rsid w:val="00A977EA"/>
    <w:rsid w:val="00AA09C3"/>
    <w:rsid w:val="00AA0E06"/>
    <w:rsid w:val="00AA11D7"/>
    <w:rsid w:val="00AA2014"/>
    <w:rsid w:val="00AA31A0"/>
    <w:rsid w:val="00AA4EE5"/>
    <w:rsid w:val="00AA6185"/>
    <w:rsid w:val="00AA786C"/>
    <w:rsid w:val="00AB0E39"/>
    <w:rsid w:val="00AB1344"/>
    <w:rsid w:val="00AB15BC"/>
    <w:rsid w:val="00AB3883"/>
    <w:rsid w:val="00AB42AB"/>
    <w:rsid w:val="00AB432E"/>
    <w:rsid w:val="00AB55E1"/>
    <w:rsid w:val="00AB5B5B"/>
    <w:rsid w:val="00AB6B40"/>
    <w:rsid w:val="00AB6E02"/>
    <w:rsid w:val="00AB7664"/>
    <w:rsid w:val="00AB7FCF"/>
    <w:rsid w:val="00AC0FB8"/>
    <w:rsid w:val="00AC0FD4"/>
    <w:rsid w:val="00AC139E"/>
    <w:rsid w:val="00AC1E22"/>
    <w:rsid w:val="00AC2148"/>
    <w:rsid w:val="00AC3267"/>
    <w:rsid w:val="00AC3A0F"/>
    <w:rsid w:val="00AC3D6B"/>
    <w:rsid w:val="00AC42C7"/>
    <w:rsid w:val="00AC4D66"/>
    <w:rsid w:val="00AC5DC3"/>
    <w:rsid w:val="00AC711E"/>
    <w:rsid w:val="00AC75F8"/>
    <w:rsid w:val="00AC7A39"/>
    <w:rsid w:val="00AD08AE"/>
    <w:rsid w:val="00AD10A8"/>
    <w:rsid w:val="00AD356F"/>
    <w:rsid w:val="00AD3FEB"/>
    <w:rsid w:val="00AD415E"/>
    <w:rsid w:val="00AD47DA"/>
    <w:rsid w:val="00AD5033"/>
    <w:rsid w:val="00AD5199"/>
    <w:rsid w:val="00AD5D1A"/>
    <w:rsid w:val="00AD5DB4"/>
    <w:rsid w:val="00AD6CC9"/>
    <w:rsid w:val="00AE1992"/>
    <w:rsid w:val="00AE1C7C"/>
    <w:rsid w:val="00AE1F54"/>
    <w:rsid w:val="00AE47D7"/>
    <w:rsid w:val="00AE63A5"/>
    <w:rsid w:val="00AE68BE"/>
    <w:rsid w:val="00AE7E46"/>
    <w:rsid w:val="00AF0091"/>
    <w:rsid w:val="00AF0434"/>
    <w:rsid w:val="00AF0DD2"/>
    <w:rsid w:val="00AF13C8"/>
    <w:rsid w:val="00AF352B"/>
    <w:rsid w:val="00AF3E4D"/>
    <w:rsid w:val="00AF4DFE"/>
    <w:rsid w:val="00AF531C"/>
    <w:rsid w:val="00AF61E2"/>
    <w:rsid w:val="00AF65AA"/>
    <w:rsid w:val="00AF6DED"/>
    <w:rsid w:val="00AF6E4E"/>
    <w:rsid w:val="00AF7D11"/>
    <w:rsid w:val="00AF7DB6"/>
    <w:rsid w:val="00B01188"/>
    <w:rsid w:val="00B0183F"/>
    <w:rsid w:val="00B01B81"/>
    <w:rsid w:val="00B049A1"/>
    <w:rsid w:val="00B06042"/>
    <w:rsid w:val="00B06047"/>
    <w:rsid w:val="00B07FBB"/>
    <w:rsid w:val="00B1084E"/>
    <w:rsid w:val="00B1172E"/>
    <w:rsid w:val="00B11C19"/>
    <w:rsid w:val="00B12404"/>
    <w:rsid w:val="00B1571A"/>
    <w:rsid w:val="00B168D2"/>
    <w:rsid w:val="00B201FA"/>
    <w:rsid w:val="00B21302"/>
    <w:rsid w:val="00B21399"/>
    <w:rsid w:val="00B21EFD"/>
    <w:rsid w:val="00B21F53"/>
    <w:rsid w:val="00B22250"/>
    <w:rsid w:val="00B22317"/>
    <w:rsid w:val="00B23501"/>
    <w:rsid w:val="00B236FE"/>
    <w:rsid w:val="00B24F54"/>
    <w:rsid w:val="00B25440"/>
    <w:rsid w:val="00B31924"/>
    <w:rsid w:val="00B334F5"/>
    <w:rsid w:val="00B336F4"/>
    <w:rsid w:val="00B35A8D"/>
    <w:rsid w:val="00B3668C"/>
    <w:rsid w:val="00B36F3E"/>
    <w:rsid w:val="00B37D7E"/>
    <w:rsid w:val="00B43789"/>
    <w:rsid w:val="00B44E3A"/>
    <w:rsid w:val="00B45D4D"/>
    <w:rsid w:val="00B474C3"/>
    <w:rsid w:val="00B474CA"/>
    <w:rsid w:val="00B479EE"/>
    <w:rsid w:val="00B47C59"/>
    <w:rsid w:val="00B47E18"/>
    <w:rsid w:val="00B50D52"/>
    <w:rsid w:val="00B5181D"/>
    <w:rsid w:val="00B51F86"/>
    <w:rsid w:val="00B520AF"/>
    <w:rsid w:val="00B5449B"/>
    <w:rsid w:val="00B559DB"/>
    <w:rsid w:val="00B573A1"/>
    <w:rsid w:val="00B57D6F"/>
    <w:rsid w:val="00B60179"/>
    <w:rsid w:val="00B60F91"/>
    <w:rsid w:val="00B61181"/>
    <w:rsid w:val="00B61A9A"/>
    <w:rsid w:val="00B62400"/>
    <w:rsid w:val="00B631EF"/>
    <w:rsid w:val="00B63D1C"/>
    <w:rsid w:val="00B654A2"/>
    <w:rsid w:val="00B7000B"/>
    <w:rsid w:val="00B702BD"/>
    <w:rsid w:val="00B71155"/>
    <w:rsid w:val="00B74628"/>
    <w:rsid w:val="00B74E82"/>
    <w:rsid w:val="00B7538A"/>
    <w:rsid w:val="00B75B62"/>
    <w:rsid w:val="00B75B95"/>
    <w:rsid w:val="00B76CBB"/>
    <w:rsid w:val="00B814D0"/>
    <w:rsid w:val="00B81FEC"/>
    <w:rsid w:val="00B82804"/>
    <w:rsid w:val="00B83C62"/>
    <w:rsid w:val="00B8448A"/>
    <w:rsid w:val="00B84D1F"/>
    <w:rsid w:val="00B84D50"/>
    <w:rsid w:val="00B84EF1"/>
    <w:rsid w:val="00B85FCF"/>
    <w:rsid w:val="00B87C8E"/>
    <w:rsid w:val="00B87E8E"/>
    <w:rsid w:val="00B90112"/>
    <w:rsid w:val="00B9079A"/>
    <w:rsid w:val="00B911B0"/>
    <w:rsid w:val="00B91936"/>
    <w:rsid w:val="00B92C89"/>
    <w:rsid w:val="00B93B8D"/>
    <w:rsid w:val="00B948AE"/>
    <w:rsid w:val="00B95A05"/>
    <w:rsid w:val="00B962BB"/>
    <w:rsid w:val="00B96AF8"/>
    <w:rsid w:val="00B97BBD"/>
    <w:rsid w:val="00BA0EC7"/>
    <w:rsid w:val="00BA1249"/>
    <w:rsid w:val="00BA1B21"/>
    <w:rsid w:val="00BA544C"/>
    <w:rsid w:val="00BA677D"/>
    <w:rsid w:val="00BB0642"/>
    <w:rsid w:val="00BB08F0"/>
    <w:rsid w:val="00BB1E5D"/>
    <w:rsid w:val="00BB224E"/>
    <w:rsid w:val="00BB3E6A"/>
    <w:rsid w:val="00BB534B"/>
    <w:rsid w:val="00BB5A17"/>
    <w:rsid w:val="00BB5DBF"/>
    <w:rsid w:val="00BB6692"/>
    <w:rsid w:val="00BB6D64"/>
    <w:rsid w:val="00BB71FA"/>
    <w:rsid w:val="00BC04A0"/>
    <w:rsid w:val="00BC0E82"/>
    <w:rsid w:val="00BC1040"/>
    <w:rsid w:val="00BC4647"/>
    <w:rsid w:val="00BC4ACA"/>
    <w:rsid w:val="00BC50BA"/>
    <w:rsid w:val="00BC6CAF"/>
    <w:rsid w:val="00BC7BC0"/>
    <w:rsid w:val="00BD0BC3"/>
    <w:rsid w:val="00BD0F99"/>
    <w:rsid w:val="00BD1D1F"/>
    <w:rsid w:val="00BD3F18"/>
    <w:rsid w:val="00BD44AA"/>
    <w:rsid w:val="00BD472F"/>
    <w:rsid w:val="00BD5350"/>
    <w:rsid w:val="00BD6333"/>
    <w:rsid w:val="00BD781F"/>
    <w:rsid w:val="00BE00B8"/>
    <w:rsid w:val="00BE139F"/>
    <w:rsid w:val="00BE15B4"/>
    <w:rsid w:val="00BE3251"/>
    <w:rsid w:val="00BE3B13"/>
    <w:rsid w:val="00BE4377"/>
    <w:rsid w:val="00BE45E9"/>
    <w:rsid w:val="00BE55EE"/>
    <w:rsid w:val="00BE579D"/>
    <w:rsid w:val="00BE68A2"/>
    <w:rsid w:val="00BE7315"/>
    <w:rsid w:val="00BE7D66"/>
    <w:rsid w:val="00BF0212"/>
    <w:rsid w:val="00BF0367"/>
    <w:rsid w:val="00BF0C74"/>
    <w:rsid w:val="00BF151F"/>
    <w:rsid w:val="00BF1908"/>
    <w:rsid w:val="00BF2380"/>
    <w:rsid w:val="00BF3FEC"/>
    <w:rsid w:val="00BF5B17"/>
    <w:rsid w:val="00BF60A8"/>
    <w:rsid w:val="00BF65EE"/>
    <w:rsid w:val="00C00CF2"/>
    <w:rsid w:val="00C02CE7"/>
    <w:rsid w:val="00C03BD6"/>
    <w:rsid w:val="00C03C9F"/>
    <w:rsid w:val="00C03E7A"/>
    <w:rsid w:val="00C04195"/>
    <w:rsid w:val="00C04DAD"/>
    <w:rsid w:val="00C06723"/>
    <w:rsid w:val="00C11C81"/>
    <w:rsid w:val="00C12A7A"/>
    <w:rsid w:val="00C13884"/>
    <w:rsid w:val="00C138F0"/>
    <w:rsid w:val="00C13FFE"/>
    <w:rsid w:val="00C142BA"/>
    <w:rsid w:val="00C15ACF"/>
    <w:rsid w:val="00C15CC0"/>
    <w:rsid w:val="00C1727C"/>
    <w:rsid w:val="00C20836"/>
    <w:rsid w:val="00C20CEE"/>
    <w:rsid w:val="00C234D0"/>
    <w:rsid w:val="00C237FF"/>
    <w:rsid w:val="00C2584F"/>
    <w:rsid w:val="00C26472"/>
    <w:rsid w:val="00C26ADE"/>
    <w:rsid w:val="00C26B27"/>
    <w:rsid w:val="00C276EB"/>
    <w:rsid w:val="00C277FD"/>
    <w:rsid w:val="00C303B6"/>
    <w:rsid w:val="00C310AB"/>
    <w:rsid w:val="00C32C82"/>
    <w:rsid w:val="00C32F8A"/>
    <w:rsid w:val="00C33A0F"/>
    <w:rsid w:val="00C3599D"/>
    <w:rsid w:val="00C35D1D"/>
    <w:rsid w:val="00C36933"/>
    <w:rsid w:val="00C36C89"/>
    <w:rsid w:val="00C3772D"/>
    <w:rsid w:val="00C37886"/>
    <w:rsid w:val="00C37B99"/>
    <w:rsid w:val="00C37C15"/>
    <w:rsid w:val="00C4024B"/>
    <w:rsid w:val="00C40F63"/>
    <w:rsid w:val="00C42901"/>
    <w:rsid w:val="00C44C8B"/>
    <w:rsid w:val="00C46AC6"/>
    <w:rsid w:val="00C477CC"/>
    <w:rsid w:val="00C47FF3"/>
    <w:rsid w:val="00C50073"/>
    <w:rsid w:val="00C5040B"/>
    <w:rsid w:val="00C50EF6"/>
    <w:rsid w:val="00C5349B"/>
    <w:rsid w:val="00C54803"/>
    <w:rsid w:val="00C55B88"/>
    <w:rsid w:val="00C57721"/>
    <w:rsid w:val="00C60317"/>
    <w:rsid w:val="00C607D1"/>
    <w:rsid w:val="00C60D17"/>
    <w:rsid w:val="00C613B1"/>
    <w:rsid w:val="00C617D8"/>
    <w:rsid w:val="00C62E97"/>
    <w:rsid w:val="00C63896"/>
    <w:rsid w:val="00C64CC4"/>
    <w:rsid w:val="00C65554"/>
    <w:rsid w:val="00C6624D"/>
    <w:rsid w:val="00C66684"/>
    <w:rsid w:val="00C6751B"/>
    <w:rsid w:val="00C679F7"/>
    <w:rsid w:val="00C702CA"/>
    <w:rsid w:val="00C7069A"/>
    <w:rsid w:val="00C71B3C"/>
    <w:rsid w:val="00C727B6"/>
    <w:rsid w:val="00C732E5"/>
    <w:rsid w:val="00C74997"/>
    <w:rsid w:val="00C75036"/>
    <w:rsid w:val="00C80173"/>
    <w:rsid w:val="00C808AF"/>
    <w:rsid w:val="00C808CA"/>
    <w:rsid w:val="00C81DC3"/>
    <w:rsid w:val="00C8202D"/>
    <w:rsid w:val="00C82B66"/>
    <w:rsid w:val="00C8592C"/>
    <w:rsid w:val="00C872DA"/>
    <w:rsid w:val="00C922A5"/>
    <w:rsid w:val="00C924DF"/>
    <w:rsid w:val="00C94B0F"/>
    <w:rsid w:val="00C9675E"/>
    <w:rsid w:val="00C97053"/>
    <w:rsid w:val="00C97FB2"/>
    <w:rsid w:val="00CA0051"/>
    <w:rsid w:val="00CA02BA"/>
    <w:rsid w:val="00CA1573"/>
    <w:rsid w:val="00CA2421"/>
    <w:rsid w:val="00CA2B9E"/>
    <w:rsid w:val="00CA2F26"/>
    <w:rsid w:val="00CA6388"/>
    <w:rsid w:val="00CA7821"/>
    <w:rsid w:val="00CA7BDB"/>
    <w:rsid w:val="00CB08F6"/>
    <w:rsid w:val="00CB125A"/>
    <w:rsid w:val="00CB1357"/>
    <w:rsid w:val="00CB1AFF"/>
    <w:rsid w:val="00CB22DE"/>
    <w:rsid w:val="00CB4F89"/>
    <w:rsid w:val="00CB6649"/>
    <w:rsid w:val="00CB6A65"/>
    <w:rsid w:val="00CB6D08"/>
    <w:rsid w:val="00CC0363"/>
    <w:rsid w:val="00CC0DC4"/>
    <w:rsid w:val="00CC12CD"/>
    <w:rsid w:val="00CC28BC"/>
    <w:rsid w:val="00CC2FF5"/>
    <w:rsid w:val="00CC3D92"/>
    <w:rsid w:val="00CC4B2E"/>
    <w:rsid w:val="00CC5B55"/>
    <w:rsid w:val="00CC6FDE"/>
    <w:rsid w:val="00CC7786"/>
    <w:rsid w:val="00CC7C59"/>
    <w:rsid w:val="00CD179A"/>
    <w:rsid w:val="00CD186E"/>
    <w:rsid w:val="00CD1D93"/>
    <w:rsid w:val="00CD54C7"/>
    <w:rsid w:val="00CD7EC1"/>
    <w:rsid w:val="00CE42A2"/>
    <w:rsid w:val="00CE48BD"/>
    <w:rsid w:val="00CE53DC"/>
    <w:rsid w:val="00CE79AC"/>
    <w:rsid w:val="00CE7D1B"/>
    <w:rsid w:val="00CF07FD"/>
    <w:rsid w:val="00CF08CA"/>
    <w:rsid w:val="00CF0D1A"/>
    <w:rsid w:val="00CF0D4D"/>
    <w:rsid w:val="00CF1E5E"/>
    <w:rsid w:val="00CF24A7"/>
    <w:rsid w:val="00CF2899"/>
    <w:rsid w:val="00CF57D3"/>
    <w:rsid w:val="00CF5D11"/>
    <w:rsid w:val="00CF6093"/>
    <w:rsid w:val="00CF62B9"/>
    <w:rsid w:val="00CF6939"/>
    <w:rsid w:val="00CF75ED"/>
    <w:rsid w:val="00CF7C5E"/>
    <w:rsid w:val="00D01D35"/>
    <w:rsid w:val="00D0206F"/>
    <w:rsid w:val="00D04279"/>
    <w:rsid w:val="00D0598C"/>
    <w:rsid w:val="00D07145"/>
    <w:rsid w:val="00D1045E"/>
    <w:rsid w:val="00D13352"/>
    <w:rsid w:val="00D143CC"/>
    <w:rsid w:val="00D14828"/>
    <w:rsid w:val="00D14F81"/>
    <w:rsid w:val="00D15068"/>
    <w:rsid w:val="00D16904"/>
    <w:rsid w:val="00D17133"/>
    <w:rsid w:val="00D17640"/>
    <w:rsid w:val="00D17EA9"/>
    <w:rsid w:val="00D21AC8"/>
    <w:rsid w:val="00D21D86"/>
    <w:rsid w:val="00D22E0C"/>
    <w:rsid w:val="00D22E55"/>
    <w:rsid w:val="00D22ED8"/>
    <w:rsid w:val="00D232BF"/>
    <w:rsid w:val="00D24903"/>
    <w:rsid w:val="00D24B59"/>
    <w:rsid w:val="00D2528E"/>
    <w:rsid w:val="00D25C73"/>
    <w:rsid w:val="00D25EBE"/>
    <w:rsid w:val="00D25F95"/>
    <w:rsid w:val="00D3028B"/>
    <w:rsid w:val="00D30AB1"/>
    <w:rsid w:val="00D32045"/>
    <w:rsid w:val="00D32766"/>
    <w:rsid w:val="00D329B2"/>
    <w:rsid w:val="00D32EA5"/>
    <w:rsid w:val="00D33274"/>
    <w:rsid w:val="00D366E4"/>
    <w:rsid w:val="00D41AEE"/>
    <w:rsid w:val="00D43E0B"/>
    <w:rsid w:val="00D4411F"/>
    <w:rsid w:val="00D44345"/>
    <w:rsid w:val="00D462A8"/>
    <w:rsid w:val="00D468CF"/>
    <w:rsid w:val="00D469F8"/>
    <w:rsid w:val="00D47733"/>
    <w:rsid w:val="00D5430D"/>
    <w:rsid w:val="00D54397"/>
    <w:rsid w:val="00D54C32"/>
    <w:rsid w:val="00D54F22"/>
    <w:rsid w:val="00D55149"/>
    <w:rsid w:val="00D55663"/>
    <w:rsid w:val="00D55A48"/>
    <w:rsid w:val="00D55B7C"/>
    <w:rsid w:val="00D57150"/>
    <w:rsid w:val="00D576D8"/>
    <w:rsid w:val="00D57B55"/>
    <w:rsid w:val="00D605CB"/>
    <w:rsid w:val="00D6073B"/>
    <w:rsid w:val="00D60D7C"/>
    <w:rsid w:val="00D611FC"/>
    <w:rsid w:val="00D6261D"/>
    <w:rsid w:val="00D6307F"/>
    <w:rsid w:val="00D657B7"/>
    <w:rsid w:val="00D65AE3"/>
    <w:rsid w:val="00D70359"/>
    <w:rsid w:val="00D705CF"/>
    <w:rsid w:val="00D715A0"/>
    <w:rsid w:val="00D71DD3"/>
    <w:rsid w:val="00D72695"/>
    <w:rsid w:val="00D738A2"/>
    <w:rsid w:val="00D73D52"/>
    <w:rsid w:val="00D7429F"/>
    <w:rsid w:val="00D7448B"/>
    <w:rsid w:val="00D7762B"/>
    <w:rsid w:val="00D8046E"/>
    <w:rsid w:val="00D814B9"/>
    <w:rsid w:val="00D82749"/>
    <w:rsid w:val="00D83352"/>
    <w:rsid w:val="00D84743"/>
    <w:rsid w:val="00D851AB"/>
    <w:rsid w:val="00D866B5"/>
    <w:rsid w:val="00D869F3"/>
    <w:rsid w:val="00D91E75"/>
    <w:rsid w:val="00D938CD"/>
    <w:rsid w:val="00D94EB5"/>
    <w:rsid w:val="00D9541F"/>
    <w:rsid w:val="00D96835"/>
    <w:rsid w:val="00DA010D"/>
    <w:rsid w:val="00DA1CB3"/>
    <w:rsid w:val="00DA1EFD"/>
    <w:rsid w:val="00DA2173"/>
    <w:rsid w:val="00DA3175"/>
    <w:rsid w:val="00DA443F"/>
    <w:rsid w:val="00DA6F55"/>
    <w:rsid w:val="00DA748B"/>
    <w:rsid w:val="00DB00ED"/>
    <w:rsid w:val="00DB196F"/>
    <w:rsid w:val="00DB1CE2"/>
    <w:rsid w:val="00DB1D8A"/>
    <w:rsid w:val="00DB2860"/>
    <w:rsid w:val="00DB4465"/>
    <w:rsid w:val="00DB551A"/>
    <w:rsid w:val="00DB6949"/>
    <w:rsid w:val="00DB7B06"/>
    <w:rsid w:val="00DC0B6E"/>
    <w:rsid w:val="00DC133C"/>
    <w:rsid w:val="00DC197A"/>
    <w:rsid w:val="00DC1C2D"/>
    <w:rsid w:val="00DC1D2E"/>
    <w:rsid w:val="00DC1DC6"/>
    <w:rsid w:val="00DC508C"/>
    <w:rsid w:val="00DC61D8"/>
    <w:rsid w:val="00DC64F2"/>
    <w:rsid w:val="00DC70DC"/>
    <w:rsid w:val="00DC722F"/>
    <w:rsid w:val="00DD0ADC"/>
    <w:rsid w:val="00DD15BD"/>
    <w:rsid w:val="00DD1CFC"/>
    <w:rsid w:val="00DD239D"/>
    <w:rsid w:val="00DD400A"/>
    <w:rsid w:val="00DD4726"/>
    <w:rsid w:val="00DD5820"/>
    <w:rsid w:val="00DD718E"/>
    <w:rsid w:val="00DE0966"/>
    <w:rsid w:val="00DE0BA4"/>
    <w:rsid w:val="00DE1749"/>
    <w:rsid w:val="00DE247C"/>
    <w:rsid w:val="00DE32FB"/>
    <w:rsid w:val="00DE3C8B"/>
    <w:rsid w:val="00DE49C9"/>
    <w:rsid w:val="00DE4F84"/>
    <w:rsid w:val="00DE6584"/>
    <w:rsid w:val="00DE6949"/>
    <w:rsid w:val="00DE69DE"/>
    <w:rsid w:val="00DE7526"/>
    <w:rsid w:val="00DF026D"/>
    <w:rsid w:val="00DF0E98"/>
    <w:rsid w:val="00DF1730"/>
    <w:rsid w:val="00DF2783"/>
    <w:rsid w:val="00DF2FA2"/>
    <w:rsid w:val="00DF35D9"/>
    <w:rsid w:val="00DF46A5"/>
    <w:rsid w:val="00DF46BE"/>
    <w:rsid w:val="00DF4B13"/>
    <w:rsid w:val="00DF51C3"/>
    <w:rsid w:val="00DF6295"/>
    <w:rsid w:val="00DF7F68"/>
    <w:rsid w:val="00E021D4"/>
    <w:rsid w:val="00E03484"/>
    <w:rsid w:val="00E03D6E"/>
    <w:rsid w:val="00E03F03"/>
    <w:rsid w:val="00E03F95"/>
    <w:rsid w:val="00E04C3B"/>
    <w:rsid w:val="00E065E1"/>
    <w:rsid w:val="00E06AAF"/>
    <w:rsid w:val="00E06ECD"/>
    <w:rsid w:val="00E07211"/>
    <w:rsid w:val="00E07272"/>
    <w:rsid w:val="00E07B57"/>
    <w:rsid w:val="00E10005"/>
    <w:rsid w:val="00E1082B"/>
    <w:rsid w:val="00E10A29"/>
    <w:rsid w:val="00E10FE6"/>
    <w:rsid w:val="00E120E2"/>
    <w:rsid w:val="00E12742"/>
    <w:rsid w:val="00E13D64"/>
    <w:rsid w:val="00E17150"/>
    <w:rsid w:val="00E17846"/>
    <w:rsid w:val="00E2076B"/>
    <w:rsid w:val="00E2117F"/>
    <w:rsid w:val="00E224F1"/>
    <w:rsid w:val="00E226DC"/>
    <w:rsid w:val="00E23617"/>
    <w:rsid w:val="00E23DC5"/>
    <w:rsid w:val="00E24087"/>
    <w:rsid w:val="00E255D0"/>
    <w:rsid w:val="00E25742"/>
    <w:rsid w:val="00E2578F"/>
    <w:rsid w:val="00E25907"/>
    <w:rsid w:val="00E2619C"/>
    <w:rsid w:val="00E26456"/>
    <w:rsid w:val="00E26782"/>
    <w:rsid w:val="00E274B1"/>
    <w:rsid w:val="00E27684"/>
    <w:rsid w:val="00E3064B"/>
    <w:rsid w:val="00E34308"/>
    <w:rsid w:val="00E35417"/>
    <w:rsid w:val="00E35833"/>
    <w:rsid w:val="00E41A39"/>
    <w:rsid w:val="00E424B0"/>
    <w:rsid w:val="00E4277E"/>
    <w:rsid w:val="00E4371D"/>
    <w:rsid w:val="00E44A69"/>
    <w:rsid w:val="00E44A80"/>
    <w:rsid w:val="00E45BE9"/>
    <w:rsid w:val="00E46500"/>
    <w:rsid w:val="00E474DD"/>
    <w:rsid w:val="00E4790F"/>
    <w:rsid w:val="00E505EB"/>
    <w:rsid w:val="00E51712"/>
    <w:rsid w:val="00E51F25"/>
    <w:rsid w:val="00E51FC8"/>
    <w:rsid w:val="00E51FD4"/>
    <w:rsid w:val="00E53C7C"/>
    <w:rsid w:val="00E53D58"/>
    <w:rsid w:val="00E5491D"/>
    <w:rsid w:val="00E554FC"/>
    <w:rsid w:val="00E55753"/>
    <w:rsid w:val="00E55AB1"/>
    <w:rsid w:val="00E60093"/>
    <w:rsid w:val="00E60A38"/>
    <w:rsid w:val="00E6123B"/>
    <w:rsid w:val="00E63400"/>
    <w:rsid w:val="00E6370D"/>
    <w:rsid w:val="00E64B7F"/>
    <w:rsid w:val="00E65C95"/>
    <w:rsid w:val="00E663CB"/>
    <w:rsid w:val="00E67635"/>
    <w:rsid w:val="00E67E95"/>
    <w:rsid w:val="00E726A1"/>
    <w:rsid w:val="00E73485"/>
    <w:rsid w:val="00E736D4"/>
    <w:rsid w:val="00E748D0"/>
    <w:rsid w:val="00E75D87"/>
    <w:rsid w:val="00E774D8"/>
    <w:rsid w:val="00E77D42"/>
    <w:rsid w:val="00E80371"/>
    <w:rsid w:val="00E80C5A"/>
    <w:rsid w:val="00E81819"/>
    <w:rsid w:val="00E82744"/>
    <w:rsid w:val="00E82B06"/>
    <w:rsid w:val="00E83109"/>
    <w:rsid w:val="00E835E5"/>
    <w:rsid w:val="00E8394B"/>
    <w:rsid w:val="00E85027"/>
    <w:rsid w:val="00E873C1"/>
    <w:rsid w:val="00E9037D"/>
    <w:rsid w:val="00E90531"/>
    <w:rsid w:val="00E910A6"/>
    <w:rsid w:val="00E921D9"/>
    <w:rsid w:val="00E92D0E"/>
    <w:rsid w:val="00E941BB"/>
    <w:rsid w:val="00E9554D"/>
    <w:rsid w:val="00E963F7"/>
    <w:rsid w:val="00E97A46"/>
    <w:rsid w:val="00E97C1D"/>
    <w:rsid w:val="00EA1ADF"/>
    <w:rsid w:val="00EA23E0"/>
    <w:rsid w:val="00EA25F6"/>
    <w:rsid w:val="00EA2EE4"/>
    <w:rsid w:val="00EA56FD"/>
    <w:rsid w:val="00EA57F9"/>
    <w:rsid w:val="00EA632F"/>
    <w:rsid w:val="00EA6A31"/>
    <w:rsid w:val="00EA75B6"/>
    <w:rsid w:val="00EA77F2"/>
    <w:rsid w:val="00EB0597"/>
    <w:rsid w:val="00EB08E3"/>
    <w:rsid w:val="00EB09AE"/>
    <w:rsid w:val="00EB0A21"/>
    <w:rsid w:val="00EB0D32"/>
    <w:rsid w:val="00EB1B34"/>
    <w:rsid w:val="00EB32F1"/>
    <w:rsid w:val="00EB4E4E"/>
    <w:rsid w:val="00EB6542"/>
    <w:rsid w:val="00EB6B33"/>
    <w:rsid w:val="00EB6FE2"/>
    <w:rsid w:val="00EB73D5"/>
    <w:rsid w:val="00EB7C03"/>
    <w:rsid w:val="00EB7EE8"/>
    <w:rsid w:val="00EC0547"/>
    <w:rsid w:val="00EC1713"/>
    <w:rsid w:val="00EC2A8C"/>
    <w:rsid w:val="00EC2BA7"/>
    <w:rsid w:val="00EC3381"/>
    <w:rsid w:val="00EC40FA"/>
    <w:rsid w:val="00EC4156"/>
    <w:rsid w:val="00EC50E1"/>
    <w:rsid w:val="00EC7D7D"/>
    <w:rsid w:val="00ED0154"/>
    <w:rsid w:val="00ED0415"/>
    <w:rsid w:val="00ED3D42"/>
    <w:rsid w:val="00ED4113"/>
    <w:rsid w:val="00ED4B2A"/>
    <w:rsid w:val="00ED5133"/>
    <w:rsid w:val="00ED6C78"/>
    <w:rsid w:val="00EE17D6"/>
    <w:rsid w:val="00EE3E6B"/>
    <w:rsid w:val="00EE4E74"/>
    <w:rsid w:val="00EE562A"/>
    <w:rsid w:val="00EE5710"/>
    <w:rsid w:val="00EF0602"/>
    <w:rsid w:val="00EF1196"/>
    <w:rsid w:val="00EF5781"/>
    <w:rsid w:val="00EF6CFB"/>
    <w:rsid w:val="00EF6F2C"/>
    <w:rsid w:val="00EF6F3D"/>
    <w:rsid w:val="00EF746B"/>
    <w:rsid w:val="00EF7766"/>
    <w:rsid w:val="00EF7FA5"/>
    <w:rsid w:val="00F004D9"/>
    <w:rsid w:val="00F00B5A"/>
    <w:rsid w:val="00F012BD"/>
    <w:rsid w:val="00F012EC"/>
    <w:rsid w:val="00F01D79"/>
    <w:rsid w:val="00F03EA8"/>
    <w:rsid w:val="00F0565C"/>
    <w:rsid w:val="00F062D6"/>
    <w:rsid w:val="00F06944"/>
    <w:rsid w:val="00F07423"/>
    <w:rsid w:val="00F07EE9"/>
    <w:rsid w:val="00F10000"/>
    <w:rsid w:val="00F11091"/>
    <w:rsid w:val="00F11490"/>
    <w:rsid w:val="00F13EE5"/>
    <w:rsid w:val="00F15BD3"/>
    <w:rsid w:val="00F17644"/>
    <w:rsid w:val="00F17F1A"/>
    <w:rsid w:val="00F20989"/>
    <w:rsid w:val="00F219ED"/>
    <w:rsid w:val="00F22E8D"/>
    <w:rsid w:val="00F23941"/>
    <w:rsid w:val="00F24CFA"/>
    <w:rsid w:val="00F2525F"/>
    <w:rsid w:val="00F25ABF"/>
    <w:rsid w:val="00F263A7"/>
    <w:rsid w:val="00F267E8"/>
    <w:rsid w:val="00F27CA5"/>
    <w:rsid w:val="00F27D24"/>
    <w:rsid w:val="00F309EF"/>
    <w:rsid w:val="00F34488"/>
    <w:rsid w:val="00F3624F"/>
    <w:rsid w:val="00F373B7"/>
    <w:rsid w:val="00F404CB"/>
    <w:rsid w:val="00F40538"/>
    <w:rsid w:val="00F40545"/>
    <w:rsid w:val="00F419AD"/>
    <w:rsid w:val="00F41D48"/>
    <w:rsid w:val="00F42A25"/>
    <w:rsid w:val="00F437E3"/>
    <w:rsid w:val="00F44260"/>
    <w:rsid w:val="00F44F18"/>
    <w:rsid w:val="00F45041"/>
    <w:rsid w:val="00F46D6E"/>
    <w:rsid w:val="00F4717B"/>
    <w:rsid w:val="00F47A5E"/>
    <w:rsid w:val="00F52382"/>
    <w:rsid w:val="00F558DA"/>
    <w:rsid w:val="00F56101"/>
    <w:rsid w:val="00F56340"/>
    <w:rsid w:val="00F60624"/>
    <w:rsid w:val="00F609C7"/>
    <w:rsid w:val="00F60B02"/>
    <w:rsid w:val="00F60BF5"/>
    <w:rsid w:val="00F60C28"/>
    <w:rsid w:val="00F61589"/>
    <w:rsid w:val="00F61984"/>
    <w:rsid w:val="00F61F21"/>
    <w:rsid w:val="00F6273C"/>
    <w:rsid w:val="00F629B9"/>
    <w:rsid w:val="00F63253"/>
    <w:rsid w:val="00F64210"/>
    <w:rsid w:val="00F65021"/>
    <w:rsid w:val="00F66047"/>
    <w:rsid w:val="00F661E9"/>
    <w:rsid w:val="00F6705B"/>
    <w:rsid w:val="00F70A28"/>
    <w:rsid w:val="00F70B79"/>
    <w:rsid w:val="00F70E72"/>
    <w:rsid w:val="00F72088"/>
    <w:rsid w:val="00F741F5"/>
    <w:rsid w:val="00F75DB9"/>
    <w:rsid w:val="00F77C23"/>
    <w:rsid w:val="00F803E4"/>
    <w:rsid w:val="00F80A28"/>
    <w:rsid w:val="00F81421"/>
    <w:rsid w:val="00F81C1C"/>
    <w:rsid w:val="00F81FE1"/>
    <w:rsid w:val="00F82037"/>
    <w:rsid w:val="00F820E0"/>
    <w:rsid w:val="00F8348A"/>
    <w:rsid w:val="00F83ACB"/>
    <w:rsid w:val="00F84193"/>
    <w:rsid w:val="00F85613"/>
    <w:rsid w:val="00F85AF2"/>
    <w:rsid w:val="00F863FE"/>
    <w:rsid w:val="00F903B1"/>
    <w:rsid w:val="00F904AE"/>
    <w:rsid w:val="00F9097C"/>
    <w:rsid w:val="00F93531"/>
    <w:rsid w:val="00F93C83"/>
    <w:rsid w:val="00F945B9"/>
    <w:rsid w:val="00F9615A"/>
    <w:rsid w:val="00FA0E19"/>
    <w:rsid w:val="00FA1369"/>
    <w:rsid w:val="00FA1C9E"/>
    <w:rsid w:val="00FA3EA6"/>
    <w:rsid w:val="00FA50A5"/>
    <w:rsid w:val="00FA6E8A"/>
    <w:rsid w:val="00FA7DB7"/>
    <w:rsid w:val="00FB1ECD"/>
    <w:rsid w:val="00FB3CF7"/>
    <w:rsid w:val="00FB3D7D"/>
    <w:rsid w:val="00FB4B2A"/>
    <w:rsid w:val="00FB5CA1"/>
    <w:rsid w:val="00FB5FA0"/>
    <w:rsid w:val="00FB6155"/>
    <w:rsid w:val="00FB6EEA"/>
    <w:rsid w:val="00FB7058"/>
    <w:rsid w:val="00FB70E8"/>
    <w:rsid w:val="00FB7823"/>
    <w:rsid w:val="00FC0216"/>
    <w:rsid w:val="00FC02A0"/>
    <w:rsid w:val="00FC03A2"/>
    <w:rsid w:val="00FC1B2C"/>
    <w:rsid w:val="00FC1C38"/>
    <w:rsid w:val="00FC46BC"/>
    <w:rsid w:val="00FC657E"/>
    <w:rsid w:val="00FC6A2F"/>
    <w:rsid w:val="00FC7186"/>
    <w:rsid w:val="00FC7CAE"/>
    <w:rsid w:val="00FD0591"/>
    <w:rsid w:val="00FD0E30"/>
    <w:rsid w:val="00FD2A66"/>
    <w:rsid w:val="00FD3112"/>
    <w:rsid w:val="00FD39D8"/>
    <w:rsid w:val="00FD40CB"/>
    <w:rsid w:val="00FD466D"/>
    <w:rsid w:val="00FD4DBC"/>
    <w:rsid w:val="00FD4F51"/>
    <w:rsid w:val="00FD5B17"/>
    <w:rsid w:val="00FD61CB"/>
    <w:rsid w:val="00FD665F"/>
    <w:rsid w:val="00FD666A"/>
    <w:rsid w:val="00FD79D1"/>
    <w:rsid w:val="00FD7AD2"/>
    <w:rsid w:val="00FE012E"/>
    <w:rsid w:val="00FE11F4"/>
    <w:rsid w:val="00FE63C1"/>
    <w:rsid w:val="00FE657A"/>
    <w:rsid w:val="00FE6E26"/>
    <w:rsid w:val="00FE72B3"/>
    <w:rsid w:val="00FE7A8C"/>
    <w:rsid w:val="00FF08E0"/>
    <w:rsid w:val="00FF0E74"/>
    <w:rsid w:val="00FF2553"/>
    <w:rsid w:val="00FF68E5"/>
    <w:rsid w:val="00FF70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5234F5A6-85E1-46D6-B217-CE2D4146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A84"/>
    <w:rPr>
      <w:sz w:val="24"/>
      <w:szCs w:val="24"/>
      <w:lang w:val="en-US" w:eastAsia="en-US"/>
    </w:rPr>
  </w:style>
  <w:style w:type="paragraph" w:styleId="Heading1">
    <w:name w:val="heading 1"/>
    <w:basedOn w:val="Normal"/>
    <w:next w:val="Normal"/>
    <w:qFormat/>
    <w:rsid w:val="00B962BB"/>
    <w:pPr>
      <w:keepNext/>
      <w:spacing w:line="480" w:lineRule="auto"/>
      <w:jc w:val="center"/>
      <w:outlineLvl w:val="0"/>
    </w:pPr>
    <w:rPr>
      <w:u w:val="single"/>
    </w:rPr>
  </w:style>
  <w:style w:type="paragraph" w:styleId="Heading2">
    <w:name w:val="heading 2"/>
    <w:basedOn w:val="Normal"/>
    <w:next w:val="Normal"/>
    <w:qFormat/>
    <w:rsid w:val="00B962BB"/>
    <w:pPr>
      <w:keepNext/>
      <w:spacing w:line="480" w:lineRule="auto"/>
      <w:jc w:val="center"/>
      <w:outlineLvl w:val="1"/>
    </w:pPr>
    <w:rPr>
      <w:i/>
      <w:i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B962BB"/>
    <w:pPr>
      <w:spacing w:after="120"/>
      <w:ind w:left="360"/>
    </w:pPr>
  </w:style>
  <w:style w:type="paragraph" w:styleId="Header">
    <w:name w:val="header"/>
    <w:basedOn w:val="Normal"/>
    <w:rsid w:val="0057007F"/>
    <w:pPr>
      <w:tabs>
        <w:tab w:val="center" w:pos="4320"/>
        <w:tab w:val="right" w:pos="8640"/>
      </w:tabs>
    </w:pPr>
  </w:style>
  <w:style w:type="paragraph" w:styleId="Footer">
    <w:name w:val="footer"/>
    <w:basedOn w:val="Normal"/>
    <w:rsid w:val="0057007F"/>
    <w:pPr>
      <w:tabs>
        <w:tab w:val="center" w:pos="4320"/>
        <w:tab w:val="right" w:pos="8640"/>
      </w:tabs>
    </w:pPr>
  </w:style>
  <w:style w:type="character" w:styleId="PageNumber">
    <w:name w:val="page number"/>
    <w:basedOn w:val="DefaultParagraphFont"/>
    <w:rsid w:val="0057007F"/>
  </w:style>
  <w:style w:type="character" w:styleId="CommentReference">
    <w:name w:val="annotation reference"/>
    <w:semiHidden/>
    <w:rsid w:val="008721E5"/>
    <w:rPr>
      <w:sz w:val="16"/>
      <w:szCs w:val="16"/>
    </w:rPr>
  </w:style>
  <w:style w:type="paragraph" w:styleId="CommentText">
    <w:name w:val="annotation text"/>
    <w:basedOn w:val="Normal"/>
    <w:semiHidden/>
    <w:rsid w:val="008721E5"/>
    <w:rPr>
      <w:sz w:val="20"/>
      <w:szCs w:val="20"/>
    </w:rPr>
  </w:style>
  <w:style w:type="paragraph" w:styleId="CommentSubject">
    <w:name w:val="annotation subject"/>
    <w:basedOn w:val="CommentText"/>
    <w:next w:val="CommentText"/>
    <w:semiHidden/>
    <w:rsid w:val="008721E5"/>
    <w:rPr>
      <w:b/>
      <w:bCs/>
    </w:rPr>
  </w:style>
  <w:style w:type="paragraph" w:styleId="BalloonText">
    <w:name w:val="Balloon Text"/>
    <w:basedOn w:val="Normal"/>
    <w:semiHidden/>
    <w:rsid w:val="008721E5"/>
    <w:rPr>
      <w:rFonts w:ascii="Tahoma" w:hAnsi="Tahoma" w:cs="Tahoma"/>
      <w:sz w:val="16"/>
      <w:szCs w:val="16"/>
    </w:rPr>
  </w:style>
  <w:style w:type="character" w:styleId="Hyperlink">
    <w:name w:val="Hyperlink"/>
    <w:rsid w:val="00F13EE5"/>
    <w:rPr>
      <w:color w:val="0000FF"/>
      <w:u w:val="single"/>
    </w:rPr>
  </w:style>
  <w:style w:type="character" w:customStyle="1" w:styleId="copyright1">
    <w:name w:val="copyright1"/>
    <w:rsid w:val="00DF35D9"/>
    <w:rPr>
      <w:rFonts w:ascii="Verdana" w:hAnsi="Verdana" w:hint="default"/>
      <w:color w:val="666666"/>
      <w:sz w:val="14"/>
      <w:szCs w:val="14"/>
    </w:rPr>
  </w:style>
  <w:style w:type="paragraph" w:styleId="NormalWeb">
    <w:name w:val="Normal (Web)"/>
    <w:basedOn w:val="Normal"/>
    <w:rsid w:val="00241C8D"/>
    <w:pPr>
      <w:spacing w:before="100" w:beforeAutospacing="1" w:after="100" w:afterAutospacing="1"/>
    </w:pPr>
  </w:style>
  <w:style w:type="character" w:customStyle="1" w:styleId="body">
    <w:name w:val="body"/>
    <w:basedOn w:val="DefaultParagraphFont"/>
    <w:rsid w:val="003C4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62946">
      <w:bodyDiv w:val="1"/>
      <w:marLeft w:val="0"/>
      <w:marRight w:val="0"/>
      <w:marTop w:val="0"/>
      <w:marBottom w:val="0"/>
      <w:divBdr>
        <w:top w:val="none" w:sz="0" w:space="0" w:color="auto"/>
        <w:left w:val="none" w:sz="0" w:space="0" w:color="auto"/>
        <w:bottom w:val="none" w:sz="0" w:space="0" w:color="auto"/>
        <w:right w:val="none" w:sz="0" w:space="0" w:color="auto"/>
      </w:divBdr>
      <w:divsChild>
        <w:div w:id="235602264">
          <w:marLeft w:val="0"/>
          <w:marRight w:val="0"/>
          <w:marTop w:val="0"/>
          <w:marBottom w:val="0"/>
          <w:divBdr>
            <w:top w:val="none" w:sz="0" w:space="0" w:color="auto"/>
            <w:left w:val="none" w:sz="0" w:space="0" w:color="auto"/>
            <w:bottom w:val="none" w:sz="0" w:space="0" w:color="auto"/>
            <w:right w:val="none" w:sz="0" w:space="0" w:color="auto"/>
          </w:divBdr>
          <w:divsChild>
            <w:div w:id="2134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7654">
      <w:bodyDiv w:val="1"/>
      <w:marLeft w:val="0"/>
      <w:marRight w:val="0"/>
      <w:marTop w:val="0"/>
      <w:marBottom w:val="0"/>
      <w:divBdr>
        <w:top w:val="none" w:sz="0" w:space="0" w:color="auto"/>
        <w:left w:val="none" w:sz="0" w:space="0" w:color="auto"/>
        <w:bottom w:val="none" w:sz="0" w:space="0" w:color="auto"/>
        <w:right w:val="none" w:sz="0" w:space="0" w:color="auto"/>
      </w:divBdr>
      <w:divsChild>
        <w:div w:id="1399326030">
          <w:marLeft w:val="0"/>
          <w:marRight w:val="0"/>
          <w:marTop w:val="0"/>
          <w:marBottom w:val="0"/>
          <w:divBdr>
            <w:top w:val="none" w:sz="0" w:space="0" w:color="auto"/>
            <w:left w:val="none" w:sz="0" w:space="0" w:color="auto"/>
            <w:bottom w:val="none" w:sz="0" w:space="0" w:color="auto"/>
            <w:right w:val="none" w:sz="0" w:space="0" w:color="auto"/>
          </w:divBdr>
        </w:div>
      </w:divsChild>
    </w:div>
    <w:div w:id="558367797">
      <w:bodyDiv w:val="1"/>
      <w:marLeft w:val="0"/>
      <w:marRight w:val="0"/>
      <w:marTop w:val="0"/>
      <w:marBottom w:val="0"/>
      <w:divBdr>
        <w:top w:val="none" w:sz="0" w:space="0" w:color="auto"/>
        <w:left w:val="none" w:sz="0" w:space="0" w:color="auto"/>
        <w:bottom w:val="none" w:sz="0" w:space="0" w:color="auto"/>
        <w:right w:val="none" w:sz="0" w:space="0" w:color="auto"/>
      </w:divBdr>
    </w:div>
    <w:div w:id="773398025">
      <w:bodyDiv w:val="1"/>
      <w:marLeft w:val="0"/>
      <w:marRight w:val="0"/>
      <w:marTop w:val="0"/>
      <w:marBottom w:val="0"/>
      <w:divBdr>
        <w:top w:val="none" w:sz="0" w:space="0" w:color="auto"/>
        <w:left w:val="none" w:sz="0" w:space="0" w:color="auto"/>
        <w:bottom w:val="none" w:sz="0" w:space="0" w:color="auto"/>
        <w:right w:val="none" w:sz="0" w:space="0" w:color="auto"/>
      </w:divBdr>
    </w:div>
    <w:div w:id="1038776120">
      <w:bodyDiv w:val="1"/>
      <w:marLeft w:val="0"/>
      <w:marRight w:val="0"/>
      <w:marTop w:val="0"/>
      <w:marBottom w:val="0"/>
      <w:divBdr>
        <w:top w:val="none" w:sz="0" w:space="0" w:color="auto"/>
        <w:left w:val="none" w:sz="0" w:space="0" w:color="auto"/>
        <w:bottom w:val="none" w:sz="0" w:space="0" w:color="auto"/>
        <w:right w:val="none" w:sz="0" w:space="0" w:color="auto"/>
      </w:divBdr>
    </w:div>
    <w:div w:id="1242179076">
      <w:bodyDiv w:val="1"/>
      <w:marLeft w:val="0"/>
      <w:marRight w:val="0"/>
      <w:marTop w:val="0"/>
      <w:marBottom w:val="0"/>
      <w:divBdr>
        <w:top w:val="none" w:sz="0" w:space="0" w:color="auto"/>
        <w:left w:val="none" w:sz="0" w:space="0" w:color="auto"/>
        <w:bottom w:val="none" w:sz="0" w:space="0" w:color="auto"/>
        <w:right w:val="none" w:sz="0" w:space="0" w:color="auto"/>
      </w:divBdr>
    </w:div>
    <w:div w:id="1273319136">
      <w:bodyDiv w:val="1"/>
      <w:marLeft w:val="0"/>
      <w:marRight w:val="0"/>
      <w:marTop w:val="0"/>
      <w:marBottom w:val="0"/>
      <w:divBdr>
        <w:top w:val="none" w:sz="0" w:space="0" w:color="auto"/>
        <w:left w:val="none" w:sz="0" w:space="0" w:color="auto"/>
        <w:bottom w:val="none" w:sz="0" w:space="0" w:color="auto"/>
        <w:right w:val="none" w:sz="0" w:space="0" w:color="auto"/>
      </w:divBdr>
      <w:divsChild>
        <w:div w:id="581380698">
          <w:marLeft w:val="0"/>
          <w:marRight w:val="0"/>
          <w:marTop w:val="0"/>
          <w:marBottom w:val="0"/>
          <w:divBdr>
            <w:top w:val="none" w:sz="0" w:space="0" w:color="auto"/>
            <w:left w:val="none" w:sz="0" w:space="0" w:color="auto"/>
            <w:bottom w:val="none" w:sz="0" w:space="0" w:color="auto"/>
            <w:right w:val="none" w:sz="0" w:space="0" w:color="auto"/>
          </w:divBdr>
        </w:div>
      </w:divsChild>
    </w:div>
    <w:div w:id="1313102734">
      <w:bodyDiv w:val="1"/>
      <w:marLeft w:val="0"/>
      <w:marRight w:val="0"/>
      <w:marTop w:val="0"/>
      <w:marBottom w:val="0"/>
      <w:divBdr>
        <w:top w:val="none" w:sz="0" w:space="0" w:color="auto"/>
        <w:left w:val="none" w:sz="0" w:space="0" w:color="auto"/>
        <w:bottom w:val="none" w:sz="0" w:space="0" w:color="auto"/>
        <w:right w:val="none" w:sz="0" w:space="0" w:color="auto"/>
      </w:divBdr>
    </w:div>
    <w:div w:id="1452744373">
      <w:bodyDiv w:val="1"/>
      <w:marLeft w:val="0"/>
      <w:marRight w:val="0"/>
      <w:marTop w:val="0"/>
      <w:marBottom w:val="0"/>
      <w:divBdr>
        <w:top w:val="none" w:sz="0" w:space="0" w:color="auto"/>
        <w:left w:val="none" w:sz="0" w:space="0" w:color="auto"/>
        <w:bottom w:val="none" w:sz="0" w:space="0" w:color="auto"/>
        <w:right w:val="none" w:sz="0" w:space="0" w:color="auto"/>
      </w:divBdr>
      <w:divsChild>
        <w:div w:id="1431660343">
          <w:marLeft w:val="0"/>
          <w:marRight w:val="0"/>
          <w:marTop w:val="0"/>
          <w:marBottom w:val="0"/>
          <w:divBdr>
            <w:top w:val="none" w:sz="0" w:space="0" w:color="auto"/>
            <w:left w:val="none" w:sz="0" w:space="0" w:color="auto"/>
            <w:bottom w:val="none" w:sz="0" w:space="0" w:color="auto"/>
            <w:right w:val="none" w:sz="0" w:space="0" w:color="auto"/>
          </w:divBdr>
          <w:divsChild>
            <w:div w:id="17314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6168">
      <w:bodyDiv w:val="1"/>
      <w:marLeft w:val="0"/>
      <w:marRight w:val="0"/>
      <w:marTop w:val="0"/>
      <w:marBottom w:val="0"/>
      <w:divBdr>
        <w:top w:val="none" w:sz="0" w:space="0" w:color="auto"/>
        <w:left w:val="none" w:sz="0" w:space="0" w:color="auto"/>
        <w:bottom w:val="none" w:sz="0" w:space="0" w:color="auto"/>
        <w:right w:val="none" w:sz="0" w:space="0" w:color="auto"/>
      </w:divBdr>
    </w:div>
    <w:div w:id="1619023800">
      <w:bodyDiv w:val="1"/>
      <w:marLeft w:val="0"/>
      <w:marRight w:val="0"/>
      <w:marTop w:val="0"/>
      <w:marBottom w:val="0"/>
      <w:divBdr>
        <w:top w:val="none" w:sz="0" w:space="0" w:color="auto"/>
        <w:left w:val="none" w:sz="0" w:space="0" w:color="auto"/>
        <w:bottom w:val="none" w:sz="0" w:space="0" w:color="auto"/>
        <w:right w:val="none" w:sz="0" w:space="0" w:color="auto"/>
      </w:divBdr>
      <w:divsChild>
        <w:div w:id="1436485725">
          <w:marLeft w:val="0"/>
          <w:marRight w:val="0"/>
          <w:marTop w:val="0"/>
          <w:marBottom w:val="0"/>
          <w:divBdr>
            <w:top w:val="none" w:sz="0" w:space="0" w:color="auto"/>
            <w:left w:val="none" w:sz="0" w:space="0" w:color="auto"/>
            <w:bottom w:val="none" w:sz="0" w:space="0" w:color="auto"/>
            <w:right w:val="none" w:sz="0" w:space="0" w:color="auto"/>
          </w:divBdr>
          <w:divsChild>
            <w:div w:id="444345852">
              <w:marLeft w:val="0"/>
              <w:marRight w:val="0"/>
              <w:marTop w:val="0"/>
              <w:marBottom w:val="0"/>
              <w:divBdr>
                <w:top w:val="none" w:sz="0" w:space="0" w:color="auto"/>
                <w:left w:val="none" w:sz="0" w:space="0" w:color="auto"/>
                <w:bottom w:val="none" w:sz="0" w:space="0" w:color="auto"/>
                <w:right w:val="none" w:sz="0" w:space="0" w:color="auto"/>
              </w:divBdr>
            </w:div>
            <w:div w:id="950430419">
              <w:marLeft w:val="0"/>
              <w:marRight w:val="0"/>
              <w:marTop w:val="0"/>
              <w:marBottom w:val="0"/>
              <w:divBdr>
                <w:top w:val="none" w:sz="0" w:space="0" w:color="auto"/>
                <w:left w:val="none" w:sz="0" w:space="0" w:color="auto"/>
                <w:bottom w:val="none" w:sz="0" w:space="0" w:color="auto"/>
                <w:right w:val="none" w:sz="0" w:space="0" w:color="auto"/>
              </w:divBdr>
            </w:div>
            <w:div w:id="10912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16109">
      <w:bodyDiv w:val="1"/>
      <w:marLeft w:val="0"/>
      <w:marRight w:val="0"/>
      <w:marTop w:val="0"/>
      <w:marBottom w:val="0"/>
      <w:divBdr>
        <w:top w:val="none" w:sz="0" w:space="0" w:color="auto"/>
        <w:left w:val="none" w:sz="0" w:space="0" w:color="auto"/>
        <w:bottom w:val="none" w:sz="0" w:space="0" w:color="auto"/>
        <w:right w:val="none" w:sz="0" w:space="0" w:color="auto"/>
      </w:divBdr>
      <w:divsChild>
        <w:div w:id="1419252650">
          <w:marLeft w:val="0"/>
          <w:marRight w:val="0"/>
          <w:marTop w:val="0"/>
          <w:marBottom w:val="0"/>
          <w:divBdr>
            <w:top w:val="none" w:sz="0" w:space="0" w:color="auto"/>
            <w:left w:val="none" w:sz="0" w:space="0" w:color="auto"/>
            <w:bottom w:val="none" w:sz="0" w:space="0" w:color="auto"/>
            <w:right w:val="none" w:sz="0" w:space="0" w:color="auto"/>
          </w:divBdr>
          <w:divsChild>
            <w:div w:id="1821343568">
              <w:marLeft w:val="0"/>
              <w:marRight w:val="0"/>
              <w:marTop w:val="0"/>
              <w:marBottom w:val="0"/>
              <w:divBdr>
                <w:top w:val="none" w:sz="0" w:space="0" w:color="auto"/>
                <w:left w:val="none" w:sz="0" w:space="0" w:color="auto"/>
                <w:bottom w:val="none" w:sz="0" w:space="0" w:color="auto"/>
                <w:right w:val="none" w:sz="0" w:space="0" w:color="auto"/>
              </w:divBdr>
            </w:div>
            <w:div w:id="20710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6063">
      <w:bodyDiv w:val="1"/>
      <w:marLeft w:val="0"/>
      <w:marRight w:val="0"/>
      <w:marTop w:val="0"/>
      <w:marBottom w:val="0"/>
      <w:divBdr>
        <w:top w:val="none" w:sz="0" w:space="0" w:color="auto"/>
        <w:left w:val="none" w:sz="0" w:space="0" w:color="auto"/>
        <w:bottom w:val="none" w:sz="0" w:space="0" w:color="auto"/>
        <w:right w:val="none" w:sz="0" w:space="0" w:color="auto"/>
      </w:divBdr>
      <w:divsChild>
        <w:div w:id="129326973">
          <w:marLeft w:val="0"/>
          <w:marRight w:val="0"/>
          <w:marTop w:val="0"/>
          <w:marBottom w:val="0"/>
          <w:divBdr>
            <w:top w:val="none" w:sz="0" w:space="0" w:color="auto"/>
            <w:left w:val="none" w:sz="0" w:space="0" w:color="auto"/>
            <w:bottom w:val="none" w:sz="0" w:space="0" w:color="auto"/>
            <w:right w:val="none" w:sz="0" w:space="0" w:color="auto"/>
          </w:divBdr>
        </w:div>
      </w:divsChild>
    </w:div>
    <w:div w:id="1725448018">
      <w:bodyDiv w:val="1"/>
      <w:marLeft w:val="0"/>
      <w:marRight w:val="0"/>
      <w:marTop w:val="0"/>
      <w:marBottom w:val="0"/>
      <w:divBdr>
        <w:top w:val="none" w:sz="0" w:space="0" w:color="auto"/>
        <w:left w:val="none" w:sz="0" w:space="0" w:color="auto"/>
        <w:bottom w:val="none" w:sz="0" w:space="0" w:color="auto"/>
        <w:right w:val="none" w:sz="0" w:space="0" w:color="auto"/>
      </w:divBdr>
    </w:div>
    <w:div w:id="1811436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7197">
          <w:marLeft w:val="0"/>
          <w:marRight w:val="0"/>
          <w:marTop w:val="0"/>
          <w:marBottom w:val="0"/>
          <w:divBdr>
            <w:top w:val="none" w:sz="0" w:space="0" w:color="auto"/>
            <w:left w:val="none" w:sz="0" w:space="0" w:color="auto"/>
            <w:bottom w:val="none" w:sz="0" w:space="0" w:color="auto"/>
            <w:right w:val="none" w:sz="0" w:space="0" w:color="auto"/>
          </w:divBdr>
        </w:div>
      </w:divsChild>
    </w:div>
    <w:div w:id="1949506254">
      <w:bodyDiv w:val="1"/>
      <w:marLeft w:val="0"/>
      <w:marRight w:val="0"/>
      <w:marTop w:val="0"/>
      <w:marBottom w:val="0"/>
      <w:divBdr>
        <w:top w:val="none" w:sz="0" w:space="0" w:color="auto"/>
        <w:left w:val="none" w:sz="0" w:space="0" w:color="auto"/>
        <w:bottom w:val="none" w:sz="0" w:space="0" w:color="auto"/>
        <w:right w:val="none" w:sz="0" w:space="0" w:color="auto"/>
      </w:divBdr>
      <w:divsChild>
        <w:div w:id="564487585">
          <w:marLeft w:val="0"/>
          <w:marRight w:val="0"/>
          <w:marTop w:val="0"/>
          <w:marBottom w:val="0"/>
          <w:divBdr>
            <w:top w:val="none" w:sz="0" w:space="0" w:color="auto"/>
            <w:left w:val="none" w:sz="0" w:space="0" w:color="auto"/>
            <w:bottom w:val="none" w:sz="0" w:space="0" w:color="auto"/>
            <w:right w:val="none" w:sz="0" w:space="0" w:color="auto"/>
          </w:divBdr>
        </w:div>
      </w:divsChild>
    </w:div>
    <w:div w:id="2028094689">
      <w:bodyDiv w:val="1"/>
      <w:marLeft w:val="0"/>
      <w:marRight w:val="0"/>
      <w:marTop w:val="0"/>
      <w:marBottom w:val="0"/>
      <w:divBdr>
        <w:top w:val="none" w:sz="0" w:space="0" w:color="auto"/>
        <w:left w:val="none" w:sz="0" w:space="0" w:color="auto"/>
        <w:bottom w:val="none" w:sz="0" w:space="0" w:color="auto"/>
        <w:right w:val="none" w:sz="0" w:space="0" w:color="auto"/>
      </w:divBdr>
    </w:div>
    <w:div w:id="2072997946">
      <w:bodyDiv w:val="1"/>
      <w:marLeft w:val="0"/>
      <w:marRight w:val="0"/>
      <w:marTop w:val="0"/>
      <w:marBottom w:val="0"/>
      <w:divBdr>
        <w:top w:val="none" w:sz="0" w:space="0" w:color="auto"/>
        <w:left w:val="none" w:sz="0" w:space="0" w:color="auto"/>
        <w:bottom w:val="none" w:sz="0" w:space="0" w:color="auto"/>
        <w:right w:val="none" w:sz="0" w:space="0" w:color="auto"/>
      </w:divBdr>
      <w:divsChild>
        <w:div w:id="1846901698">
          <w:marLeft w:val="0"/>
          <w:marRight w:val="0"/>
          <w:marTop w:val="0"/>
          <w:marBottom w:val="0"/>
          <w:divBdr>
            <w:top w:val="none" w:sz="0" w:space="0" w:color="auto"/>
            <w:left w:val="none" w:sz="0" w:space="0" w:color="auto"/>
            <w:bottom w:val="none" w:sz="0" w:space="0" w:color="auto"/>
            <w:right w:val="none" w:sz="0" w:space="0" w:color="auto"/>
          </w:divBdr>
          <w:divsChild>
            <w:div w:id="911085649">
              <w:marLeft w:val="0"/>
              <w:marRight w:val="0"/>
              <w:marTop w:val="0"/>
              <w:marBottom w:val="0"/>
              <w:divBdr>
                <w:top w:val="none" w:sz="0" w:space="0" w:color="auto"/>
                <w:left w:val="none" w:sz="0" w:space="0" w:color="auto"/>
                <w:bottom w:val="none" w:sz="0" w:space="0" w:color="auto"/>
                <w:right w:val="none" w:sz="0" w:space="0" w:color="auto"/>
              </w:divBdr>
              <w:divsChild>
                <w:div w:id="1370716040">
                  <w:marLeft w:val="0"/>
                  <w:marRight w:val="0"/>
                  <w:marTop w:val="0"/>
                  <w:marBottom w:val="0"/>
                  <w:divBdr>
                    <w:top w:val="none" w:sz="0" w:space="0" w:color="auto"/>
                    <w:left w:val="none" w:sz="0" w:space="0" w:color="auto"/>
                    <w:bottom w:val="none" w:sz="0" w:space="0" w:color="auto"/>
                    <w:right w:val="none" w:sz="0" w:space="0" w:color="auto"/>
                  </w:divBdr>
                  <w:divsChild>
                    <w:div w:id="4576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70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n.wikipedia.org/wiki/Gull"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4rrs@queensu.ca"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111E68CFFFD74BA8E577ADE28F8FF9" ma:contentTypeVersion="0" ma:contentTypeDescription="Create a new document." ma:contentTypeScope="" ma:versionID="f541bd08920b2523a130e092aaa8ad7a">
  <xsd:schema xmlns:xsd="http://www.w3.org/2001/XMLSchema" xmlns:xs="http://www.w3.org/2001/XMLSchema" xmlns:p="http://schemas.microsoft.com/office/2006/metadata/properties" targetNamespace="http://schemas.microsoft.com/office/2006/metadata/properties" ma:root="true" ma:fieldsID="8d45faad56b392810e4f7b3040e86c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CB23E-1A0B-421B-B616-F1C35273AFD2}">
  <ds:schemaRefs>
    <ds:schemaRef ds:uri="http://schemas.microsoft.com/sharepoint/v3/contenttype/forms"/>
  </ds:schemaRefs>
</ds:datastoreItem>
</file>

<file path=customXml/itemProps2.xml><?xml version="1.0" encoding="utf-8"?>
<ds:datastoreItem xmlns:ds="http://schemas.openxmlformats.org/officeDocument/2006/customXml" ds:itemID="{60E831CD-3579-4508-857A-10CCD558E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24C2EF-B480-44C1-B103-81A199F82159}">
  <ds:schemaRefs>
    <ds:schemaRef ds:uri="http://schemas.microsoft.com/office/2006/metadata/longProperties"/>
  </ds:schemaRefs>
</ds:datastoreItem>
</file>

<file path=customXml/itemProps4.xml><?xml version="1.0" encoding="utf-8"?>
<ds:datastoreItem xmlns:ds="http://schemas.openxmlformats.org/officeDocument/2006/customXml" ds:itemID="{52CBAEE0-5994-4E9F-9037-A9987E60CF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9422</Words>
  <Characters>53711</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Study 1</vt:lpstr>
    </vt:vector>
  </TitlesOfParts>
  <Company>Queens University</Company>
  <LinksUpToDate>false</LinksUpToDate>
  <CharactersWithSpaces>63007</CharactersWithSpaces>
  <SharedDoc>false</SharedDoc>
  <HLinks>
    <vt:vector size="12" baseType="variant">
      <vt:variant>
        <vt:i4>1310784</vt:i4>
      </vt:variant>
      <vt:variant>
        <vt:i4>3</vt:i4>
      </vt:variant>
      <vt:variant>
        <vt:i4>0</vt:i4>
      </vt:variant>
      <vt:variant>
        <vt:i4>5</vt:i4>
      </vt:variant>
      <vt:variant>
        <vt:lpwstr>http://en.wikipedia.org/wiki/Gull</vt:lpwstr>
      </vt:variant>
      <vt:variant>
        <vt:lpwstr/>
      </vt:variant>
      <vt:variant>
        <vt:i4>4718631</vt:i4>
      </vt:variant>
      <vt:variant>
        <vt:i4>0</vt:i4>
      </vt:variant>
      <vt:variant>
        <vt:i4>0</vt:i4>
      </vt:variant>
      <vt:variant>
        <vt:i4>5</vt:i4>
      </vt:variant>
      <vt:variant>
        <vt:lpwstr>mailto:4rrs@queensu.ca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1</dc:title>
  <dc:subject/>
  <dc:creator>JiLab</dc:creator>
  <cp:keywords/>
  <dc:description/>
  <cp:lastModifiedBy>Roy Spina</cp:lastModifiedBy>
  <cp:revision>3</cp:revision>
  <cp:lastPrinted>2009-07-16T14:04:00Z</cp:lastPrinted>
  <dcterms:created xsi:type="dcterms:W3CDTF">2017-11-29T11:04:00Z</dcterms:created>
  <dcterms:modified xsi:type="dcterms:W3CDTF">2017-11-29T11:04:00Z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