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023B3" w14:textId="65879C1A" w:rsidR="006A205A" w:rsidRPr="00E63216" w:rsidRDefault="00A42DD5" w:rsidP="007B66CA">
      <w:pPr>
        <w:spacing w:line="480" w:lineRule="auto"/>
        <w:jc w:val="both"/>
        <w:rPr>
          <w:rFonts w:cs="Times New Roman"/>
          <w:b/>
        </w:rPr>
      </w:pPr>
      <w:r w:rsidRPr="00E63216">
        <w:rPr>
          <w:rFonts w:cs="Times New Roman"/>
          <w:b/>
        </w:rPr>
        <w:t>Pattern</w:t>
      </w:r>
      <w:r w:rsidR="00F866A5" w:rsidRPr="00E63216">
        <w:rPr>
          <w:rFonts w:cs="Times New Roman"/>
          <w:b/>
        </w:rPr>
        <w:t xml:space="preserve">, Puzzle, </w:t>
      </w:r>
      <w:r w:rsidR="004F7F44">
        <w:rPr>
          <w:rFonts w:cs="Times New Roman"/>
          <w:b/>
        </w:rPr>
        <w:t xml:space="preserve">and </w:t>
      </w:r>
      <w:r w:rsidR="00F866A5" w:rsidRPr="00E63216">
        <w:rPr>
          <w:rFonts w:cs="Times New Roman"/>
          <w:b/>
        </w:rPr>
        <w:t>Peculiarity: Rhodesia’s</w:t>
      </w:r>
      <w:r w:rsidRPr="00E63216">
        <w:rPr>
          <w:rFonts w:cs="Times New Roman"/>
          <w:b/>
        </w:rPr>
        <w:t xml:space="preserve"> UDI</w:t>
      </w:r>
      <w:r w:rsidR="0094253C" w:rsidRPr="00E63216">
        <w:rPr>
          <w:rFonts w:cs="Times New Roman"/>
          <w:b/>
        </w:rPr>
        <w:t xml:space="preserve"> and </w:t>
      </w:r>
      <w:r w:rsidR="00F866A5" w:rsidRPr="00E63216">
        <w:rPr>
          <w:rFonts w:cs="Times New Roman"/>
          <w:b/>
        </w:rPr>
        <w:t xml:space="preserve">Decolonisation in Southern Africa. </w:t>
      </w:r>
    </w:p>
    <w:p w14:paraId="03164639" w14:textId="77777777" w:rsidR="007B66CA" w:rsidRDefault="007B66CA" w:rsidP="007B66CA">
      <w:pPr>
        <w:spacing w:line="480" w:lineRule="auto"/>
        <w:jc w:val="both"/>
        <w:rPr>
          <w:rFonts w:cs="Times New Roman"/>
        </w:rPr>
      </w:pPr>
    </w:p>
    <w:p w14:paraId="3948693D" w14:textId="77777777" w:rsidR="007B66CA" w:rsidRPr="00E63216" w:rsidRDefault="007B66CA" w:rsidP="007B66CA">
      <w:pPr>
        <w:spacing w:line="480" w:lineRule="auto"/>
        <w:jc w:val="both"/>
        <w:rPr>
          <w:rFonts w:cs="Times New Roman"/>
        </w:rPr>
      </w:pPr>
      <w:r w:rsidRPr="00E63216">
        <w:rPr>
          <w:rFonts w:cs="Times New Roman"/>
        </w:rPr>
        <w:t xml:space="preserve">Dr. Kate Law, K.Law@chi.ac.uk </w:t>
      </w:r>
    </w:p>
    <w:p w14:paraId="29FA1D75" w14:textId="77777777" w:rsidR="007B66CA" w:rsidRPr="00E63216" w:rsidRDefault="007B66CA" w:rsidP="007B66CA">
      <w:pPr>
        <w:spacing w:line="480" w:lineRule="auto"/>
        <w:jc w:val="both"/>
        <w:rPr>
          <w:rFonts w:cs="Times New Roman"/>
        </w:rPr>
      </w:pPr>
      <w:proofErr w:type="gramStart"/>
      <w:r w:rsidRPr="00E63216">
        <w:rPr>
          <w:rFonts w:cs="Times New Roman"/>
        </w:rPr>
        <w:t>Senior Lecturer in Modern History, University of Chichester, UK.</w:t>
      </w:r>
      <w:proofErr w:type="gramEnd"/>
    </w:p>
    <w:p w14:paraId="0890AD89" w14:textId="77777777" w:rsidR="007B66CA" w:rsidRDefault="007B66CA" w:rsidP="007B66CA">
      <w:pPr>
        <w:spacing w:line="480" w:lineRule="auto"/>
        <w:jc w:val="both"/>
        <w:rPr>
          <w:rFonts w:cs="Times New Roman"/>
          <w:i/>
        </w:rPr>
      </w:pPr>
    </w:p>
    <w:p w14:paraId="780E34E1" w14:textId="0EBEA82E" w:rsidR="009B60FF" w:rsidRPr="007B66CA" w:rsidRDefault="007B66CA" w:rsidP="007B66CA">
      <w:pPr>
        <w:spacing w:line="480" w:lineRule="auto"/>
        <w:jc w:val="both"/>
        <w:rPr>
          <w:rFonts w:cs="Times New Roman"/>
          <w:i/>
        </w:rPr>
      </w:pPr>
      <w:r>
        <w:rPr>
          <w:rFonts w:cs="Times New Roman"/>
          <w:i/>
        </w:rPr>
        <w:t xml:space="preserve">Keywords: Rhodesia, Decolonisation, African Nationalism, Southern Africa, </w:t>
      </w:r>
      <w:proofErr w:type="gramStart"/>
      <w:r>
        <w:rPr>
          <w:rFonts w:cs="Times New Roman"/>
          <w:i/>
        </w:rPr>
        <w:t>UDI</w:t>
      </w:r>
      <w:proofErr w:type="gramEnd"/>
    </w:p>
    <w:p w14:paraId="4346940C" w14:textId="77777777" w:rsidR="007B66CA" w:rsidRDefault="007B66CA" w:rsidP="007B66CA">
      <w:pPr>
        <w:spacing w:line="480" w:lineRule="auto"/>
        <w:jc w:val="both"/>
        <w:rPr>
          <w:rFonts w:cs="Times New Roman"/>
        </w:rPr>
      </w:pPr>
    </w:p>
    <w:p w14:paraId="2886D3DF" w14:textId="78D75434" w:rsidR="009733B7" w:rsidRPr="00E63216" w:rsidRDefault="006A205A" w:rsidP="007B66CA">
      <w:pPr>
        <w:spacing w:line="480" w:lineRule="auto"/>
        <w:jc w:val="both"/>
        <w:rPr>
          <w:rFonts w:cs="Times New Roman"/>
        </w:rPr>
      </w:pPr>
      <w:r w:rsidRPr="00E63216">
        <w:rPr>
          <w:rFonts w:cs="Times New Roman"/>
        </w:rPr>
        <w:t>On April</w:t>
      </w:r>
      <w:r w:rsidR="00145485">
        <w:rPr>
          <w:rFonts w:cs="Times New Roman"/>
        </w:rPr>
        <w:t xml:space="preserve"> 18,</w:t>
      </w:r>
      <w:r w:rsidRPr="00E63216">
        <w:rPr>
          <w:rFonts w:cs="Times New Roman"/>
        </w:rPr>
        <w:t xml:space="preserve"> 1980, the Union Jack was finally lowered at </w:t>
      </w:r>
      <w:r w:rsidR="00840AC7" w:rsidRPr="00E63216">
        <w:rPr>
          <w:rFonts w:cs="Times New Roman"/>
        </w:rPr>
        <w:t>G</w:t>
      </w:r>
      <w:r w:rsidRPr="00E63216">
        <w:rPr>
          <w:rFonts w:cs="Times New Roman"/>
        </w:rPr>
        <w:t xml:space="preserve">overnment </w:t>
      </w:r>
      <w:r w:rsidR="00840AC7" w:rsidRPr="00E63216">
        <w:rPr>
          <w:rFonts w:cs="Times New Roman"/>
        </w:rPr>
        <w:t>H</w:t>
      </w:r>
      <w:r w:rsidRPr="00E63216">
        <w:rPr>
          <w:rFonts w:cs="Times New Roman"/>
        </w:rPr>
        <w:t xml:space="preserve">ouse, Harare. </w:t>
      </w:r>
      <w:r w:rsidR="007E0B93" w:rsidRPr="00E63216">
        <w:rPr>
          <w:rFonts w:cs="Times New Roman"/>
        </w:rPr>
        <w:t xml:space="preserve">Presiding over this </w:t>
      </w:r>
      <w:r w:rsidRPr="00E63216">
        <w:rPr>
          <w:rFonts w:cs="Times New Roman"/>
        </w:rPr>
        <w:t xml:space="preserve">muted piece of imperial theatre, Lord Soames, </w:t>
      </w:r>
      <w:r w:rsidR="00F70FBD" w:rsidRPr="00E63216">
        <w:rPr>
          <w:rFonts w:cs="Times New Roman"/>
        </w:rPr>
        <w:t>who had been appointed interim gover</w:t>
      </w:r>
      <w:r w:rsidR="004C0AE0" w:rsidRPr="00E63216">
        <w:rPr>
          <w:rFonts w:cs="Times New Roman"/>
        </w:rPr>
        <w:t xml:space="preserve">nor </w:t>
      </w:r>
      <w:r w:rsidR="00F70FBD" w:rsidRPr="00E63216">
        <w:rPr>
          <w:rFonts w:cs="Times New Roman"/>
        </w:rPr>
        <w:t>of Rhode</w:t>
      </w:r>
      <w:r w:rsidR="00E13428" w:rsidRPr="00E63216">
        <w:rPr>
          <w:rFonts w:cs="Times New Roman"/>
        </w:rPr>
        <w:t>sia at the end of 1979,</w:t>
      </w:r>
      <w:r w:rsidR="00494B99" w:rsidRPr="00E63216">
        <w:rPr>
          <w:rFonts w:cs="Times New Roman"/>
        </w:rPr>
        <w:t xml:space="preserve"> </w:t>
      </w:r>
      <w:r w:rsidR="00E13428" w:rsidRPr="00E63216">
        <w:rPr>
          <w:rFonts w:cs="Times New Roman"/>
        </w:rPr>
        <w:t>was flanked by Prince Charles</w:t>
      </w:r>
      <w:r w:rsidR="00840AC7" w:rsidRPr="00E63216">
        <w:rPr>
          <w:rFonts w:cs="Times New Roman"/>
        </w:rPr>
        <w:t>,</w:t>
      </w:r>
      <w:r w:rsidR="00270497" w:rsidRPr="00E63216">
        <w:rPr>
          <w:rFonts w:cs="Times New Roman"/>
        </w:rPr>
        <w:t xml:space="preserve"> with both men mustering the appropriate level of solemnity that befitted the occasion.</w:t>
      </w:r>
      <w:r w:rsidR="009733B7" w:rsidRPr="00E63216">
        <w:rPr>
          <w:rStyle w:val="EndnoteReference"/>
          <w:rFonts w:cs="Times New Roman"/>
        </w:rPr>
        <w:endnoteReference w:id="1"/>
      </w:r>
      <w:r w:rsidR="009733B7" w:rsidRPr="00E63216">
        <w:rPr>
          <w:rFonts w:cs="Times New Roman"/>
        </w:rPr>
        <w:t xml:space="preserve"> Ninety years after the pioneer column had raised the </w:t>
      </w:r>
      <w:r w:rsidR="00145485">
        <w:rPr>
          <w:rFonts w:cs="Times New Roman"/>
        </w:rPr>
        <w:t>British</w:t>
      </w:r>
      <w:r w:rsidR="009733B7" w:rsidRPr="00E63216">
        <w:rPr>
          <w:rFonts w:cs="Times New Roman"/>
        </w:rPr>
        <w:t xml:space="preserve"> </w:t>
      </w:r>
      <w:r w:rsidR="00145485">
        <w:rPr>
          <w:rFonts w:cs="Times New Roman"/>
        </w:rPr>
        <w:t>f</w:t>
      </w:r>
      <w:r w:rsidR="009733B7" w:rsidRPr="00E63216">
        <w:rPr>
          <w:rFonts w:cs="Times New Roman"/>
        </w:rPr>
        <w:t>lag, its lowering in April 1980 symbolised the formal end of British control in the country</w:t>
      </w:r>
      <w:r w:rsidR="00E63216">
        <w:rPr>
          <w:rFonts w:cs="Times New Roman"/>
        </w:rPr>
        <w:t xml:space="preserve">, the </w:t>
      </w:r>
      <w:r w:rsidR="009733B7" w:rsidRPr="00E63216">
        <w:rPr>
          <w:rFonts w:cs="Times New Roman"/>
        </w:rPr>
        <w:t>birth of Zimbabwe</w:t>
      </w:r>
      <w:r w:rsidR="00E63216">
        <w:rPr>
          <w:rFonts w:cs="Times New Roman"/>
        </w:rPr>
        <w:t xml:space="preserve">, and </w:t>
      </w:r>
      <w:r w:rsidR="00E63216" w:rsidRPr="00E63216">
        <w:rPr>
          <w:rFonts w:cs="Times New Roman"/>
        </w:rPr>
        <w:t xml:space="preserve">had </w:t>
      </w:r>
      <w:r w:rsidR="009733B7" w:rsidRPr="00E63216">
        <w:rPr>
          <w:rFonts w:cs="Times New Roman"/>
        </w:rPr>
        <w:t>solved one of the most intractable episodes in the history of Britain’s decolonisation.</w:t>
      </w:r>
      <w:r w:rsidR="00E63216">
        <w:rPr>
          <w:rFonts w:cs="Times New Roman"/>
        </w:rPr>
        <w:t xml:space="preserve"> </w:t>
      </w:r>
    </w:p>
    <w:p w14:paraId="1DF55721" w14:textId="77777777" w:rsidR="009733B7" w:rsidRPr="00E63216" w:rsidRDefault="009733B7" w:rsidP="007B66CA">
      <w:pPr>
        <w:spacing w:line="480" w:lineRule="auto"/>
        <w:jc w:val="both"/>
        <w:rPr>
          <w:rFonts w:cs="Times New Roman"/>
        </w:rPr>
      </w:pPr>
    </w:p>
    <w:p w14:paraId="09A5CCBF" w14:textId="12D69BC9" w:rsidR="009733B7" w:rsidRPr="00E63216" w:rsidRDefault="009733B7" w:rsidP="007B66CA">
      <w:pPr>
        <w:spacing w:line="480" w:lineRule="auto"/>
        <w:jc w:val="both"/>
        <w:rPr>
          <w:rFonts w:cs="Times New Roman"/>
        </w:rPr>
      </w:pPr>
      <w:r w:rsidRPr="00E63216">
        <w:rPr>
          <w:rFonts w:cs="Times New Roman"/>
        </w:rPr>
        <w:t xml:space="preserve">Some twenty years earlier, </w:t>
      </w:r>
      <w:r w:rsidR="00831954" w:rsidRPr="00E63216">
        <w:rPr>
          <w:rFonts w:cs="Times New Roman"/>
        </w:rPr>
        <w:t xml:space="preserve">the British Prime Minister, </w:t>
      </w:r>
      <w:r w:rsidRPr="00E63216">
        <w:rPr>
          <w:rFonts w:cs="Times New Roman"/>
        </w:rPr>
        <w:t>Harold Macmillan</w:t>
      </w:r>
      <w:r w:rsidR="00831954" w:rsidRPr="00E63216">
        <w:rPr>
          <w:rFonts w:cs="Times New Roman"/>
        </w:rPr>
        <w:t>,</w:t>
      </w:r>
      <w:r w:rsidRPr="00E63216">
        <w:rPr>
          <w:rFonts w:cs="Times New Roman"/>
        </w:rPr>
        <w:t xml:space="preserve"> had spoken of the ‘Wind of Change’ blowing through the African continent. ‘Whether we like it or not’,</w:t>
      </w:r>
      <w:r w:rsidR="00177229">
        <w:rPr>
          <w:rFonts w:cs="Times New Roman"/>
        </w:rPr>
        <w:t xml:space="preserve"> </w:t>
      </w:r>
      <w:r w:rsidR="00BE4D8F">
        <w:rPr>
          <w:rFonts w:cs="Times New Roman"/>
        </w:rPr>
        <w:t>he</w:t>
      </w:r>
      <w:r w:rsidR="00177229">
        <w:rPr>
          <w:rFonts w:cs="Times New Roman"/>
        </w:rPr>
        <w:t xml:space="preserve"> opined</w:t>
      </w:r>
      <w:r w:rsidRPr="00E63216">
        <w:rPr>
          <w:rFonts w:cs="Times New Roman"/>
        </w:rPr>
        <w:t>, ‘this growth of national consciousness is a political fact’</w:t>
      </w:r>
      <w:r w:rsidR="00840AC7" w:rsidRPr="00E63216">
        <w:rPr>
          <w:rFonts w:cs="Times New Roman"/>
        </w:rPr>
        <w:t>.</w:t>
      </w:r>
      <w:r w:rsidRPr="00E63216">
        <w:rPr>
          <w:rStyle w:val="EndnoteReference"/>
          <w:rFonts w:cs="Times New Roman"/>
        </w:rPr>
        <w:endnoteReference w:id="2"/>
      </w:r>
      <w:r w:rsidRPr="00E63216">
        <w:rPr>
          <w:rFonts w:cs="Times New Roman"/>
        </w:rPr>
        <w:t xml:space="preserve"> Despite this, however, one place that the wind seemingly skirted was central and Southern Africa. Just as Macmillan’s speech received its second airing in Cape Town in February 1960, Walter Monckton commenced his tour of the Central African Federation being</w:t>
      </w:r>
      <w:r w:rsidR="00840AC7" w:rsidRPr="00E63216">
        <w:rPr>
          <w:rFonts w:cs="Times New Roman"/>
        </w:rPr>
        <w:t xml:space="preserve"> ostensibly</w:t>
      </w:r>
      <w:r w:rsidRPr="00E63216">
        <w:rPr>
          <w:rFonts w:cs="Times New Roman"/>
        </w:rPr>
        <w:t xml:space="preserve"> charged by the British government to assess its health. Seven years after Federation had been inaugurated, it was becoming increasingly </w:t>
      </w:r>
      <w:r w:rsidRPr="00E63216">
        <w:rPr>
          <w:rFonts w:cs="Times New Roman"/>
        </w:rPr>
        <w:lastRenderedPageBreak/>
        <w:t>clear that the impulses that first simulated the territorial amalgamation between Southern Rhodesia, Northern Rhodesia and Nyasaland were diminishing. Created as a ‘counterpoise to Afrikaner nationalism’ and promoted as a way to satisfy both white and black nationalism, Federation was theoretically supposed to bring ‘partnership’ between black and white within the three territories</w:t>
      </w:r>
      <w:r w:rsidR="00840AC7" w:rsidRPr="00E63216">
        <w:rPr>
          <w:rFonts w:cs="Times New Roman"/>
        </w:rPr>
        <w:t>.</w:t>
      </w:r>
      <w:r w:rsidRPr="00E63216">
        <w:rPr>
          <w:rStyle w:val="EndnoteReference"/>
          <w:rFonts w:cs="Times New Roman"/>
        </w:rPr>
        <w:endnoteReference w:id="3"/>
      </w:r>
      <w:r w:rsidRPr="00E63216">
        <w:rPr>
          <w:rFonts w:cs="Times New Roman"/>
        </w:rPr>
        <w:t xml:space="preserve"> Yet,</w:t>
      </w:r>
      <w:r w:rsidR="004C0AE0" w:rsidRPr="00E63216">
        <w:rPr>
          <w:rFonts w:cs="Times New Roman"/>
        </w:rPr>
        <w:t xml:space="preserve"> </w:t>
      </w:r>
      <w:r w:rsidRPr="00E63216">
        <w:rPr>
          <w:rFonts w:cs="Times New Roman"/>
        </w:rPr>
        <w:t xml:space="preserve">‘partnership’ was </w:t>
      </w:r>
      <w:r w:rsidR="004C0AE0" w:rsidRPr="00E63216">
        <w:rPr>
          <w:rFonts w:cs="Times New Roman"/>
        </w:rPr>
        <w:t>‘</w:t>
      </w:r>
      <w:r w:rsidRPr="00E63216">
        <w:rPr>
          <w:rFonts w:cs="Times New Roman"/>
        </w:rPr>
        <w:t>purposefully vague, with its opacity lending itself to a variety of meanings’</w:t>
      </w:r>
      <w:r w:rsidR="00840AC7" w:rsidRPr="00E63216">
        <w:rPr>
          <w:rFonts w:cs="Times New Roman"/>
        </w:rPr>
        <w:t>.</w:t>
      </w:r>
      <w:r w:rsidRPr="00E63216">
        <w:rPr>
          <w:rStyle w:val="EndnoteReference"/>
          <w:rFonts w:cs="Times New Roman"/>
        </w:rPr>
        <w:endnoteReference w:id="4"/>
      </w:r>
      <w:r w:rsidRPr="00E63216">
        <w:rPr>
          <w:rFonts w:cs="Times New Roman"/>
        </w:rPr>
        <w:t xml:space="preserve"> As leading African nationalist, Joshua Nkomo, recalled in his memoirs, ‘Huggins . . . explained what Federation was really about. He stated that his aim was to create in Central Africa a new partnership like that of the rider and the horse. That was very honest. The white man was to ride, the black man was to carry him’.</w:t>
      </w:r>
      <w:r w:rsidRPr="00E63216">
        <w:rPr>
          <w:rStyle w:val="EndnoteReference"/>
          <w:rFonts w:cs="Times New Roman"/>
        </w:rPr>
        <w:endnoteReference w:id="5"/>
      </w:r>
      <w:r w:rsidRPr="00E63216">
        <w:rPr>
          <w:rFonts w:cs="Times New Roman"/>
        </w:rPr>
        <w:t xml:space="preserve"> Finally published in October 1960, the Monckton </w:t>
      </w:r>
      <w:r w:rsidR="00831954" w:rsidRPr="00E63216">
        <w:rPr>
          <w:rFonts w:cs="Times New Roman"/>
        </w:rPr>
        <w:t xml:space="preserve">Commission’s report </w:t>
      </w:r>
      <w:r w:rsidRPr="00E63216">
        <w:rPr>
          <w:rFonts w:cs="Times New Roman"/>
        </w:rPr>
        <w:t>concluded that the only way to maintain Federation was through force. As Philip Murphy ha</w:t>
      </w:r>
      <w:r w:rsidR="002C2C8E" w:rsidRPr="00E63216">
        <w:rPr>
          <w:rFonts w:cs="Times New Roman"/>
        </w:rPr>
        <w:t>s</w:t>
      </w:r>
      <w:r w:rsidRPr="00E63216">
        <w:rPr>
          <w:rFonts w:cs="Times New Roman"/>
        </w:rPr>
        <w:t xml:space="preserve"> demonstrated, while the British government were not prepared to commit themselves</w:t>
      </w:r>
      <w:r w:rsidR="002C2C8E" w:rsidRPr="00E63216">
        <w:rPr>
          <w:rFonts w:cs="Times New Roman"/>
        </w:rPr>
        <w:t xml:space="preserve"> militarily </w:t>
      </w:r>
      <w:r w:rsidRPr="00E63216">
        <w:rPr>
          <w:rFonts w:cs="Times New Roman"/>
        </w:rPr>
        <w:t>to quell the rising tide of African nationalism, they were also not devoted to perpetual white rule.</w:t>
      </w:r>
      <w:r w:rsidRPr="00E63216">
        <w:rPr>
          <w:rStyle w:val="EndnoteReference"/>
          <w:rFonts w:cs="Times New Roman"/>
        </w:rPr>
        <w:endnoteReference w:id="6"/>
      </w:r>
      <w:r w:rsidRPr="00E63216">
        <w:rPr>
          <w:rFonts w:cs="Times New Roman"/>
        </w:rPr>
        <w:t xml:space="preserve"> </w:t>
      </w:r>
      <w:r w:rsidR="002C2C8E" w:rsidRPr="00E63216">
        <w:rPr>
          <w:rFonts w:cs="Times New Roman"/>
        </w:rPr>
        <w:t>Consequently</w:t>
      </w:r>
      <w:r w:rsidRPr="00E63216">
        <w:rPr>
          <w:rFonts w:cs="Times New Roman"/>
        </w:rPr>
        <w:t xml:space="preserve"> </w:t>
      </w:r>
      <w:r w:rsidR="00831954" w:rsidRPr="00E63216">
        <w:rPr>
          <w:rFonts w:cs="Times New Roman"/>
        </w:rPr>
        <w:t>plans were</w:t>
      </w:r>
      <w:r w:rsidRPr="00E63216">
        <w:rPr>
          <w:rFonts w:cs="Times New Roman"/>
        </w:rPr>
        <w:t xml:space="preserve"> set in motion to dissolve Federation, with Northern Rhodesia and Nyasaland receiving their independence as Zambia and Malawi in 1964. </w:t>
      </w:r>
      <w:r w:rsidRPr="00E63216">
        <w:rPr>
          <w:rFonts w:eastAsia="Times New Roman" w:cs="Times New Roman"/>
        </w:rPr>
        <w:t>As one contemporary newspaper columnist put it: ‘the Federation, conceived in sin and nurtured in neglect, now, unwanted, dies in apathy’</w:t>
      </w:r>
      <w:r w:rsidR="00D470B1" w:rsidRPr="00E63216">
        <w:rPr>
          <w:rFonts w:eastAsia="Times New Roman" w:cs="Times New Roman"/>
        </w:rPr>
        <w:t>.</w:t>
      </w:r>
      <w:r w:rsidRPr="00E63216">
        <w:rPr>
          <w:rStyle w:val="EndnoteReference"/>
          <w:rFonts w:eastAsia="Times New Roman" w:cs="Times New Roman"/>
        </w:rPr>
        <w:endnoteReference w:id="7"/>
      </w:r>
      <w:r w:rsidRPr="00E63216">
        <w:rPr>
          <w:rFonts w:cs="Times New Roman"/>
        </w:rPr>
        <w:t xml:space="preserve"> </w:t>
      </w:r>
    </w:p>
    <w:p w14:paraId="632D2103" w14:textId="77777777" w:rsidR="009733B7" w:rsidRPr="00E63216" w:rsidRDefault="009733B7" w:rsidP="007B66CA">
      <w:pPr>
        <w:spacing w:line="480" w:lineRule="auto"/>
        <w:jc w:val="both"/>
        <w:rPr>
          <w:rFonts w:cs="Times New Roman"/>
        </w:rPr>
      </w:pPr>
    </w:p>
    <w:p w14:paraId="1109216C" w14:textId="4E23387F" w:rsidR="009733B7" w:rsidRPr="00E63216" w:rsidRDefault="009733B7" w:rsidP="007B66CA">
      <w:pPr>
        <w:spacing w:line="480" w:lineRule="auto"/>
        <w:jc w:val="both"/>
        <w:rPr>
          <w:rFonts w:eastAsia="Times New Roman" w:cs="Times New Roman"/>
        </w:rPr>
      </w:pPr>
      <w:r w:rsidRPr="00E63216">
        <w:rPr>
          <w:rFonts w:cs="Times New Roman"/>
        </w:rPr>
        <w:t>The precise fate of Southern Rhodesia remained unclear. The size of the white settler population (</w:t>
      </w:r>
      <w:r w:rsidR="002C2C8E" w:rsidRPr="00E63216">
        <w:rPr>
          <w:rFonts w:cs="Times New Roman"/>
        </w:rPr>
        <w:t>hardly</w:t>
      </w:r>
      <w:r w:rsidRPr="00E63216">
        <w:rPr>
          <w:rFonts w:cs="Times New Roman"/>
        </w:rPr>
        <w:t xml:space="preserve"> more than 250,000) belied the power they wielded in the region, and indeed the emotional hold they occupied in the British public imagination.</w:t>
      </w:r>
      <w:r w:rsidRPr="00E63216">
        <w:rPr>
          <w:rStyle w:val="EndnoteReference"/>
          <w:rFonts w:cs="Times New Roman"/>
        </w:rPr>
        <w:endnoteReference w:id="8"/>
      </w:r>
      <w:r w:rsidRPr="00E63216">
        <w:rPr>
          <w:rFonts w:cs="Times New Roman"/>
        </w:rPr>
        <w:t xml:space="preserve"> </w:t>
      </w:r>
      <w:r w:rsidR="002C2C8E" w:rsidRPr="00E63216">
        <w:rPr>
          <w:rFonts w:cs="Times New Roman"/>
        </w:rPr>
        <w:t xml:space="preserve">There </w:t>
      </w:r>
      <w:r w:rsidR="002E5C4C">
        <w:rPr>
          <w:rFonts w:cs="Times New Roman"/>
        </w:rPr>
        <w:t xml:space="preserve">still </w:t>
      </w:r>
      <w:r w:rsidR="002C2C8E" w:rsidRPr="00E63216">
        <w:rPr>
          <w:rFonts w:cs="Times New Roman"/>
        </w:rPr>
        <w:t xml:space="preserve">remains </w:t>
      </w:r>
      <w:r w:rsidRPr="00E63216">
        <w:rPr>
          <w:rFonts w:cs="Times New Roman"/>
        </w:rPr>
        <w:t xml:space="preserve">controversy regarding whether or not British foreign secretary </w:t>
      </w:r>
      <w:proofErr w:type="spellStart"/>
      <w:r w:rsidRPr="00E63216">
        <w:rPr>
          <w:rFonts w:cs="Times New Roman"/>
        </w:rPr>
        <w:t>Rab</w:t>
      </w:r>
      <w:proofErr w:type="spellEnd"/>
      <w:r w:rsidRPr="00E63216">
        <w:rPr>
          <w:rFonts w:cs="Times New Roman"/>
        </w:rPr>
        <w:t xml:space="preserve"> Butler promised the Rhodesian delegation independence under minority governance at the Victoria Falls conference of 1963.</w:t>
      </w:r>
      <w:r w:rsidRPr="00E63216">
        <w:rPr>
          <w:rStyle w:val="EndnoteReference"/>
          <w:rFonts w:cs="Times New Roman"/>
        </w:rPr>
        <w:endnoteReference w:id="9"/>
      </w:r>
      <w:r w:rsidRPr="00E63216">
        <w:rPr>
          <w:rFonts w:cs="Times New Roman"/>
        </w:rPr>
        <w:t xml:space="preserve"> When Butler returned to parliament after the </w:t>
      </w:r>
      <w:r w:rsidRPr="00E63216">
        <w:rPr>
          <w:rFonts w:cs="Times New Roman"/>
        </w:rPr>
        <w:lastRenderedPageBreak/>
        <w:t>conclusion of the conference, John Strachey, MP for Dundee West</w:t>
      </w:r>
      <w:r w:rsidR="00D470B1" w:rsidRPr="00E63216">
        <w:rPr>
          <w:rFonts w:cs="Times New Roman"/>
        </w:rPr>
        <w:t>,</w:t>
      </w:r>
      <w:r w:rsidRPr="00E63216">
        <w:rPr>
          <w:rFonts w:cs="Times New Roman"/>
        </w:rPr>
        <w:t xml:space="preserve"> acerbically reminded him that ‘</w:t>
      </w:r>
      <w:r w:rsidRPr="00E63216">
        <w:rPr>
          <w:rFonts w:eastAsia="Times New Roman" w:cs="Times New Roman"/>
        </w:rPr>
        <w:t>his success at the Victoria Falls conference was on the easier part of the problem and that the more difficult part, the future of Southern Rhodesia, still lies ahead of him’</w:t>
      </w:r>
      <w:r w:rsidR="00145485">
        <w:rPr>
          <w:rFonts w:eastAsia="Times New Roman" w:cs="Times New Roman"/>
        </w:rPr>
        <w:t>.</w:t>
      </w:r>
      <w:r w:rsidRPr="00E63216">
        <w:rPr>
          <w:rStyle w:val="EndnoteReference"/>
          <w:rFonts w:eastAsia="Times New Roman" w:cs="Times New Roman"/>
        </w:rPr>
        <w:endnoteReference w:id="10"/>
      </w:r>
      <w:r w:rsidRPr="00E63216">
        <w:rPr>
          <w:rFonts w:eastAsia="Times New Roman" w:cs="Times New Roman"/>
        </w:rPr>
        <w:t xml:space="preserve"> </w:t>
      </w:r>
    </w:p>
    <w:p w14:paraId="0CFA7611" w14:textId="77777777" w:rsidR="009733B7" w:rsidRPr="00E63216" w:rsidRDefault="009733B7" w:rsidP="007B66CA">
      <w:pPr>
        <w:spacing w:line="480" w:lineRule="auto"/>
        <w:jc w:val="both"/>
        <w:rPr>
          <w:rFonts w:eastAsia="Times New Roman" w:cs="Times New Roman"/>
        </w:rPr>
      </w:pPr>
    </w:p>
    <w:p w14:paraId="2F4DDA51" w14:textId="48A0BA0B" w:rsidR="009733B7" w:rsidRPr="00E63216" w:rsidRDefault="002C2C8E" w:rsidP="007B66CA">
      <w:pPr>
        <w:spacing w:line="480" w:lineRule="auto"/>
        <w:jc w:val="both"/>
        <w:rPr>
          <w:rFonts w:eastAsia="Times New Roman" w:cs="Times New Roman"/>
          <w:color w:val="000000"/>
          <w:shd w:val="clear" w:color="auto" w:fill="FFFFFF"/>
        </w:rPr>
      </w:pPr>
      <w:r w:rsidRPr="00E63216">
        <w:rPr>
          <w:rFonts w:eastAsia="Times New Roman" w:cs="Times New Roman"/>
        </w:rPr>
        <w:t>E</w:t>
      </w:r>
      <w:r w:rsidR="009733B7" w:rsidRPr="00E63216">
        <w:rPr>
          <w:rFonts w:eastAsia="Times New Roman" w:cs="Times New Roman"/>
        </w:rPr>
        <w:t>vents in Southern Rhodesia, particularly the results of the 1962 general election</w:t>
      </w:r>
      <w:r w:rsidR="00D470B1" w:rsidRPr="00E63216">
        <w:rPr>
          <w:rFonts w:eastAsia="Times New Roman" w:cs="Times New Roman"/>
        </w:rPr>
        <w:t>,</w:t>
      </w:r>
      <w:r w:rsidR="009733B7" w:rsidRPr="00E63216">
        <w:rPr>
          <w:rFonts w:eastAsia="Times New Roman" w:cs="Times New Roman"/>
        </w:rPr>
        <w:t xml:space="preserve"> also dramatically altered the course </w:t>
      </w:r>
      <w:r w:rsidRPr="00E63216">
        <w:rPr>
          <w:rFonts w:eastAsia="Times New Roman" w:cs="Times New Roman"/>
        </w:rPr>
        <w:t xml:space="preserve">taken in </w:t>
      </w:r>
      <w:r w:rsidR="009733B7" w:rsidRPr="00E63216">
        <w:rPr>
          <w:rFonts w:eastAsia="Times New Roman" w:cs="Times New Roman"/>
        </w:rPr>
        <w:t>the region, as the newly formed Rhodesian Front (RF) swept to power, led by tobacco farmer Winston Field. A definitive shift to the right, the ascension of the RF and the hardening of racial attitudes within the country put the white settlers on the ‘course to collision</w:t>
      </w:r>
      <w:r w:rsidR="00E63216">
        <w:rPr>
          <w:rFonts w:eastAsia="Times New Roman" w:cs="Times New Roman"/>
        </w:rPr>
        <w:t>’</w:t>
      </w:r>
      <w:r w:rsidR="009733B7" w:rsidRPr="00E63216">
        <w:rPr>
          <w:rFonts w:eastAsia="Times New Roman" w:cs="Times New Roman"/>
        </w:rPr>
        <w:t>, as the prospect of an illegal declaration of independence (UDI) from the Crown looked increasingly probable</w:t>
      </w:r>
      <w:r w:rsidR="00D470B1" w:rsidRPr="00E63216">
        <w:rPr>
          <w:rFonts w:eastAsia="Times New Roman" w:cs="Times New Roman"/>
        </w:rPr>
        <w:t>.</w:t>
      </w:r>
      <w:r w:rsidR="009733B7" w:rsidRPr="00E63216">
        <w:rPr>
          <w:rStyle w:val="EndnoteReference"/>
          <w:rFonts w:eastAsia="Times New Roman" w:cs="Times New Roman"/>
        </w:rPr>
        <w:endnoteReference w:id="11"/>
      </w:r>
      <w:r w:rsidR="009733B7" w:rsidRPr="00E63216">
        <w:rPr>
          <w:rFonts w:eastAsia="Times New Roman" w:cs="Times New Roman"/>
        </w:rPr>
        <w:t xml:space="preserve"> From 1964 onwards, Ian Smith, who replaced Field as party leader, chartered this path. The first prime minister born in the country, Smith was a decorated war hero, and had been involved in Rhodesian politics since the late 1940s. Continually underestimated in Whitehall as ‘</w:t>
      </w:r>
      <w:r w:rsidR="009733B7" w:rsidRPr="00E63216">
        <w:rPr>
          <w:rFonts w:eastAsia="Times New Roman" w:cs="Times New Roman"/>
          <w:color w:val="000000"/>
          <w:shd w:val="clear" w:color="auto" w:fill="FFFFFF"/>
        </w:rPr>
        <w:t>a simple minded, politically naïve, and uncompromising character’,</w:t>
      </w:r>
      <w:r w:rsidR="009733B7" w:rsidRPr="00E63216">
        <w:rPr>
          <w:rStyle w:val="EndnoteReference"/>
          <w:rFonts w:eastAsia="Times New Roman" w:cs="Times New Roman"/>
          <w:color w:val="000000"/>
          <w:shd w:val="clear" w:color="auto" w:fill="FFFFFF"/>
        </w:rPr>
        <w:endnoteReference w:id="12"/>
      </w:r>
      <w:r w:rsidR="009733B7" w:rsidRPr="00E63216">
        <w:rPr>
          <w:rFonts w:eastAsia="Times New Roman" w:cs="Times New Roman"/>
          <w:color w:val="000000"/>
          <w:shd w:val="clear" w:color="auto" w:fill="FFFFFF"/>
        </w:rPr>
        <w:t xml:space="preserve"> the issue of Rhodesian independence was one that dogged the foreign policy agenda of successive British governments, triggering ‘the most protracted crisis of British decolonisation’</w:t>
      </w:r>
      <w:r w:rsidR="00D470B1" w:rsidRPr="00E63216">
        <w:rPr>
          <w:rFonts w:eastAsia="Times New Roman" w:cs="Times New Roman"/>
          <w:color w:val="000000"/>
          <w:shd w:val="clear" w:color="auto" w:fill="FFFFFF"/>
        </w:rPr>
        <w:t>.</w:t>
      </w:r>
      <w:r w:rsidR="009733B7" w:rsidRPr="00E63216">
        <w:rPr>
          <w:rStyle w:val="EndnoteReference"/>
          <w:rFonts w:eastAsia="Times New Roman" w:cs="Times New Roman"/>
          <w:color w:val="000000"/>
          <w:shd w:val="clear" w:color="auto" w:fill="FFFFFF"/>
        </w:rPr>
        <w:endnoteReference w:id="13"/>
      </w:r>
      <w:r w:rsidR="009733B7" w:rsidRPr="00E63216">
        <w:rPr>
          <w:rFonts w:eastAsia="Times New Roman" w:cs="Times New Roman"/>
          <w:color w:val="000000"/>
          <w:shd w:val="clear" w:color="auto" w:fill="FFFFFF"/>
        </w:rPr>
        <w:t xml:space="preserve"> </w:t>
      </w:r>
    </w:p>
    <w:p w14:paraId="08E1707B" w14:textId="77777777" w:rsidR="009733B7" w:rsidRPr="00E63216" w:rsidRDefault="009733B7" w:rsidP="007B66CA">
      <w:pPr>
        <w:spacing w:line="480" w:lineRule="auto"/>
        <w:jc w:val="both"/>
        <w:rPr>
          <w:rFonts w:eastAsia="Times New Roman" w:cs="Times New Roman"/>
          <w:color w:val="000000"/>
          <w:shd w:val="clear" w:color="auto" w:fill="FFFFFF"/>
        </w:rPr>
      </w:pPr>
    </w:p>
    <w:p w14:paraId="382C7910" w14:textId="34747D38" w:rsidR="009733B7" w:rsidRPr="00E63216" w:rsidRDefault="009733B7" w:rsidP="007B66CA">
      <w:pPr>
        <w:spacing w:line="480" w:lineRule="auto"/>
        <w:jc w:val="both"/>
        <w:rPr>
          <w:rFonts w:eastAsia="Times New Roman" w:cs="Times New Roman"/>
          <w:color w:val="000000"/>
          <w:shd w:val="clear" w:color="auto" w:fill="FFFFFF"/>
        </w:rPr>
      </w:pPr>
      <w:r w:rsidRPr="00E63216">
        <w:rPr>
          <w:rFonts w:eastAsia="Times New Roman" w:cs="Times New Roman"/>
          <w:color w:val="000000"/>
          <w:shd w:val="clear" w:color="auto" w:fill="FFFFFF"/>
        </w:rPr>
        <w:t xml:space="preserve">Twelve days after </w:t>
      </w:r>
      <w:r w:rsidR="00831954" w:rsidRPr="00E63216">
        <w:rPr>
          <w:rFonts w:eastAsia="Times New Roman" w:cs="Times New Roman"/>
          <w:color w:val="000000"/>
          <w:shd w:val="clear" w:color="auto" w:fill="FFFFFF"/>
        </w:rPr>
        <w:t xml:space="preserve">narrowly </w:t>
      </w:r>
      <w:r w:rsidRPr="00E63216">
        <w:rPr>
          <w:rFonts w:eastAsia="Times New Roman" w:cs="Times New Roman"/>
          <w:color w:val="000000"/>
          <w:shd w:val="clear" w:color="auto" w:fill="FFFFFF"/>
        </w:rPr>
        <w:t>winning the 1964 British general election on October</w:t>
      </w:r>
      <w:r w:rsidR="00145485">
        <w:rPr>
          <w:rFonts w:eastAsia="Times New Roman" w:cs="Times New Roman"/>
          <w:color w:val="000000"/>
          <w:shd w:val="clear" w:color="auto" w:fill="FFFFFF"/>
        </w:rPr>
        <w:t xml:space="preserve"> 27</w:t>
      </w:r>
      <w:r w:rsidRPr="00E63216">
        <w:rPr>
          <w:rFonts w:eastAsia="Times New Roman" w:cs="Times New Roman"/>
          <w:color w:val="000000"/>
          <w:shd w:val="clear" w:color="auto" w:fill="FFFFFF"/>
        </w:rPr>
        <w:t xml:space="preserve">, </w:t>
      </w:r>
      <w:r w:rsidR="00831954" w:rsidRPr="00E63216">
        <w:rPr>
          <w:rFonts w:eastAsia="Times New Roman" w:cs="Times New Roman"/>
          <w:color w:val="000000"/>
          <w:shd w:val="clear" w:color="auto" w:fill="FFFFFF"/>
        </w:rPr>
        <w:t xml:space="preserve">the new Labour Prime Minister, </w:t>
      </w:r>
      <w:r w:rsidRPr="00E63216">
        <w:rPr>
          <w:rFonts w:eastAsia="Times New Roman" w:cs="Times New Roman"/>
          <w:color w:val="000000"/>
          <w:shd w:val="clear" w:color="auto" w:fill="FFFFFF"/>
        </w:rPr>
        <w:t>Harold Wilson</w:t>
      </w:r>
      <w:r w:rsidR="00145485">
        <w:rPr>
          <w:rFonts w:eastAsia="Times New Roman" w:cs="Times New Roman"/>
          <w:color w:val="000000"/>
          <w:shd w:val="clear" w:color="auto" w:fill="FFFFFF"/>
        </w:rPr>
        <w:t>,</w:t>
      </w:r>
      <w:r w:rsidRPr="00E63216">
        <w:rPr>
          <w:rFonts w:eastAsia="Times New Roman" w:cs="Times New Roman"/>
          <w:color w:val="000000"/>
          <w:shd w:val="clear" w:color="auto" w:fill="FFFFFF"/>
        </w:rPr>
        <w:t xml:space="preserve"> turned his attention to Rhodesia, warning Smith’s government that if </w:t>
      </w:r>
      <w:r w:rsidR="002C2C8E" w:rsidRPr="00E63216">
        <w:rPr>
          <w:rFonts w:eastAsia="Times New Roman" w:cs="Times New Roman"/>
          <w:color w:val="000000"/>
          <w:shd w:val="clear" w:color="auto" w:fill="FFFFFF"/>
        </w:rPr>
        <w:t>it</w:t>
      </w:r>
      <w:r w:rsidRPr="00E63216">
        <w:rPr>
          <w:rFonts w:eastAsia="Times New Roman" w:cs="Times New Roman"/>
          <w:color w:val="000000"/>
          <w:shd w:val="clear" w:color="auto" w:fill="FFFFFF"/>
        </w:rPr>
        <w:t xml:space="preserve"> declared illegal independence from the Crown there would be grave diplomatic and economic consequences. While this </w:t>
      </w:r>
      <w:r w:rsidR="002C2C8E" w:rsidRPr="00E63216">
        <w:rPr>
          <w:rFonts w:eastAsia="Times New Roman" w:cs="Times New Roman"/>
          <w:color w:val="000000"/>
          <w:shd w:val="clear" w:color="auto" w:fill="FFFFFF"/>
        </w:rPr>
        <w:t>gave</w:t>
      </w:r>
      <w:r w:rsidRPr="00E63216">
        <w:rPr>
          <w:rFonts w:eastAsia="Times New Roman" w:cs="Times New Roman"/>
          <w:color w:val="000000"/>
          <w:shd w:val="clear" w:color="auto" w:fill="FFFFFF"/>
        </w:rPr>
        <w:t xml:space="preserve"> the RF reason to pause, a succession of abortive meetings between Wilson and Smith, Rhodesia’s exclusion from Commonwealth meetings, and the results of the 1965 </w:t>
      </w:r>
      <w:r w:rsidRPr="00E63216">
        <w:rPr>
          <w:rFonts w:eastAsia="Times New Roman" w:cs="Times New Roman"/>
          <w:color w:val="000000"/>
          <w:shd w:val="clear" w:color="auto" w:fill="FFFFFF"/>
        </w:rPr>
        <w:lastRenderedPageBreak/>
        <w:t xml:space="preserve">election emboldened Smith’s government to declare independence from the British government on November </w:t>
      </w:r>
      <w:r w:rsidR="00145485">
        <w:rPr>
          <w:rFonts w:eastAsia="Times New Roman" w:cs="Times New Roman"/>
          <w:color w:val="000000"/>
          <w:shd w:val="clear" w:color="auto" w:fill="FFFFFF"/>
        </w:rPr>
        <w:t xml:space="preserve">11, </w:t>
      </w:r>
      <w:r w:rsidRPr="00E63216">
        <w:rPr>
          <w:rFonts w:eastAsia="Times New Roman" w:cs="Times New Roman"/>
          <w:color w:val="000000"/>
          <w:shd w:val="clear" w:color="auto" w:fill="FFFFFF"/>
        </w:rPr>
        <w:t>1965.</w:t>
      </w:r>
      <w:r w:rsidRPr="00E63216">
        <w:rPr>
          <w:rStyle w:val="EndnoteReference"/>
          <w:rFonts w:eastAsia="Times New Roman" w:cs="Times New Roman"/>
          <w:color w:val="000000"/>
          <w:shd w:val="clear" w:color="auto" w:fill="FFFFFF"/>
        </w:rPr>
        <w:endnoteReference w:id="14"/>
      </w:r>
    </w:p>
    <w:p w14:paraId="090194C6" w14:textId="77777777" w:rsidR="009733B7" w:rsidRPr="00E63216" w:rsidRDefault="009733B7" w:rsidP="007B66CA">
      <w:pPr>
        <w:spacing w:line="480" w:lineRule="auto"/>
        <w:jc w:val="both"/>
        <w:rPr>
          <w:rFonts w:eastAsia="Times New Roman" w:cs="Times New Roman"/>
          <w:color w:val="000000"/>
          <w:shd w:val="clear" w:color="auto" w:fill="FFFFFF"/>
        </w:rPr>
      </w:pPr>
    </w:p>
    <w:p w14:paraId="5A21C335" w14:textId="70D351E2" w:rsidR="009733B7" w:rsidRPr="00E63216" w:rsidRDefault="009733B7" w:rsidP="007B66CA">
      <w:pPr>
        <w:spacing w:line="480" w:lineRule="auto"/>
        <w:jc w:val="both"/>
        <w:rPr>
          <w:rFonts w:eastAsia="Times New Roman" w:cs="Times New Roman"/>
          <w:color w:val="000000"/>
          <w:shd w:val="clear" w:color="auto" w:fill="FFFFFF"/>
        </w:rPr>
      </w:pPr>
      <w:r w:rsidRPr="00E63216">
        <w:rPr>
          <w:rFonts w:eastAsia="Times New Roman" w:cs="Times New Roman"/>
          <w:color w:val="000000"/>
          <w:shd w:val="clear" w:color="auto" w:fill="FFFFFF"/>
        </w:rPr>
        <w:t>Addressing the country via a radio broadcast on the November</w:t>
      </w:r>
      <w:r w:rsidR="00145485">
        <w:rPr>
          <w:rFonts w:eastAsia="Times New Roman" w:cs="Times New Roman"/>
          <w:color w:val="000000"/>
          <w:shd w:val="clear" w:color="auto" w:fill="FFFFFF"/>
        </w:rPr>
        <w:t xml:space="preserve"> 11</w:t>
      </w:r>
      <w:r w:rsidRPr="00E63216">
        <w:rPr>
          <w:rFonts w:eastAsia="Times New Roman" w:cs="Times New Roman"/>
          <w:color w:val="000000"/>
          <w:shd w:val="clear" w:color="auto" w:fill="FFFFFF"/>
        </w:rPr>
        <w:t xml:space="preserve">, Smith’s </w:t>
      </w:r>
      <w:proofErr w:type="gramStart"/>
      <w:r w:rsidRPr="00E63216">
        <w:rPr>
          <w:rFonts w:eastAsia="Times New Roman" w:cs="Times New Roman"/>
          <w:color w:val="000000"/>
          <w:shd w:val="clear" w:color="auto" w:fill="FFFFFF"/>
        </w:rPr>
        <w:t>high flown</w:t>
      </w:r>
      <w:proofErr w:type="gramEnd"/>
      <w:r w:rsidRPr="00E63216">
        <w:rPr>
          <w:rFonts w:eastAsia="Times New Roman" w:cs="Times New Roman"/>
          <w:color w:val="000000"/>
          <w:shd w:val="clear" w:color="auto" w:fill="FFFFFF"/>
        </w:rPr>
        <w:t xml:space="preserve"> oratory declared: </w:t>
      </w:r>
    </w:p>
    <w:p w14:paraId="5F0CEF8E" w14:textId="77777777" w:rsidR="009733B7" w:rsidRPr="00E63216" w:rsidRDefault="009733B7" w:rsidP="007B66CA">
      <w:pPr>
        <w:spacing w:line="480" w:lineRule="auto"/>
        <w:jc w:val="both"/>
        <w:rPr>
          <w:rFonts w:eastAsia="Times New Roman" w:cs="Times New Roman"/>
          <w:color w:val="000000"/>
          <w:shd w:val="clear" w:color="auto" w:fill="FFFFFF"/>
        </w:rPr>
      </w:pPr>
      <w:r w:rsidRPr="00E63216">
        <w:rPr>
          <w:rFonts w:eastAsia="Times New Roman" w:cs="Times New Roman"/>
          <w:color w:val="000000"/>
          <w:shd w:val="clear" w:color="auto" w:fill="FFFFFF"/>
        </w:rPr>
        <w:tab/>
      </w:r>
    </w:p>
    <w:p w14:paraId="13529B9E" w14:textId="51949D9D" w:rsidR="009733B7" w:rsidRPr="00E63216" w:rsidRDefault="002E5C4C" w:rsidP="007B66CA">
      <w:pPr>
        <w:spacing w:line="480" w:lineRule="auto"/>
        <w:jc w:val="both"/>
        <w:rPr>
          <w:rFonts w:cs="Times New Roman"/>
        </w:rPr>
      </w:pPr>
      <w:r>
        <w:rPr>
          <w:rFonts w:cs="Times New Roman"/>
        </w:rPr>
        <w:tab/>
      </w:r>
      <w:r w:rsidR="00145485">
        <w:rPr>
          <w:rFonts w:cs="Times New Roman"/>
        </w:rPr>
        <w:t>‘</w:t>
      </w:r>
      <w:r w:rsidR="009733B7" w:rsidRPr="00E63216">
        <w:rPr>
          <w:rFonts w:cs="Times New Roman"/>
        </w:rPr>
        <w:t xml:space="preserve">We may be a small country, but we are a determined people who have been </w:t>
      </w:r>
      <w:r>
        <w:rPr>
          <w:rFonts w:cs="Times New Roman"/>
        </w:rPr>
        <w:tab/>
      </w:r>
      <w:r w:rsidR="009733B7" w:rsidRPr="00E63216">
        <w:rPr>
          <w:rFonts w:cs="Times New Roman"/>
        </w:rPr>
        <w:t xml:space="preserve">called upon to play a </w:t>
      </w:r>
      <w:r w:rsidR="00831954" w:rsidRPr="00E63216">
        <w:rPr>
          <w:rFonts w:cs="Times New Roman"/>
        </w:rPr>
        <w:t>role</w:t>
      </w:r>
      <w:r w:rsidR="009733B7" w:rsidRPr="00E63216">
        <w:rPr>
          <w:rFonts w:cs="Times New Roman"/>
        </w:rPr>
        <w:t xml:space="preserve"> of world-wide significance. We Rhodesians have </w:t>
      </w:r>
      <w:r>
        <w:rPr>
          <w:rFonts w:cs="Times New Roman"/>
        </w:rPr>
        <w:tab/>
      </w:r>
      <w:r w:rsidR="009733B7" w:rsidRPr="00E63216">
        <w:rPr>
          <w:rFonts w:cs="Times New Roman"/>
        </w:rPr>
        <w:t xml:space="preserve">rejected the doctrinaire philosophy of appeasement and surrender. The </w:t>
      </w:r>
      <w:r>
        <w:rPr>
          <w:rFonts w:cs="Times New Roman"/>
        </w:rPr>
        <w:tab/>
      </w:r>
      <w:r w:rsidR="009733B7" w:rsidRPr="00E63216">
        <w:rPr>
          <w:rFonts w:cs="Times New Roman"/>
        </w:rPr>
        <w:t xml:space="preserve">decision which we have taken today is a refusal by Rhodesians to sell their </w:t>
      </w:r>
      <w:r>
        <w:rPr>
          <w:rFonts w:cs="Times New Roman"/>
        </w:rPr>
        <w:tab/>
      </w:r>
      <w:r w:rsidR="009733B7" w:rsidRPr="00E63216">
        <w:rPr>
          <w:rFonts w:cs="Times New Roman"/>
        </w:rPr>
        <w:t xml:space="preserve">birth right … We have struck a blow for the preservation of justice, </w:t>
      </w:r>
      <w:r>
        <w:rPr>
          <w:rFonts w:cs="Times New Roman"/>
        </w:rPr>
        <w:tab/>
      </w:r>
      <w:r w:rsidR="009733B7" w:rsidRPr="00E63216">
        <w:rPr>
          <w:rFonts w:cs="Times New Roman"/>
        </w:rPr>
        <w:t>civilization, and Christianity</w:t>
      </w:r>
      <w:r w:rsidR="00145485">
        <w:rPr>
          <w:rFonts w:cs="Times New Roman"/>
        </w:rPr>
        <w:t>’</w:t>
      </w:r>
      <w:r w:rsidR="009733B7" w:rsidRPr="00E63216">
        <w:rPr>
          <w:rFonts w:cs="Times New Roman"/>
        </w:rPr>
        <w:t>.</w:t>
      </w:r>
      <w:r w:rsidR="009733B7" w:rsidRPr="00E63216">
        <w:rPr>
          <w:rStyle w:val="EndnoteReference"/>
          <w:rFonts w:cs="Times New Roman"/>
        </w:rPr>
        <w:endnoteReference w:id="15"/>
      </w:r>
    </w:p>
    <w:p w14:paraId="53EDFE3E" w14:textId="77777777" w:rsidR="009733B7" w:rsidRPr="00E63216" w:rsidRDefault="009733B7" w:rsidP="007B66CA">
      <w:pPr>
        <w:spacing w:line="480" w:lineRule="auto"/>
        <w:jc w:val="both"/>
        <w:rPr>
          <w:rFonts w:cs="Times New Roman"/>
        </w:rPr>
      </w:pPr>
    </w:p>
    <w:p w14:paraId="212BC4EE" w14:textId="27143FEB" w:rsidR="009733B7" w:rsidRPr="00E63216" w:rsidRDefault="009733B7" w:rsidP="007B66CA">
      <w:pPr>
        <w:spacing w:line="480" w:lineRule="auto"/>
        <w:jc w:val="both"/>
        <w:rPr>
          <w:rFonts w:cs="Times New Roman"/>
          <w:lang w:val="en-US"/>
        </w:rPr>
      </w:pPr>
      <w:r w:rsidRPr="00E63216">
        <w:rPr>
          <w:rFonts w:cs="Times New Roman"/>
        </w:rPr>
        <w:t>The reaction of the British government was swift. Wilson immediately condemned Rhodesia’s actions, and imposed economic sanctions in the hope that this would bring the rogue settlers back to terms.</w:t>
      </w:r>
      <w:r w:rsidRPr="00E63216">
        <w:rPr>
          <w:rStyle w:val="EndnoteReference"/>
          <w:rFonts w:cs="Times New Roman"/>
        </w:rPr>
        <w:endnoteReference w:id="16"/>
      </w:r>
      <w:r w:rsidRPr="00E63216">
        <w:rPr>
          <w:rFonts w:cs="Times New Roman"/>
        </w:rPr>
        <w:t xml:space="preserve"> While all sides of the </w:t>
      </w:r>
      <w:r w:rsidR="00D470B1" w:rsidRPr="00E63216">
        <w:rPr>
          <w:rFonts w:cs="Times New Roman"/>
        </w:rPr>
        <w:t>H</w:t>
      </w:r>
      <w:r w:rsidRPr="00E63216">
        <w:rPr>
          <w:rFonts w:cs="Times New Roman"/>
        </w:rPr>
        <w:t xml:space="preserve">ouse of </w:t>
      </w:r>
      <w:r w:rsidR="00D470B1" w:rsidRPr="00E63216">
        <w:rPr>
          <w:rFonts w:cs="Times New Roman"/>
        </w:rPr>
        <w:t>C</w:t>
      </w:r>
      <w:r w:rsidRPr="00E63216">
        <w:rPr>
          <w:rFonts w:cs="Times New Roman"/>
        </w:rPr>
        <w:t xml:space="preserve">ommons lamented Rhodesia’s declaration of UDI, they did so for quite different reasons. Robert </w:t>
      </w:r>
      <w:proofErr w:type="spellStart"/>
      <w:r w:rsidRPr="00E63216">
        <w:rPr>
          <w:rFonts w:cs="Times New Roman"/>
        </w:rPr>
        <w:t>Turton</w:t>
      </w:r>
      <w:proofErr w:type="spellEnd"/>
      <w:r w:rsidRPr="00E63216">
        <w:rPr>
          <w:rFonts w:cs="Times New Roman"/>
        </w:rPr>
        <w:t>, Conservative MP for Thirsk and Malton</w:t>
      </w:r>
      <w:r w:rsidR="00D470B1" w:rsidRPr="00E63216">
        <w:rPr>
          <w:rFonts w:cs="Times New Roman"/>
        </w:rPr>
        <w:t>,</w:t>
      </w:r>
      <w:r w:rsidRPr="00E63216">
        <w:rPr>
          <w:rFonts w:cs="Times New Roman"/>
        </w:rPr>
        <w:t xml:space="preserve"> proffered that</w:t>
      </w:r>
      <w:r w:rsidRPr="00E63216">
        <w:rPr>
          <w:rFonts w:eastAsia="Times New Roman" w:cs="Times New Roman"/>
          <w:color w:val="000000"/>
          <w:shd w:val="clear" w:color="auto" w:fill="FFFFFF"/>
        </w:rPr>
        <w:t xml:space="preserve"> ‘</w:t>
      </w:r>
      <w:r w:rsidRPr="00E63216">
        <w:rPr>
          <w:rFonts w:eastAsia="Times New Roman" w:cs="Times New Roman"/>
        </w:rPr>
        <w:t>in no country in the world is there more loyalty to Her Majesty the Queen’</w:t>
      </w:r>
      <w:r w:rsidR="00D470B1" w:rsidRPr="00E63216">
        <w:rPr>
          <w:rFonts w:eastAsia="Times New Roman" w:cs="Times New Roman"/>
        </w:rPr>
        <w:t>,</w:t>
      </w:r>
      <w:r w:rsidRPr="00E63216">
        <w:rPr>
          <w:rFonts w:eastAsia="Times New Roman" w:cs="Times New Roman"/>
        </w:rPr>
        <w:t xml:space="preserve"> while Sydney Silverman, Labour MP for Nelson and Colne</w:t>
      </w:r>
      <w:r w:rsidR="00D470B1" w:rsidRPr="00E63216">
        <w:rPr>
          <w:rFonts w:eastAsia="Times New Roman" w:cs="Times New Roman"/>
        </w:rPr>
        <w:t>,</w:t>
      </w:r>
      <w:r w:rsidRPr="00E63216">
        <w:rPr>
          <w:rFonts w:eastAsia="Times New Roman" w:cs="Times New Roman"/>
        </w:rPr>
        <w:t xml:space="preserve"> pursued a different tac</w:t>
      </w:r>
      <w:r w:rsidR="002C2C8E" w:rsidRPr="00E63216">
        <w:rPr>
          <w:rFonts w:eastAsia="Times New Roman" w:cs="Times New Roman"/>
        </w:rPr>
        <w:t>k</w:t>
      </w:r>
      <w:r w:rsidRPr="00E63216">
        <w:rPr>
          <w:rFonts w:eastAsia="Times New Roman" w:cs="Times New Roman"/>
        </w:rPr>
        <w:t xml:space="preserve">, asking Wilson directly: ‘What would the right </w:t>
      </w:r>
      <w:r w:rsidR="004C0AE0" w:rsidRPr="00E63216">
        <w:rPr>
          <w:rFonts w:eastAsia="Times New Roman" w:cs="Times New Roman"/>
        </w:rPr>
        <w:t>H</w:t>
      </w:r>
      <w:r w:rsidRPr="00E63216">
        <w:rPr>
          <w:rFonts w:eastAsia="Times New Roman" w:cs="Times New Roman"/>
        </w:rPr>
        <w:t>on. Gentleman's advice be to the 4 million Africans who presumably remain loyal and who are now in a state of emergency, who are refused the right to express an opinion, who are refused access to information’.</w:t>
      </w:r>
      <w:r w:rsidRPr="00E63216">
        <w:rPr>
          <w:rStyle w:val="EndnoteReference"/>
          <w:rFonts w:eastAsia="Times New Roman" w:cs="Times New Roman"/>
        </w:rPr>
        <w:endnoteReference w:id="17"/>
      </w:r>
      <w:r w:rsidRPr="00E63216">
        <w:rPr>
          <w:rFonts w:eastAsia="Times New Roman" w:cs="Times New Roman"/>
        </w:rPr>
        <w:t xml:space="preserve"> Tempting as it may be to cleave to the dichotomy that suggests that the Conservatives largely represented the interests of white settlers, while Labour </w:t>
      </w:r>
      <w:r w:rsidR="002C2C8E" w:rsidRPr="00E63216">
        <w:rPr>
          <w:rFonts w:eastAsia="Times New Roman" w:cs="Times New Roman"/>
        </w:rPr>
        <w:t xml:space="preserve">MP’s </w:t>
      </w:r>
      <w:r w:rsidRPr="00E63216">
        <w:rPr>
          <w:rFonts w:eastAsia="Times New Roman" w:cs="Times New Roman"/>
        </w:rPr>
        <w:t xml:space="preserve">favoured those of the African majority, </w:t>
      </w:r>
      <w:r w:rsidRPr="00E63216">
        <w:rPr>
          <w:rFonts w:eastAsia="Times New Roman" w:cs="Times New Roman"/>
        </w:rPr>
        <w:lastRenderedPageBreak/>
        <w:t>one thing is clear: Wilson thought that UDI would be over in ‘a matter of weeks rather than months’.</w:t>
      </w:r>
      <w:r w:rsidRPr="00E63216">
        <w:rPr>
          <w:rStyle w:val="EndnoteReference"/>
          <w:rFonts w:eastAsia="Times New Roman" w:cs="Times New Roman"/>
        </w:rPr>
        <w:endnoteReference w:id="18"/>
      </w:r>
      <w:r w:rsidRPr="00E63216">
        <w:rPr>
          <w:rFonts w:eastAsia="Times New Roman" w:cs="Times New Roman"/>
        </w:rPr>
        <w:t xml:space="preserve"> While historiographical speculation continues over Wilson’s handling of the entire affair, it is difficult not to agree, at least in part, with Carl Watts’ assessment that Wilson’s handling of Rhodesia’s UDI ‘demonstrated a profound error of judgement’.</w:t>
      </w:r>
      <w:r w:rsidRPr="00E63216">
        <w:rPr>
          <w:rStyle w:val="EndnoteReference"/>
          <w:rFonts w:eastAsia="Times New Roman" w:cs="Times New Roman"/>
        </w:rPr>
        <w:endnoteReference w:id="19"/>
      </w:r>
      <w:r w:rsidRPr="00E63216">
        <w:rPr>
          <w:rFonts w:eastAsia="Times New Roman" w:cs="Times New Roman"/>
        </w:rPr>
        <w:t xml:space="preserve"> Although Wilson</w:t>
      </w:r>
      <w:r w:rsidR="007E0B93" w:rsidRPr="00E63216">
        <w:rPr>
          <w:rFonts w:eastAsia="Times New Roman" w:cs="Times New Roman"/>
        </w:rPr>
        <w:t xml:space="preserve"> persuaded himself that UDI would be over quickly,</w:t>
      </w:r>
      <w:r w:rsidRPr="00E63216">
        <w:rPr>
          <w:rFonts w:eastAsia="Times New Roman" w:cs="Times New Roman"/>
        </w:rPr>
        <w:t xml:space="preserve"> </w:t>
      </w:r>
      <w:r w:rsidRPr="00E63216">
        <w:rPr>
          <w:rFonts w:cs="Times New Roman"/>
          <w:lang w:val="en-US"/>
        </w:rPr>
        <w:t>a ‘rebellious white population the size of Portsmouth’ went on to defy international condemnation, the waging of increasingly effective guerrilla warfare</w:t>
      </w:r>
      <w:r w:rsidR="0055186C">
        <w:rPr>
          <w:rFonts w:cs="Times New Roman"/>
          <w:lang w:val="en-US"/>
        </w:rPr>
        <w:t>,</w:t>
      </w:r>
      <w:r w:rsidRPr="00E63216">
        <w:rPr>
          <w:rFonts w:cs="Times New Roman"/>
          <w:lang w:val="en-US"/>
        </w:rPr>
        <w:t xml:space="preserve"> and the imposition of international sanctions for fourteen years.</w:t>
      </w:r>
      <w:r w:rsidRPr="00E63216">
        <w:rPr>
          <w:rStyle w:val="EndnoteReference"/>
          <w:rFonts w:cs="Times New Roman"/>
          <w:lang w:val="en-US"/>
        </w:rPr>
        <w:endnoteReference w:id="20"/>
      </w:r>
      <w:r w:rsidRPr="00E63216">
        <w:rPr>
          <w:rFonts w:cs="Times New Roman"/>
          <w:lang w:val="en-US"/>
        </w:rPr>
        <w:t xml:space="preserve"> </w:t>
      </w:r>
    </w:p>
    <w:p w14:paraId="328C258F" w14:textId="77777777" w:rsidR="002E5C4C" w:rsidRDefault="002E5C4C" w:rsidP="007B66CA">
      <w:pPr>
        <w:spacing w:line="480" w:lineRule="auto"/>
        <w:jc w:val="both"/>
        <w:rPr>
          <w:rFonts w:cs="Times New Roman"/>
          <w:lang w:val="en-US"/>
        </w:rPr>
      </w:pPr>
    </w:p>
    <w:p w14:paraId="51E96068" w14:textId="07CEA4CA" w:rsidR="009733B7" w:rsidRPr="00E63216" w:rsidRDefault="009733B7" w:rsidP="007B66CA">
      <w:pPr>
        <w:spacing w:line="480" w:lineRule="auto"/>
        <w:jc w:val="both"/>
        <w:rPr>
          <w:rFonts w:cs="Times New Roman"/>
          <w:lang w:val="en-US"/>
        </w:rPr>
      </w:pPr>
      <w:r w:rsidRPr="00E63216">
        <w:rPr>
          <w:rFonts w:cs="Times New Roman"/>
          <w:lang w:val="en-US"/>
        </w:rPr>
        <w:t xml:space="preserve">The impact of Rhodesia’s decision to declare UDI was felt far beyond the country’s national borders. In Southern Africa, Smith’s regime enjoyed support from the apartheid state and Portuguese East Africa. This buttressing, however, </w:t>
      </w:r>
      <w:r w:rsidR="002C2C8E" w:rsidRPr="00E63216">
        <w:rPr>
          <w:rFonts w:cs="Times New Roman"/>
          <w:lang w:val="en-US"/>
        </w:rPr>
        <w:t xml:space="preserve">did </w:t>
      </w:r>
      <w:r w:rsidRPr="00E63216">
        <w:rPr>
          <w:rFonts w:cs="Times New Roman"/>
          <w:lang w:val="en-US"/>
        </w:rPr>
        <w:t xml:space="preserve">not last forever. When Mozambique gained its independence in 1975, Rhodesia lost the practical and psychological support afforded by the previous regime, whilst also becoming </w:t>
      </w:r>
      <w:r w:rsidR="002C2C8E" w:rsidRPr="00E63216">
        <w:rPr>
          <w:rFonts w:cs="Times New Roman"/>
          <w:lang w:val="en-US"/>
        </w:rPr>
        <w:t xml:space="preserve">increasingly </w:t>
      </w:r>
      <w:r w:rsidRPr="00E63216">
        <w:rPr>
          <w:rFonts w:cs="Times New Roman"/>
          <w:lang w:val="en-US"/>
        </w:rPr>
        <w:t>vulnerable</w:t>
      </w:r>
      <w:r w:rsidR="002C2C8E" w:rsidRPr="00E63216">
        <w:rPr>
          <w:rFonts w:cs="Times New Roman"/>
          <w:lang w:val="en-US"/>
        </w:rPr>
        <w:t xml:space="preserve"> to guerrilla incursion</w:t>
      </w:r>
      <w:r w:rsidRPr="00E63216">
        <w:rPr>
          <w:rFonts w:cs="Times New Roman"/>
          <w:lang w:val="en-US"/>
        </w:rPr>
        <w:t xml:space="preserve"> on three ‘fronts’</w:t>
      </w:r>
      <w:r w:rsidR="00D470B1" w:rsidRPr="00E63216">
        <w:rPr>
          <w:rFonts w:cs="Times New Roman"/>
          <w:lang w:val="en-US"/>
        </w:rPr>
        <w:t>.</w:t>
      </w:r>
      <w:r w:rsidRPr="00E63216">
        <w:rPr>
          <w:rFonts w:cs="Times New Roman"/>
          <w:lang w:val="en-US"/>
        </w:rPr>
        <w:t xml:space="preserve"> In addition, although Pretoria continued to exert its power in the region (often to the benefit of the Smith </w:t>
      </w:r>
      <w:r w:rsidR="00D470B1" w:rsidRPr="00E63216">
        <w:rPr>
          <w:rFonts w:cs="Times New Roman"/>
          <w:lang w:val="en-US"/>
        </w:rPr>
        <w:t>r</w:t>
      </w:r>
      <w:r w:rsidRPr="00E63216">
        <w:rPr>
          <w:rFonts w:cs="Times New Roman"/>
          <w:lang w:val="en-US"/>
        </w:rPr>
        <w:t xml:space="preserve">egime), </w:t>
      </w:r>
      <w:r w:rsidR="007E0B93" w:rsidRPr="00E63216">
        <w:rPr>
          <w:rFonts w:cs="Times New Roman"/>
          <w:lang w:val="en-US"/>
        </w:rPr>
        <w:t xml:space="preserve">South African Prime Minister </w:t>
      </w:r>
      <w:r w:rsidRPr="00E63216">
        <w:rPr>
          <w:rFonts w:cs="Times New Roman"/>
          <w:lang w:val="en-US"/>
        </w:rPr>
        <w:t>B.J</w:t>
      </w:r>
      <w:r w:rsidR="00D470B1" w:rsidRPr="00E63216">
        <w:rPr>
          <w:rFonts w:cs="Times New Roman"/>
          <w:lang w:val="en-US"/>
        </w:rPr>
        <w:t>.</w:t>
      </w:r>
      <w:r w:rsidRPr="00E63216">
        <w:rPr>
          <w:rFonts w:cs="Times New Roman"/>
          <w:lang w:val="en-US"/>
        </w:rPr>
        <w:t xml:space="preserve"> Vorster’s policy of détente further weakened Smith’s position.</w:t>
      </w:r>
      <w:r w:rsidRPr="00E63216">
        <w:rPr>
          <w:rStyle w:val="EndnoteReference"/>
          <w:rFonts w:cs="Times New Roman"/>
          <w:lang w:val="en-US"/>
        </w:rPr>
        <w:endnoteReference w:id="21"/>
      </w:r>
      <w:r w:rsidRPr="00E63216">
        <w:rPr>
          <w:rFonts w:cs="Times New Roman"/>
          <w:lang w:val="en-US"/>
        </w:rPr>
        <w:t xml:space="preserve"> </w:t>
      </w:r>
      <w:r w:rsidRPr="00E63216">
        <w:rPr>
          <w:rFonts w:eastAsia="Times New Roman" w:cs="Times New Roman"/>
        </w:rPr>
        <w:t xml:space="preserve">It was during the second half of the 1970s, therefore, within a context dramatically altered by the conflict in Angola, that regional and international diplomacy increased its efforts to find a political solution that would bring about a ceasefire and usher in majority rule governance. </w:t>
      </w:r>
    </w:p>
    <w:p w14:paraId="74F8BF1E" w14:textId="77777777" w:rsidR="00E63216" w:rsidRDefault="00E63216" w:rsidP="007B66CA">
      <w:pPr>
        <w:spacing w:line="480" w:lineRule="auto"/>
        <w:jc w:val="both"/>
        <w:rPr>
          <w:rFonts w:cs="Times New Roman"/>
          <w:lang w:val="en-US"/>
        </w:rPr>
      </w:pPr>
    </w:p>
    <w:p w14:paraId="6830E249" w14:textId="77E49FD7" w:rsidR="009733B7" w:rsidRPr="00E63216" w:rsidRDefault="009733B7" w:rsidP="007B66CA">
      <w:pPr>
        <w:spacing w:line="480" w:lineRule="auto"/>
        <w:jc w:val="both"/>
        <w:rPr>
          <w:rFonts w:cs="Times New Roman"/>
        </w:rPr>
      </w:pPr>
      <w:r w:rsidRPr="00E63216">
        <w:rPr>
          <w:rFonts w:cs="Times New Roman"/>
          <w:lang w:val="en-US"/>
        </w:rPr>
        <w:t xml:space="preserve">It is now almost axiomatic to argue that Rhodesia proved to be one of the most complex episodes in the history of Britain’s </w:t>
      </w:r>
      <w:proofErr w:type="spellStart"/>
      <w:r w:rsidRPr="00E63216">
        <w:rPr>
          <w:rFonts w:cs="Times New Roman"/>
          <w:lang w:val="en-US"/>
        </w:rPr>
        <w:t>decoloni</w:t>
      </w:r>
      <w:r w:rsidR="00D56160" w:rsidRPr="00E63216">
        <w:rPr>
          <w:rFonts w:cs="Times New Roman"/>
          <w:lang w:val="en-US"/>
        </w:rPr>
        <w:t>s</w:t>
      </w:r>
      <w:r w:rsidRPr="00E63216">
        <w:rPr>
          <w:rFonts w:cs="Times New Roman"/>
          <w:lang w:val="en-US"/>
        </w:rPr>
        <w:t>ation</w:t>
      </w:r>
      <w:proofErr w:type="spellEnd"/>
      <w:r w:rsidRPr="00E63216">
        <w:rPr>
          <w:rFonts w:cs="Times New Roman"/>
          <w:lang w:val="en-US"/>
        </w:rPr>
        <w:t xml:space="preserve"> since the Suez Crisis of 1956. The Rhodesian </w:t>
      </w:r>
      <w:r w:rsidR="009D3A20" w:rsidRPr="00E63216">
        <w:rPr>
          <w:rFonts w:cs="Times New Roman"/>
          <w:lang w:val="en-US"/>
        </w:rPr>
        <w:t>‘</w:t>
      </w:r>
      <w:r w:rsidRPr="00E63216">
        <w:rPr>
          <w:rFonts w:cs="Times New Roman"/>
          <w:lang w:val="en-US"/>
        </w:rPr>
        <w:t>problem</w:t>
      </w:r>
      <w:r w:rsidR="009D3A20" w:rsidRPr="00E63216">
        <w:rPr>
          <w:rFonts w:cs="Times New Roman"/>
          <w:lang w:val="en-US"/>
        </w:rPr>
        <w:t>’</w:t>
      </w:r>
      <w:r w:rsidRPr="00E63216">
        <w:rPr>
          <w:rFonts w:cs="Times New Roman"/>
          <w:lang w:val="en-US"/>
        </w:rPr>
        <w:t xml:space="preserve"> however remained a thorn in the side of successive </w:t>
      </w:r>
      <w:r w:rsidRPr="00E63216">
        <w:rPr>
          <w:rFonts w:cs="Times New Roman"/>
          <w:lang w:val="en-US"/>
        </w:rPr>
        <w:lastRenderedPageBreak/>
        <w:t xml:space="preserve">British governments. As </w:t>
      </w:r>
      <w:proofErr w:type="spellStart"/>
      <w:r w:rsidRPr="00E63216">
        <w:rPr>
          <w:rFonts w:cs="Times New Roman"/>
          <w:lang w:val="en-US"/>
        </w:rPr>
        <w:t>Labour</w:t>
      </w:r>
      <w:proofErr w:type="spellEnd"/>
      <w:r w:rsidRPr="00E63216">
        <w:rPr>
          <w:rFonts w:cs="Times New Roman"/>
          <w:lang w:val="en-US"/>
        </w:rPr>
        <w:t xml:space="preserve"> MP for Watford Raphael Tuck asked Ted Heath in 1973: ‘</w:t>
      </w:r>
      <w:r w:rsidRPr="00E63216">
        <w:rPr>
          <w:rFonts w:eastAsia="Times New Roman" w:cs="Times New Roman"/>
        </w:rPr>
        <w:t xml:space="preserve">why is the Prime Minister's approach to this problem so weak-kneed?’ He went on further: ‘does he think that his predecessor, Mr. Disraeli, would have been guilty of such spineless inactivity? Why does not the right </w:t>
      </w:r>
      <w:r w:rsidR="004C0AE0" w:rsidRPr="00E63216">
        <w:rPr>
          <w:rFonts w:eastAsia="Times New Roman" w:cs="Times New Roman"/>
        </w:rPr>
        <w:t>H</w:t>
      </w:r>
      <w:r w:rsidRPr="00E63216">
        <w:rPr>
          <w:rFonts w:eastAsia="Times New Roman" w:cs="Times New Roman"/>
        </w:rPr>
        <w:t>on. Gentleman call a meeting of the Governments concerned and make clear to them this country's determined disapproval’</w:t>
      </w:r>
      <w:r w:rsidR="00F50F29">
        <w:rPr>
          <w:rFonts w:eastAsia="Times New Roman" w:cs="Times New Roman"/>
        </w:rPr>
        <w:t>.</w:t>
      </w:r>
      <w:r w:rsidRPr="00E63216">
        <w:rPr>
          <w:rStyle w:val="EndnoteReference"/>
          <w:rFonts w:eastAsia="Times New Roman" w:cs="Times New Roman"/>
        </w:rPr>
        <w:endnoteReference w:id="22"/>
      </w:r>
      <w:r w:rsidRPr="00E63216">
        <w:rPr>
          <w:rFonts w:eastAsia="Times New Roman" w:cs="Times New Roman"/>
        </w:rPr>
        <w:t xml:space="preserve"> From Wilson in 1964 through to James Callaghan over a decade later, </w:t>
      </w:r>
      <w:r w:rsidR="00C06FD6" w:rsidRPr="00E63216">
        <w:rPr>
          <w:rFonts w:eastAsia="Times New Roman" w:cs="Times New Roman"/>
        </w:rPr>
        <w:t xml:space="preserve">successive </w:t>
      </w:r>
      <w:r w:rsidRPr="00E63216">
        <w:rPr>
          <w:rFonts w:eastAsia="Times New Roman" w:cs="Times New Roman"/>
        </w:rPr>
        <w:t>Labour government</w:t>
      </w:r>
      <w:r w:rsidR="00C06FD6" w:rsidRPr="00E63216">
        <w:rPr>
          <w:rFonts w:eastAsia="Times New Roman" w:cs="Times New Roman"/>
        </w:rPr>
        <w:t>s</w:t>
      </w:r>
      <w:r w:rsidRPr="00E63216">
        <w:rPr>
          <w:rFonts w:eastAsia="Times New Roman" w:cs="Times New Roman"/>
        </w:rPr>
        <w:t xml:space="preserve">, despite high-flown rhetoric to the contrary, did not ensure the coming of majority rule in the country. </w:t>
      </w:r>
      <w:r w:rsidR="00C06FD6" w:rsidRPr="00E63216">
        <w:rPr>
          <w:rFonts w:eastAsia="Times New Roman" w:cs="Times New Roman"/>
        </w:rPr>
        <w:t xml:space="preserve">Only in </w:t>
      </w:r>
      <w:r w:rsidRPr="00E63216">
        <w:rPr>
          <w:rFonts w:eastAsia="Times New Roman" w:cs="Times New Roman"/>
        </w:rPr>
        <w:t xml:space="preserve">the early days of the premiership of Margaret Thatcher </w:t>
      </w:r>
      <w:r w:rsidR="00C06FD6" w:rsidRPr="00E63216">
        <w:rPr>
          <w:rFonts w:eastAsia="Times New Roman" w:cs="Times New Roman"/>
        </w:rPr>
        <w:t xml:space="preserve">was </w:t>
      </w:r>
      <w:r w:rsidRPr="00E63216">
        <w:rPr>
          <w:rFonts w:eastAsia="Times New Roman" w:cs="Times New Roman"/>
        </w:rPr>
        <w:t xml:space="preserve">the puzzle of Rhodesia finally solved. </w:t>
      </w:r>
      <w:r w:rsidRPr="00E63216">
        <w:rPr>
          <w:rFonts w:cs="Times New Roman"/>
          <w:lang w:val="en-US"/>
        </w:rPr>
        <w:t xml:space="preserve">As the 1970s progressed, white Rhodesia found itself with fewer international friends, alongside being embroiled in a deeply damaging and seemingly unwinnable civil war. The personification of belligerent and outmoded settler colonialism, by the late 1970s, Smith’s misguided boast that he didn’t </w:t>
      </w:r>
      <w:r w:rsidRPr="00E63216">
        <w:rPr>
          <w:rStyle w:val="st"/>
          <w:rFonts w:eastAsia="Times New Roman" w:cs="Times New Roman"/>
        </w:rPr>
        <w:t xml:space="preserve">‘believe in </w:t>
      </w:r>
      <w:r w:rsidRPr="00E63216">
        <w:rPr>
          <w:rStyle w:val="Emphasis"/>
          <w:rFonts w:eastAsia="Times New Roman" w:cs="Times New Roman"/>
          <w:i w:val="0"/>
        </w:rPr>
        <w:t>majority rule</w:t>
      </w:r>
      <w:r w:rsidRPr="00E63216">
        <w:rPr>
          <w:rStyle w:val="st"/>
          <w:rFonts w:eastAsia="Times New Roman" w:cs="Times New Roman"/>
        </w:rPr>
        <w:t xml:space="preserve"> ever in </w:t>
      </w:r>
      <w:r w:rsidRPr="00E63216">
        <w:rPr>
          <w:rStyle w:val="Emphasis"/>
          <w:rFonts w:eastAsia="Times New Roman" w:cs="Times New Roman"/>
          <w:i w:val="0"/>
        </w:rPr>
        <w:t>Rhodesia</w:t>
      </w:r>
      <w:r w:rsidRPr="00E63216">
        <w:rPr>
          <w:rStyle w:val="st"/>
          <w:rFonts w:eastAsia="Times New Roman" w:cs="Times New Roman"/>
          <w:i/>
        </w:rPr>
        <w:t>—</w:t>
      </w:r>
      <w:r w:rsidRPr="00E63216">
        <w:rPr>
          <w:rStyle w:val="Emphasis"/>
          <w:rFonts w:eastAsia="Times New Roman" w:cs="Times New Roman"/>
          <w:i w:val="0"/>
        </w:rPr>
        <w:t>not</w:t>
      </w:r>
      <w:r w:rsidRPr="00E63216">
        <w:rPr>
          <w:rStyle w:val="st"/>
          <w:rFonts w:eastAsia="Times New Roman" w:cs="Times New Roman"/>
          <w:i/>
        </w:rPr>
        <w:t xml:space="preserve"> </w:t>
      </w:r>
      <w:r w:rsidRPr="00E63216">
        <w:rPr>
          <w:rStyle w:val="st"/>
          <w:rFonts w:eastAsia="Times New Roman" w:cs="Times New Roman"/>
        </w:rPr>
        <w:t>in</w:t>
      </w:r>
      <w:r w:rsidRPr="00E63216">
        <w:rPr>
          <w:rStyle w:val="st"/>
          <w:rFonts w:eastAsia="Times New Roman" w:cs="Times New Roman"/>
          <w:i/>
        </w:rPr>
        <w:t xml:space="preserve"> </w:t>
      </w:r>
      <w:r w:rsidRPr="00E63216">
        <w:rPr>
          <w:rStyle w:val="Emphasis"/>
          <w:rFonts w:eastAsia="Times New Roman" w:cs="Times New Roman"/>
          <w:i w:val="0"/>
        </w:rPr>
        <w:t>1,000 years’</w:t>
      </w:r>
      <w:r w:rsidR="00F50F29">
        <w:rPr>
          <w:rStyle w:val="Emphasis"/>
          <w:rFonts w:eastAsia="Times New Roman" w:cs="Times New Roman"/>
          <w:i w:val="0"/>
        </w:rPr>
        <w:t xml:space="preserve"> rang hollow,</w:t>
      </w:r>
      <w:r w:rsidRPr="00E63216">
        <w:rPr>
          <w:rStyle w:val="EndnoteReference"/>
          <w:rFonts w:eastAsia="Times New Roman" w:cs="Times New Roman"/>
          <w:iCs/>
        </w:rPr>
        <w:endnoteReference w:id="23"/>
      </w:r>
      <w:r w:rsidRPr="00E63216">
        <w:rPr>
          <w:rStyle w:val="Emphasis"/>
          <w:rFonts w:eastAsia="Times New Roman" w:cs="Times New Roman"/>
          <w:i w:val="0"/>
        </w:rPr>
        <w:t xml:space="preserve"> as he committed the country to the Lancaster House negotiations, where the details of Zimbabwe’s independence were finally thrashed out. Barely one month after Zimbabwe was born, Lord Soames, the last British governor of the country, remarked in a public lecture that: </w:t>
      </w:r>
      <w:r w:rsidRPr="00E63216">
        <w:rPr>
          <w:rFonts w:cs="Times New Roman"/>
        </w:rPr>
        <w:t>‘from the beginning, Britain’s commitment in Rhodesia was hesitant and reluctant – the reverse of full hearted’</w:t>
      </w:r>
      <w:r w:rsidR="00401082" w:rsidRPr="00E63216">
        <w:rPr>
          <w:rFonts w:cs="Times New Roman"/>
        </w:rPr>
        <w:t>.</w:t>
      </w:r>
      <w:r w:rsidRPr="00E63216">
        <w:rPr>
          <w:rStyle w:val="EndnoteReference"/>
          <w:rFonts w:cs="Times New Roman"/>
        </w:rPr>
        <w:endnoteReference w:id="24"/>
      </w:r>
      <w:r w:rsidRPr="00E63216">
        <w:rPr>
          <w:rFonts w:cs="Times New Roman"/>
        </w:rPr>
        <w:t xml:space="preserve"> </w:t>
      </w:r>
    </w:p>
    <w:p w14:paraId="05C8E03B" w14:textId="77777777" w:rsidR="00E63216" w:rsidRDefault="00E63216" w:rsidP="007B66CA">
      <w:pPr>
        <w:spacing w:line="480" w:lineRule="auto"/>
        <w:jc w:val="both"/>
        <w:rPr>
          <w:rFonts w:cs="Times New Roman"/>
        </w:rPr>
      </w:pPr>
    </w:p>
    <w:p w14:paraId="7F3B407A" w14:textId="48D80776" w:rsidR="00AF1E03" w:rsidRPr="00E63216" w:rsidRDefault="00C06FD6" w:rsidP="007B66CA">
      <w:pPr>
        <w:spacing w:line="480" w:lineRule="auto"/>
        <w:jc w:val="both"/>
        <w:rPr>
          <w:rFonts w:cs="Times New Roman"/>
        </w:rPr>
      </w:pPr>
      <w:r w:rsidRPr="00E63216">
        <w:rPr>
          <w:rFonts w:cs="Times New Roman"/>
        </w:rPr>
        <w:t xml:space="preserve">On </w:t>
      </w:r>
      <w:r w:rsidR="000A41D7" w:rsidRPr="00E63216">
        <w:rPr>
          <w:rFonts w:cs="Times New Roman"/>
        </w:rPr>
        <w:t xml:space="preserve">November </w:t>
      </w:r>
      <w:r w:rsidR="00F50F29">
        <w:rPr>
          <w:rFonts w:cs="Times New Roman"/>
        </w:rPr>
        <w:t xml:space="preserve">11, </w:t>
      </w:r>
      <w:r w:rsidR="000A41D7" w:rsidRPr="00E63216">
        <w:rPr>
          <w:rFonts w:cs="Times New Roman"/>
        </w:rPr>
        <w:t xml:space="preserve">2015, fifty years since UDI had been declared, approximately </w:t>
      </w:r>
      <w:r w:rsidR="0088790D" w:rsidRPr="00E63216">
        <w:rPr>
          <w:rFonts w:cs="Times New Roman"/>
        </w:rPr>
        <w:t>thirty</w:t>
      </w:r>
      <w:r w:rsidR="000A41D7" w:rsidRPr="00E63216">
        <w:rPr>
          <w:rFonts w:cs="Times New Roman"/>
        </w:rPr>
        <w:t xml:space="preserve"> scholars from within and outside the </w:t>
      </w:r>
      <w:r w:rsidR="00DE6BA2" w:rsidRPr="00E63216">
        <w:rPr>
          <w:rFonts w:cs="Times New Roman"/>
        </w:rPr>
        <w:t xml:space="preserve">Southern African </w:t>
      </w:r>
      <w:r w:rsidR="000A41D7" w:rsidRPr="00E63216">
        <w:rPr>
          <w:rFonts w:cs="Times New Roman"/>
        </w:rPr>
        <w:t xml:space="preserve">region came together to further debate the </w:t>
      </w:r>
      <w:r w:rsidR="00AD1893" w:rsidRPr="00E63216">
        <w:rPr>
          <w:rFonts w:cs="Times New Roman"/>
        </w:rPr>
        <w:t>legacy of Rhodesia’s UDI. Held at the University of the Free State</w:t>
      </w:r>
      <w:r w:rsidR="00A105D7" w:rsidRPr="00E63216">
        <w:rPr>
          <w:rFonts w:cs="Times New Roman"/>
        </w:rPr>
        <w:t xml:space="preserve"> in Bloemfontein, South Africa,</w:t>
      </w:r>
      <w:r w:rsidR="00AD1893" w:rsidRPr="00E63216">
        <w:rPr>
          <w:rFonts w:cs="Times New Roman"/>
        </w:rPr>
        <w:t xml:space="preserve"> in what once was the heartland of the Afrikaner National Party, the conference ‘From the Second to the Third </w:t>
      </w:r>
      <w:r w:rsidR="00AD1893" w:rsidRPr="00E63216">
        <w:rPr>
          <w:rFonts w:cs="Times New Roman"/>
          <w:i/>
        </w:rPr>
        <w:t>Chimurenga</w:t>
      </w:r>
      <w:r w:rsidR="00AD1893" w:rsidRPr="00E63216">
        <w:rPr>
          <w:rFonts w:cs="Times New Roman"/>
        </w:rPr>
        <w:t xml:space="preserve">: Historical </w:t>
      </w:r>
      <w:r w:rsidR="00AD1893" w:rsidRPr="00E63216">
        <w:rPr>
          <w:rFonts w:cs="Times New Roman"/>
        </w:rPr>
        <w:lastRenderedPageBreak/>
        <w:t>Perspect</w:t>
      </w:r>
      <w:r w:rsidR="0088790D" w:rsidRPr="00E63216">
        <w:rPr>
          <w:rFonts w:cs="Times New Roman"/>
        </w:rPr>
        <w:t xml:space="preserve">ives on Zimbabwe’s Recent Past’, brought together both </w:t>
      </w:r>
      <w:r w:rsidR="007A0C8C" w:rsidRPr="00E63216">
        <w:rPr>
          <w:rFonts w:cs="Times New Roman"/>
        </w:rPr>
        <w:t>eminent</w:t>
      </w:r>
      <w:r w:rsidR="0088790D" w:rsidRPr="00E63216">
        <w:rPr>
          <w:rFonts w:cs="Times New Roman"/>
        </w:rPr>
        <w:t xml:space="preserve"> and emerging scholars who grappled</w:t>
      </w:r>
      <w:r w:rsidR="007A0C8C" w:rsidRPr="00E63216">
        <w:rPr>
          <w:rFonts w:cs="Times New Roman"/>
        </w:rPr>
        <w:t xml:space="preserve"> with,</w:t>
      </w:r>
      <w:r w:rsidR="0088790D" w:rsidRPr="00E63216">
        <w:rPr>
          <w:rFonts w:cs="Times New Roman"/>
        </w:rPr>
        <w:t xml:space="preserve"> and debated the impact that UDI and Zimbabwe’s eventual decolonisation had on the region’s history.</w:t>
      </w:r>
    </w:p>
    <w:p w14:paraId="064EF481" w14:textId="77777777" w:rsidR="00E63216" w:rsidRDefault="00E63216" w:rsidP="007B66CA">
      <w:pPr>
        <w:spacing w:line="480" w:lineRule="auto"/>
        <w:jc w:val="both"/>
        <w:rPr>
          <w:rFonts w:cs="Times New Roman"/>
          <w:lang w:val="en-US"/>
        </w:rPr>
      </w:pPr>
    </w:p>
    <w:p w14:paraId="2E3A34BE" w14:textId="1EE8EB9B" w:rsidR="00AD1893" w:rsidRPr="00E63216" w:rsidRDefault="00177229" w:rsidP="007B66CA">
      <w:pPr>
        <w:spacing w:line="480" w:lineRule="auto"/>
        <w:jc w:val="both"/>
        <w:rPr>
          <w:rFonts w:cs="Times New Roman"/>
          <w:lang w:val="en-US"/>
        </w:rPr>
      </w:pPr>
      <w:r>
        <w:rPr>
          <w:rFonts w:cs="Times New Roman"/>
          <w:lang w:val="en-US"/>
        </w:rPr>
        <w:t>I</w:t>
      </w:r>
      <w:r w:rsidR="00AD1893" w:rsidRPr="00E63216">
        <w:rPr>
          <w:rFonts w:cs="Times New Roman"/>
          <w:lang w:val="en-US"/>
        </w:rPr>
        <w:t xml:space="preserve">t </w:t>
      </w:r>
      <w:r w:rsidR="0088790D" w:rsidRPr="00E63216">
        <w:rPr>
          <w:rFonts w:cs="Times New Roman"/>
          <w:lang w:val="en-US"/>
        </w:rPr>
        <w:t>became</w:t>
      </w:r>
      <w:r w:rsidR="00AD1893" w:rsidRPr="00E63216">
        <w:rPr>
          <w:rFonts w:cs="Times New Roman"/>
          <w:lang w:val="en-US"/>
        </w:rPr>
        <w:t xml:space="preserve"> clear that many papers</w:t>
      </w:r>
      <w:r w:rsidR="007A0C8C" w:rsidRPr="00E63216">
        <w:rPr>
          <w:rFonts w:cs="Times New Roman"/>
          <w:lang w:val="en-US"/>
        </w:rPr>
        <w:t xml:space="preserve"> </w:t>
      </w:r>
      <w:r w:rsidR="00AD1893" w:rsidRPr="00E63216">
        <w:rPr>
          <w:rFonts w:cs="Times New Roman"/>
          <w:lang w:val="en-US"/>
        </w:rPr>
        <w:t xml:space="preserve">were based on a highly sophisticated and fresh reading of multiple source bases, and were thus opening up new and important avenues of historical research into the dynamics of Zimbabwe’s </w:t>
      </w:r>
      <w:proofErr w:type="spellStart"/>
      <w:r w:rsidR="00AD1893" w:rsidRPr="00E63216">
        <w:rPr>
          <w:rFonts w:cs="Times New Roman"/>
          <w:lang w:val="en-US"/>
        </w:rPr>
        <w:t>decolonisation</w:t>
      </w:r>
      <w:proofErr w:type="spellEnd"/>
      <w:r w:rsidR="00AD1893" w:rsidRPr="00E63216">
        <w:rPr>
          <w:rFonts w:cs="Times New Roman"/>
          <w:lang w:val="en-US"/>
        </w:rPr>
        <w:t xml:space="preserve">. </w:t>
      </w:r>
      <w:r w:rsidR="0088790D" w:rsidRPr="00E63216">
        <w:rPr>
          <w:rFonts w:cs="Times New Roman"/>
          <w:lang w:val="en-US"/>
        </w:rPr>
        <w:t>In particular, it</w:t>
      </w:r>
      <w:r w:rsidR="00AD1893" w:rsidRPr="00E63216">
        <w:rPr>
          <w:rFonts w:cs="Times New Roman"/>
          <w:lang w:val="en-US"/>
        </w:rPr>
        <w:t xml:space="preserve"> became obvious that various papers on the role of finance and ‘big business’, and the regional and international actors involved in the country’s negotiated independence, were updating long held historiographical wisdom, </w:t>
      </w:r>
      <w:r>
        <w:rPr>
          <w:rFonts w:cs="Times New Roman"/>
          <w:lang w:val="en-US"/>
        </w:rPr>
        <w:t xml:space="preserve">and </w:t>
      </w:r>
      <w:proofErr w:type="spellStart"/>
      <w:r w:rsidR="00AD1893" w:rsidRPr="00E63216">
        <w:rPr>
          <w:rFonts w:cs="Times New Roman"/>
          <w:lang w:val="en-US"/>
        </w:rPr>
        <w:t>signalling</w:t>
      </w:r>
      <w:proofErr w:type="spellEnd"/>
      <w:r w:rsidR="00AD1893" w:rsidRPr="00E63216">
        <w:rPr>
          <w:rFonts w:cs="Times New Roman"/>
          <w:lang w:val="en-US"/>
        </w:rPr>
        <w:t xml:space="preserve"> a revival in economic and diplomatic explanations for the country’s </w:t>
      </w:r>
      <w:proofErr w:type="spellStart"/>
      <w:r w:rsidR="00AD1893" w:rsidRPr="00E63216">
        <w:rPr>
          <w:rFonts w:cs="Times New Roman"/>
          <w:lang w:val="en-US"/>
        </w:rPr>
        <w:t>decolonisation</w:t>
      </w:r>
      <w:proofErr w:type="spellEnd"/>
      <w:r w:rsidR="00AD1893" w:rsidRPr="00E63216">
        <w:rPr>
          <w:rFonts w:cs="Times New Roman"/>
          <w:lang w:val="en-US"/>
        </w:rPr>
        <w:t xml:space="preserve">. </w:t>
      </w:r>
      <w:r w:rsidR="0088790D" w:rsidRPr="00E63216">
        <w:rPr>
          <w:rFonts w:cs="Times New Roman"/>
          <w:lang w:val="en-US"/>
        </w:rPr>
        <w:t>Furthermore</w:t>
      </w:r>
      <w:r w:rsidR="00AD1893" w:rsidRPr="00E63216">
        <w:rPr>
          <w:rFonts w:cs="Times New Roman"/>
          <w:lang w:val="en-US"/>
        </w:rPr>
        <w:t xml:space="preserve">, the </w:t>
      </w:r>
      <w:r w:rsidR="0088790D" w:rsidRPr="00E63216">
        <w:rPr>
          <w:rFonts w:cs="Times New Roman"/>
          <w:lang w:val="en-US"/>
        </w:rPr>
        <w:t>articles in this special edition</w:t>
      </w:r>
      <w:r w:rsidR="00AD1893" w:rsidRPr="00E63216">
        <w:rPr>
          <w:rFonts w:cs="Times New Roman"/>
          <w:lang w:val="en-US"/>
        </w:rPr>
        <w:t xml:space="preserve"> shed new light on the role</w:t>
      </w:r>
      <w:r>
        <w:rPr>
          <w:rFonts w:cs="Times New Roman"/>
          <w:lang w:val="en-US"/>
        </w:rPr>
        <w:t>s</w:t>
      </w:r>
      <w:r w:rsidR="00AD1893" w:rsidRPr="00E63216">
        <w:rPr>
          <w:rFonts w:cs="Times New Roman"/>
          <w:lang w:val="en-US"/>
        </w:rPr>
        <w:t xml:space="preserve"> played in the </w:t>
      </w:r>
      <w:proofErr w:type="spellStart"/>
      <w:r w:rsidR="00AD1893" w:rsidRPr="00E63216">
        <w:rPr>
          <w:rFonts w:cs="Times New Roman"/>
          <w:lang w:val="en-US"/>
        </w:rPr>
        <w:t>decoloni</w:t>
      </w:r>
      <w:r w:rsidR="00D56160" w:rsidRPr="00E63216">
        <w:rPr>
          <w:rFonts w:cs="Times New Roman"/>
          <w:lang w:val="en-US"/>
        </w:rPr>
        <w:t>s</w:t>
      </w:r>
      <w:r w:rsidR="00AD1893" w:rsidRPr="00E63216">
        <w:rPr>
          <w:rFonts w:cs="Times New Roman"/>
          <w:lang w:val="en-US"/>
        </w:rPr>
        <w:t>ation</w:t>
      </w:r>
      <w:proofErr w:type="spellEnd"/>
      <w:r w:rsidR="00AD1893" w:rsidRPr="00E63216">
        <w:rPr>
          <w:rFonts w:cs="Times New Roman"/>
          <w:lang w:val="en-US"/>
        </w:rPr>
        <w:t xml:space="preserve"> of Zimbabwe by economic (private business) and political (liberation movements, Western and Southern African governments) actors that until now have been studied with very limited access to primary sources. </w:t>
      </w:r>
    </w:p>
    <w:p w14:paraId="1E06ADC4" w14:textId="77777777" w:rsidR="00E63216" w:rsidRDefault="00E63216" w:rsidP="007B66CA">
      <w:pPr>
        <w:spacing w:line="480" w:lineRule="auto"/>
        <w:jc w:val="both"/>
        <w:rPr>
          <w:rFonts w:cs="Times New Roman"/>
          <w:lang w:val="en-US"/>
        </w:rPr>
      </w:pPr>
    </w:p>
    <w:p w14:paraId="791B6389" w14:textId="6C7E76CC" w:rsidR="00AD1893" w:rsidRPr="00E63216" w:rsidRDefault="0088790D" w:rsidP="007B66CA">
      <w:pPr>
        <w:spacing w:line="480" w:lineRule="auto"/>
        <w:jc w:val="both"/>
        <w:rPr>
          <w:rFonts w:cs="Times New Roman"/>
          <w:lang w:val="en-US"/>
        </w:rPr>
      </w:pPr>
      <w:r w:rsidRPr="00E63216">
        <w:rPr>
          <w:rFonts w:cs="Times New Roman"/>
          <w:lang w:val="en-US"/>
        </w:rPr>
        <w:t>T</w:t>
      </w:r>
      <w:r w:rsidR="00AD1893" w:rsidRPr="00E63216">
        <w:rPr>
          <w:rFonts w:cs="Times New Roman"/>
          <w:lang w:val="en-US"/>
        </w:rPr>
        <w:t xml:space="preserve">he first </w:t>
      </w:r>
      <w:r w:rsidRPr="00E63216">
        <w:rPr>
          <w:rFonts w:cs="Times New Roman"/>
          <w:lang w:val="en-US"/>
        </w:rPr>
        <w:t>article</w:t>
      </w:r>
      <w:r w:rsidR="00AD1893" w:rsidRPr="00E63216">
        <w:rPr>
          <w:rFonts w:cs="Times New Roman"/>
          <w:lang w:val="en-US"/>
        </w:rPr>
        <w:t xml:space="preserve"> by </w:t>
      </w:r>
      <w:r w:rsidRPr="00E63216">
        <w:rPr>
          <w:rFonts w:cs="Times New Roman"/>
          <w:lang w:val="en-US"/>
        </w:rPr>
        <w:t xml:space="preserve">Tony </w:t>
      </w:r>
      <w:r w:rsidR="00AD1893" w:rsidRPr="00E63216">
        <w:rPr>
          <w:rFonts w:cs="Times New Roman"/>
          <w:lang w:val="en-US"/>
        </w:rPr>
        <w:t>Hopkins,</w:t>
      </w:r>
      <w:r w:rsidRPr="00E63216">
        <w:rPr>
          <w:rFonts w:cs="Times New Roman"/>
          <w:lang w:val="en-US"/>
        </w:rPr>
        <w:t xml:space="preserve"> the keynote speaker at the conference:</w:t>
      </w:r>
      <w:r w:rsidR="00AD1893" w:rsidRPr="00E63216">
        <w:rPr>
          <w:rFonts w:cs="Times New Roman"/>
          <w:lang w:val="en-US"/>
        </w:rPr>
        <w:t xml:space="preserve"> ‘</w:t>
      </w:r>
      <w:proofErr w:type="spellStart"/>
      <w:r w:rsidR="00AD1893" w:rsidRPr="00E63216">
        <w:rPr>
          <w:rFonts w:cs="Times New Roman"/>
          <w:lang w:val="en-US"/>
        </w:rPr>
        <w:t>Globalisation</w:t>
      </w:r>
      <w:proofErr w:type="spellEnd"/>
      <w:r w:rsidR="00AD1893" w:rsidRPr="00E63216">
        <w:rPr>
          <w:rFonts w:cs="Times New Roman"/>
          <w:lang w:val="en-US"/>
        </w:rPr>
        <w:t xml:space="preserve"> and </w:t>
      </w:r>
      <w:proofErr w:type="spellStart"/>
      <w:r w:rsidR="00AD1893" w:rsidRPr="00E63216">
        <w:rPr>
          <w:rFonts w:cs="Times New Roman"/>
          <w:lang w:val="en-US"/>
        </w:rPr>
        <w:t>Decolonisation</w:t>
      </w:r>
      <w:proofErr w:type="spellEnd"/>
      <w:r w:rsidR="00AD1893" w:rsidRPr="00E63216">
        <w:rPr>
          <w:rFonts w:cs="Times New Roman"/>
          <w:lang w:val="en-US"/>
        </w:rPr>
        <w:t xml:space="preserve">’, </w:t>
      </w:r>
      <w:r w:rsidR="007A0C8C" w:rsidRPr="00E63216">
        <w:rPr>
          <w:rFonts w:cs="Times New Roman"/>
          <w:lang w:val="en-US"/>
        </w:rPr>
        <w:t>serves</w:t>
      </w:r>
      <w:r w:rsidR="00AD1893" w:rsidRPr="00E63216">
        <w:rPr>
          <w:rFonts w:cs="Times New Roman"/>
          <w:lang w:val="en-US"/>
        </w:rPr>
        <w:t xml:space="preserve"> as a plenary, thereby opening up new ways to think about </w:t>
      </w:r>
      <w:proofErr w:type="spellStart"/>
      <w:r w:rsidR="00AD1893" w:rsidRPr="00E63216">
        <w:rPr>
          <w:rFonts w:cs="Times New Roman"/>
          <w:lang w:val="en-US"/>
        </w:rPr>
        <w:t>decolonisation</w:t>
      </w:r>
      <w:proofErr w:type="spellEnd"/>
      <w:r w:rsidR="00AD1893" w:rsidRPr="00E63216">
        <w:rPr>
          <w:rFonts w:cs="Times New Roman"/>
          <w:lang w:val="en-US"/>
        </w:rPr>
        <w:t>. In particular, Hopkins</w:t>
      </w:r>
      <w:r w:rsidR="007E0B93" w:rsidRPr="00E63216">
        <w:rPr>
          <w:rFonts w:cs="Times New Roman"/>
          <w:lang w:val="en-US"/>
        </w:rPr>
        <w:t xml:space="preserve">’ </w:t>
      </w:r>
      <w:r w:rsidR="00E63216">
        <w:rPr>
          <w:rFonts w:cs="Times New Roman"/>
          <w:lang w:val="en-US"/>
        </w:rPr>
        <w:t xml:space="preserve">wide-ranging </w:t>
      </w:r>
      <w:r w:rsidR="007E0B93" w:rsidRPr="00E63216">
        <w:rPr>
          <w:rFonts w:cs="Times New Roman"/>
          <w:lang w:val="en-US"/>
        </w:rPr>
        <w:t>article</w:t>
      </w:r>
      <w:r w:rsidR="00AD1893" w:rsidRPr="00E63216">
        <w:rPr>
          <w:rFonts w:cs="Times New Roman"/>
          <w:lang w:val="en-US"/>
        </w:rPr>
        <w:t xml:space="preserve"> (re</w:t>
      </w:r>
      <w:r w:rsidR="00362DC5">
        <w:rPr>
          <w:rFonts w:cs="Times New Roman"/>
          <w:lang w:val="en-US"/>
        </w:rPr>
        <w:t>-</w:t>
      </w:r>
      <w:r w:rsidR="00AD1893" w:rsidRPr="00E63216">
        <w:rPr>
          <w:rFonts w:cs="Times New Roman"/>
          <w:lang w:val="en-US"/>
        </w:rPr>
        <w:t xml:space="preserve">) examines debates concerning the divisions between formal and informal empires, and the position of the United States as an imperial power. Articles from </w:t>
      </w:r>
      <w:r w:rsidR="007A0C8C" w:rsidRPr="00E63216">
        <w:rPr>
          <w:rFonts w:cs="Times New Roman"/>
          <w:lang w:val="en-US"/>
        </w:rPr>
        <w:t xml:space="preserve">Tinashe </w:t>
      </w:r>
      <w:proofErr w:type="spellStart"/>
      <w:r w:rsidR="00AD1893" w:rsidRPr="00E63216">
        <w:rPr>
          <w:rFonts w:cs="Times New Roman"/>
          <w:lang w:val="en-US"/>
        </w:rPr>
        <w:t>Nyamunda</w:t>
      </w:r>
      <w:proofErr w:type="spellEnd"/>
      <w:r w:rsidR="00AD1893" w:rsidRPr="00E63216">
        <w:rPr>
          <w:rFonts w:cs="Times New Roman"/>
          <w:lang w:val="en-US"/>
        </w:rPr>
        <w:t xml:space="preserve">, </w:t>
      </w:r>
      <w:r w:rsidR="007A0C8C" w:rsidRPr="00E63216">
        <w:rPr>
          <w:rFonts w:cs="Times New Roman"/>
          <w:lang w:val="en-US"/>
        </w:rPr>
        <w:t xml:space="preserve">Andrew </w:t>
      </w:r>
      <w:r w:rsidR="00AD1893" w:rsidRPr="00E63216">
        <w:rPr>
          <w:rFonts w:cs="Times New Roman"/>
          <w:lang w:val="en-US"/>
        </w:rPr>
        <w:t xml:space="preserve">Cohen and </w:t>
      </w:r>
      <w:r w:rsidR="007A0C8C" w:rsidRPr="00E63216">
        <w:rPr>
          <w:rFonts w:cs="Times New Roman"/>
          <w:lang w:val="en-US"/>
        </w:rPr>
        <w:t xml:space="preserve">Rory </w:t>
      </w:r>
      <w:proofErr w:type="spellStart"/>
      <w:r w:rsidR="00AD1893" w:rsidRPr="00E63216">
        <w:rPr>
          <w:rFonts w:cs="Times New Roman"/>
          <w:lang w:val="en-US"/>
        </w:rPr>
        <w:t>Pilossof</w:t>
      </w:r>
      <w:proofErr w:type="spellEnd"/>
      <w:r w:rsidR="00AD1893" w:rsidRPr="00E63216">
        <w:rPr>
          <w:rFonts w:cs="Times New Roman"/>
          <w:lang w:val="en-US"/>
        </w:rPr>
        <w:t xml:space="preserve"> examine economics, and the role of multinational companies in the narratives of Zimbabwe’s period of protracted </w:t>
      </w:r>
      <w:proofErr w:type="spellStart"/>
      <w:r w:rsidR="00AD1893" w:rsidRPr="00E63216">
        <w:rPr>
          <w:rFonts w:cs="Times New Roman"/>
          <w:lang w:val="en-US"/>
        </w:rPr>
        <w:t>decolonisation</w:t>
      </w:r>
      <w:proofErr w:type="spellEnd"/>
      <w:r w:rsidR="00AD1893" w:rsidRPr="00E63216">
        <w:rPr>
          <w:rFonts w:cs="Times New Roman"/>
          <w:lang w:val="en-US"/>
        </w:rPr>
        <w:t xml:space="preserve">. Contrary to arguments that suggest Smith and his </w:t>
      </w:r>
      <w:r w:rsidRPr="00E63216">
        <w:rPr>
          <w:rFonts w:cs="Times New Roman"/>
          <w:lang w:val="en-US"/>
        </w:rPr>
        <w:t>RF</w:t>
      </w:r>
      <w:r w:rsidR="00AD1893" w:rsidRPr="00E63216">
        <w:rPr>
          <w:rFonts w:cs="Times New Roman"/>
          <w:lang w:val="en-US"/>
        </w:rPr>
        <w:t xml:space="preserve"> cabinet rashly declared UDI in November 1965, </w:t>
      </w:r>
      <w:proofErr w:type="spellStart"/>
      <w:r w:rsidR="00AD1893" w:rsidRPr="00E63216">
        <w:rPr>
          <w:rFonts w:cs="Times New Roman"/>
          <w:lang w:val="en-US"/>
        </w:rPr>
        <w:t>Nyamunda’s</w:t>
      </w:r>
      <w:proofErr w:type="spellEnd"/>
      <w:r w:rsidR="00E63216">
        <w:rPr>
          <w:rFonts w:cs="Times New Roman"/>
          <w:lang w:val="en-US"/>
        </w:rPr>
        <w:t xml:space="preserve"> provocatively argued piece </w:t>
      </w:r>
      <w:r w:rsidR="00AD1893" w:rsidRPr="00E63216">
        <w:rPr>
          <w:rFonts w:cs="Times New Roman"/>
          <w:lang w:val="en-US"/>
        </w:rPr>
        <w:t xml:space="preserve">suggests </w:t>
      </w:r>
      <w:r w:rsidR="00AD1893" w:rsidRPr="00E63216">
        <w:rPr>
          <w:rFonts w:cs="Times New Roman"/>
          <w:lang w:val="en-US"/>
        </w:rPr>
        <w:lastRenderedPageBreak/>
        <w:t xml:space="preserve">that UDI was a calculated financial risk, with the white settlers correctly assuming that the British government would not use force to bring their </w:t>
      </w:r>
      <w:r w:rsidR="009D3A20" w:rsidRPr="00E63216">
        <w:rPr>
          <w:rFonts w:cs="Times New Roman"/>
          <w:lang w:val="en-US"/>
        </w:rPr>
        <w:t>‘</w:t>
      </w:r>
      <w:r w:rsidR="00AD1893" w:rsidRPr="00E63216">
        <w:rPr>
          <w:rFonts w:cs="Times New Roman"/>
          <w:lang w:val="en-US"/>
        </w:rPr>
        <w:t>kith and kin</w:t>
      </w:r>
      <w:r w:rsidR="009D3A20" w:rsidRPr="00E63216">
        <w:rPr>
          <w:rFonts w:cs="Times New Roman"/>
          <w:lang w:val="en-US"/>
        </w:rPr>
        <w:t>’</w:t>
      </w:r>
      <w:r w:rsidR="00AD1893" w:rsidRPr="00E63216">
        <w:rPr>
          <w:rFonts w:cs="Times New Roman"/>
          <w:lang w:val="en-US"/>
        </w:rPr>
        <w:t xml:space="preserve"> to terms. </w:t>
      </w:r>
      <w:r w:rsidR="00177229">
        <w:rPr>
          <w:rFonts w:cs="Times New Roman"/>
          <w:lang w:val="en-US"/>
        </w:rPr>
        <w:t xml:space="preserve">Cohen and </w:t>
      </w:r>
      <w:proofErr w:type="spellStart"/>
      <w:r w:rsidR="00177229">
        <w:rPr>
          <w:rFonts w:cs="Times New Roman"/>
          <w:lang w:val="en-US"/>
        </w:rPr>
        <w:t>Pilossof’s</w:t>
      </w:r>
      <w:proofErr w:type="spellEnd"/>
      <w:r w:rsidR="00177229">
        <w:rPr>
          <w:rFonts w:cs="Times New Roman"/>
          <w:lang w:val="en-US"/>
        </w:rPr>
        <w:t xml:space="preserve"> expansive article details </w:t>
      </w:r>
      <w:r w:rsidR="00AD1893" w:rsidRPr="00E63216">
        <w:rPr>
          <w:rFonts w:cs="Times New Roman"/>
          <w:lang w:val="en-US"/>
        </w:rPr>
        <w:t>the relationship between the managing-director of Lonrho, the (un</w:t>
      </w:r>
      <w:r w:rsidR="00362DC5">
        <w:rPr>
          <w:rFonts w:cs="Times New Roman"/>
          <w:lang w:val="en-US"/>
        </w:rPr>
        <w:t>-</w:t>
      </w:r>
      <w:r w:rsidR="00AD1893" w:rsidRPr="00E63216">
        <w:rPr>
          <w:rFonts w:cs="Times New Roman"/>
          <w:lang w:val="en-US"/>
        </w:rPr>
        <w:t xml:space="preserve">) gentlemanly capitalist Roland </w:t>
      </w:r>
      <w:r w:rsidR="009D3A20" w:rsidRPr="00E63216">
        <w:rPr>
          <w:rFonts w:cs="Times New Roman"/>
          <w:lang w:val="en-US"/>
        </w:rPr>
        <w:t>‘</w:t>
      </w:r>
      <w:r w:rsidR="00AD1893" w:rsidRPr="00E63216">
        <w:rPr>
          <w:rFonts w:cs="Times New Roman"/>
          <w:lang w:val="en-US"/>
        </w:rPr>
        <w:t>Tiny</w:t>
      </w:r>
      <w:r w:rsidR="009D3A20" w:rsidRPr="00E63216">
        <w:rPr>
          <w:rFonts w:cs="Times New Roman"/>
          <w:lang w:val="en-US"/>
        </w:rPr>
        <w:t>’</w:t>
      </w:r>
      <w:r w:rsidR="00AD1893" w:rsidRPr="00E63216">
        <w:rPr>
          <w:rFonts w:cs="Times New Roman"/>
          <w:lang w:val="en-US"/>
        </w:rPr>
        <w:t xml:space="preserve"> Rowland, and the editor of the magazine </w:t>
      </w:r>
      <w:r w:rsidR="00AD1893" w:rsidRPr="00E63216">
        <w:rPr>
          <w:rFonts w:cs="Times New Roman"/>
          <w:i/>
          <w:iCs/>
          <w:lang w:val="en-US"/>
        </w:rPr>
        <w:t>Property &amp; Finance</w:t>
      </w:r>
      <w:r w:rsidR="00AD1893" w:rsidRPr="00E63216">
        <w:rPr>
          <w:rFonts w:cs="Times New Roman"/>
          <w:lang w:val="en-US"/>
        </w:rPr>
        <w:t>, Wilfred Brookes</w:t>
      </w:r>
      <w:r w:rsidR="00177229">
        <w:rPr>
          <w:rFonts w:cs="Times New Roman"/>
          <w:lang w:val="en-US"/>
        </w:rPr>
        <w:t>. Examining</w:t>
      </w:r>
      <w:r w:rsidR="00AD1893" w:rsidRPr="00E63216">
        <w:rPr>
          <w:rFonts w:cs="Times New Roman"/>
          <w:lang w:val="en-US"/>
        </w:rPr>
        <w:t xml:space="preserve"> white settler mistrust of foreign capital</w:t>
      </w:r>
      <w:r w:rsidR="00177229">
        <w:rPr>
          <w:rFonts w:cs="Times New Roman"/>
          <w:lang w:val="en-US"/>
        </w:rPr>
        <w:t xml:space="preserve">, their article sheds new </w:t>
      </w:r>
      <w:r w:rsidR="00AD1893" w:rsidRPr="00E63216">
        <w:rPr>
          <w:rFonts w:cs="Times New Roman"/>
          <w:lang w:val="en-US"/>
        </w:rPr>
        <w:t xml:space="preserve">light on the role of multinational companies in the processes of African </w:t>
      </w:r>
      <w:proofErr w:type="spellStart"/>
      <w:r w:rsidR="00AD1893" w:rsidRPr="00E63216">
        <w:rPr>
          <w:rFonts w:cs="Times New Roman"/>
          <w:lang w:val="en-US"/>
        </w:rPr>
        <w:t>decolonisation</w:t>
      </w:r>
      <w:proofErr w:type="spellEnd"/>
      <w:r w:rsidR="00AD1893" w:rsidRPr="00E63216">
        <w:rPr>
          <w:rFonts w:cs="Times New Roman"/>
          <w:lang w:val="en-US"/>
        </w:rPr>
        <w:t xml:space="preserve">. </w:t>
      </w:r>
    </w:p>
    <w:p w14:paraId="0C705DE3" w14:textId="77777777" w:rsidR="00E63216" w:rsidRDefault="00E63216" w:rsidP="007B66CA">
      <w:pPr>
        <w:spacing w:line="480" w:lineRule="auto"/>
        <w:jc w:val="both"/>
        <w:rPr>
          <w:rFonts w:cs="Times New Roman"/>
          <w:lang w:val="en-US"/>
        </w:rPr>
      </w:pPr>
    </w:p>
    <w:p w14:paraId="76DC3D5D" w14:textId="315E166C" w:rsidR="00AD1893" w:rsidRPr="00E63216" w:rsidRDefault="0088790D" w:rsidP="007B66CA">
      <w:pPr>
        <w:spacing w:line="480" w:lineRule="auto"/>
        <w:jc w:val="both"/>
        <w:rPr>
          <w:rFonts w:cs="Times New Roman"/>
          <w:lang w:val="en-US"/>
        </w:rPr>
      </w:pPr>
      <w:r w:rsidRPr="00E63216">
        <w:rPr>
          <w:rFonts w:cs="Times New Roman"/>
          <w:lang w:val="en-US"/>
        </w:rPr>
        <w:t xml:space="preserve">The </w:t>
      </w:r>
      <w:r w:rsidR="00D56160" w:rsidRPr="00E63216">
        <w:rPr>
          <w:rFonts w:cs="Times New Roman"/>
          <w:lang w:val="en-US"/>
        </w:rPr>
        <w:t>a</w:t>
      </w:r>
      <w:r w:rsidRPr="00E63216">
        <w:rPr>
          <w:rFonts w:cs="Times New Roman"/>
          <w:lang w:val="en-US"/>
        </w:rPr>
        <w:t>rticle</w:t>
      </w:r>
      <w:r w:rsidR="00AD1893" w:rsidRPr="00E63216">
        <w:rPr>
          <w:rFonts w:cs="Times New Roman"/>
          <w:lang w:val="en-US"/>
        </w:rPr>
        <w:t xml:space="preserve"> from </w:t>
      </w:r>
      <w:r w:rsidR="007A0C8C" w:rsidRPr="00E63216">
        <w:rPr>
          <w:rFonts w:cs="Times New Roman"/>
          <w:lang w:val="en-US"/>
        </w:rPr>
        <w:t xml:space="preserve">Arrigo </w:t>
      </w:r>
      <w:proofErr w:type="spellStart"/>
      <w:r w:rsidR="00AD1893" w:rsidRPr="00E63216">
        <w:rPr>
          <w:rFonts w:cs="Times New Roman"/>
          <w:lang w:val="en-US"/>
        </w:rPr>
        <w:t>Pallotti</w:t>
      </w:r>
      <w:proofErr w:type="spellEnd"/>
      <w:r w:rsidR="00AD1893" w:rsidRPr="00E63216">
        <w:rPr>
          <w:rFonts w:cs="Times New Roman"/>
          <w:lang w:val="en-US"/>
        </w:rPr>
        <w:t xml:space="preserve"> examine</w:t>
      </w:r>
      <w:r w:rsidRPr="00E63216">
        <w:rPr>
          <w:rFonts w:cs="Times New Roman"/>
          <w:lang w:val="en-US"/>
        </w:rPr>
        <w:t>s</w:t>
      </w:r>
      <w:r w:rsidR="00AD1893" w:rsidRPr="00E63216">
        <w:rPr>
          <w:rFonts w:cs="Times New Roman"/>
          <w:lang w:val="en-US"/>
        </w:rPr>
        <w:t xml:space="preserve"> the forces of African anti-colonial nationalism and the respective roles played by prominent individuals, </w:t>
      </w:r>
      <w:r w:rsidRPr="00E63216">
        <w:rPr>
          <w:rFonts w:cs="Times New Roman"/>
          <w:lang w:val="en-US"/>
        </w:rPr>
        <w:t>such as</w:t>
      </w:r>
      <w:r w:rsidR="00AD1893" w:rsidRPr="00E63216">
        <w:rPr>
          <w:rFonts w:cs="Times New Roman"/>
          <w:lang w:val="en-US"/>
        </w:rPr>
        <w:t xml:space="preserve"> Tanzanian President, Julius </w:t>
      </w:r>
      <w:proofErr w:type="spellStart"/>
      <w:r w:rsidR="00AD1893" w:rsidRPr="00E63216">
        <w:rPr>
          <w:rFonts w:cs="Times New Roman"/>
          <w:lang w:val="en-US"/>
        </w:rPr>
        <w:t>Nyerere</w:t>
      </w:r>
      <w:proofErr w:type="spellEnd"/>
      <w:r w:rsidR="00AD1893" w:rsidRPr="00E63216">
        <w:rPr>
          <w:rFonts w:cs="Times New Roman"/>
          <w:lang w:val="en-US"/>
        </w:rPr>
        <w:t xml:space="preserve">. </w:t>
      </w:r>
      <w:r w:rsidRPr="00E63216">
        <w:rPr>
          <w:rFonts w:cs="Times New Roman"/>
          <w:lang w:val="en-US"/>
        </w:rPr>
        <w:t xml:space="preserve">As </w:t>
      </w:r>
      <w:proofErr w:type="spellStart"/>
      <w:r w:rsidRPr="00E63216">
        <w:rPr>
          <w:rFonts w:cs="Times New Roman"/>
          <w:lang w:val="en-US"/>
        </w:rPr>
        <w:t>Pallotti</w:t>
      </w:r>
      <w:r w:rsidR="007E0B93" w:rsidRPr="00E63216">
        <w:rPr>
          <w:rFonts w:cs="Times New Roman"/>
          <w:lang w:val="en-US"/>
        </w:rPr>
        <w:t>’s</w:t>
      </w:r>
      <w:proofErr w:type="spellEnd"/>
      <w:r w:rsidR="007E0B93" w:rsidRPr="00E63216">
        <w:rPr>
          <w:rFonts w:cs="Times New Roman"/>
          <w:lang w:val="en-US"/>
        </w:rPr>
        <w:t xml:space="preserve"> finely observed article </w:t>
      </w:r>
      <w:r w:rsidRPr="00E63216">
        <w:rPr>
          <w:rFonts w:cs="Times New Roman"/>
          <w:lang w:val="en-US"/>
        </w:rPr>
        <w:t>details,</w:t>
      </w:r>
      <w:r w:rsidR="00AD1893" w:rsidRPr="00E63216">
        <w:rPr>
          <w:rFonts w:cs="Times New Roman"/>
          <w:lang w:val="en-US"/>
        </w:rPr>
        <w:t xml:space="preserve"> </w:t>
      </w:r>
      <w:proofErr w:type="spellStart"/>
      <w:r w:rsidR="00AD1893" w:rsidRPr="00E63216">
        <w:rPr>
          <w:rFonts w:cs="Times New Roman"/>
          <w:lang w:val="en-US"/>
        </w:rPr>
        <w:t>Nyerere</w:t>
      </w:r>
      <w:proofErr w:type="spellEnd"/>
      <w:r w:rsidR="00362DC5">
        <w:rPr>
          <w:rFonts w:cs="Times New Roman"/>
          <w:lang w:val="en-US"/>
        </w:rPr>
        <w:t>,</w:t>
      </w:r>
      <w:r w:rsidR="00AD1893" w:rsidRPr="00E63216">
        <w:rPr>
          <w:rFonts w:cs="Times New Roman"/>
          <w:lang w:val="en-US"/>
        </w:rPr>
        <w:t xml:space="preserve"> as </w:t>
      </w:r>
      <w:r w:rsidR="007B66CA">
        <w:rPr>
          <w:rFonts w:cs="Times New Roman"/>
          <w:lang w:val="en-US"/>
        </w:rPr>
        <w:t xml:space="preserve">a </w:t>
      </w:r>
      <w:r w:rsidR="00AD1893" w:rsidRPr="00E63216">
        <w:rPr>
          <w:rFonts w:cs="Times New Roman"/>
          <w:lang w:val="en-US"/>
        </w:rPr>
        <w:t>supporter of the Zimbabwean liberation struggle,</w:t>
      </w:r>
      <w:r w:rsidR="007A0C8C" w:rsidRPr="00E63216">
        <w:rPr>
          <w:rFonts w:cs="Times New Roman"/>
          <w:lang w:val="en-US"/>
        </w:rPr>
        <w:t xml:space="preserve"> was identified (from the Anglo-American perspective) as a</w:t>
      </w:r>
      <w:r w:rsidR="00AD1893" w:rsidRPr="00E63216">
        <w:rPr>
          <w:rFonts w:cs="Times New Roman"/>
          <w:lang w:val="en-US"/>
        </w:rPr>
        <w:t xml:space="preserve"> potential bridgehead </w:t>
      </w:r>
      <w:proofErr w:type="gramStart"/>
      <w:r w:rsidR="00AD1893" w:rsidRPr="00E63216">
        <w:rPr>
          <w:rFonts w:cs="Times New Roman"/>
          <w:lang w:val="en-US"/>
        </w:rPr>
        <w:t>who</w:t>
      </w:r>
      <w:proofErr w:type="gramEnd"/>
      <w:r w:rsidR="00AD1893" w:rsidRPr="00E63216">
        <w:rPr>
          <w:rFonts w:cs="Times New Roman"/>
          <w:lang w:val="en-US"/>
        </w:rPr>
        <w:t xml:space="preserve"> could be </w:t>
      </w:r>
      <w:proofErr w:type="spellStart"/>
      <w:r w:rsidR="00AD1893" w:rsidRPr="00E63216">
        <w:rPr>
          <w:rFonts w:cs="Times New Roman"/>
          <w:lang w:val="en-US"/>
        </w:rPr>
        <w:t>utilised</w:t>
      </w:r>
      <w:proofErr w:type="spellEnd"/>
      <w:r w:rsidR="00AD1893" w:rsidRPr="00E63216">
        <w:rPr>
          <w:rFonts w:cs="Times New Roman"/>
          <w:lang w:val="en-US"/>
        </w:rPr>
        <w:t xml:space="preserve"> to enact their wishes. Yet as </w:t>
      </w:r>
      <w:r w:rsidR="00E63216">
        <w:rPr>
          <w:rFonts w:cs="Times New Roman"/>
          <w:lang w:val="en-US"/>
        </w:rPr>
        <w:t xml:space="preserve">is </w:t>
      </w:r>
      <w:r w:rsidR="00AD1893" w:rsidRPr="00E63216">
        <w:rPr>
          <w:rFonts w:cs="Times New Roman"/>
          <w:lang w:val="en-US"/>
        </w:rPr>
        <w:t>demonstrate</w:t>
      </w:r>
      <w:r w:rsidR="00E63216">
        <w:rPr>
          <w:rFonts w:cs="Times New Roman"/>
          <w:lang w:val="en-US"/>
        </w:rPr>
        <w:t>d</w:t>
      </w:r>
      <w:r w:rsidR="00AD1893" w:rsidRPr="00E63216">
        <w:rPr>
          <w:rFonts w:cs="Times New Roman"/>
          <w:lang w:val="en-US"/>
        </w:rPr>
        <w:t xml:space="preserve">, </w:t>
      </w:r>
      <w:proofErr w:type="spellStart"/>
      <w:r w:rsidR="00AD1893" w:rsidRPr="00E63216">
        <w:rPr>
          <w:rFonts w:cs="Times New Roman"/>
          <w:lang w:val="en-US"/>
        </w:rPr>
        <w:t>Nyerere</w:t>
      </w:r>
      <w:proofErr w:type="spellEnd"/>
      <w:r w:rsidR="00AD1893" w:rsidRPr="00E63216">
        <w:rPr>
          <w:rFonts w:cs="Times New Roman"/>
          <w:lang w:val="en-US"/>
        </w:rPr>
        <w:t xml:space="preserve"> was neither a blind apparatchik nor a stooge of the West</w:t>
      </w:r>
      <w:r w:rsidR="00177229">
        <w:rPr>
          <w:rFonts w:cs="Times New Roman"/>
          <w:lang w:val="en-US"/>
        </w:rPr>
        <w:t>.</w:t>
      </w:r>
      <w:r w:rsidR="00AD1893" w:rsidRPr="00E63216">
        <w:rPr>
          <w:rFonts w:cs="Times New Roman"/>
          <w:lang w:val="en-US"/>
        </w:rPr>
        <w:t xml:space="preserve"> </w:t>
      </w:r>
      <w:r w:rsidR="00177229">
        <w:rPr>
          <w:rFonts w:cs="Times New Roman"/>
          <w:lang w:val="en-US"/>
        </w:rPr>
        <w:t>H</w:t>
      </w:r>
      <w:r w:rsidR="00AD1893" w:rsidRPr="00E63216">
        <w:rPr>
          <w:rFonts w:cs="Times New Roman"/>
          <w:lang w:val="en-US"/>
        </w:rPr>
        <w:t>e constantly strove to navigate the politics of the middle in order to reach a settlement that was acceptable to the ever-expanding range of actors involved in bring</w:t>
      </w:r>
      <w:r w:rsidR="007A0C8C" w:rsidRPr="00E63216">
        <w:rPr>
          <w:rFonts w:cs="Times New Roman"/>
          <w:lang w:val="en-US"/>
        </w:rPr>
        <w:t>ing</w:t>
      </w:r>
      <w:r w:rsidR="00AD1893" w:rsidRPr="00E63216">
        <w:rPr>
          <w:rFonts w:cs="Times New Roman"/>
          <w:lang w:val="en-US"/>
        </w:rPr>
        <w:t xml:space="preserve"> Rhodesia to terms. </w:t>
      </w:r>
    </w:p>
    <w:p w14:paraId="4DCE9180" w14:textId="77777777" w:rsidR="00E63216" w:rsidRDefault="00E63216" w:rsidP="007B66CA">
      <w:pPr>
        <w:spacing w:line="480" w:lineRule="auto"/>
        <w:jc w:val="both"/>
        <w:rPr>
          <w:rFonts w:cs="Times New Roman"/>
          <w:lang w:val="en-US"/>
        </w:rPr>
      </w:pPr>
    </w:p>
    <w:p w14:paraId="7A2B014F" w14:textId="1EA1FAB5" w:rsidR="00AD1893" w:rsidRPr="00E63216" w:rsidRDefault="00AD1893" w:rsidP="007B66CA">
      <w:pPr>
        <w:spacing w:line="480" w:lineRule="auto"/>
        <w:jc w:val="both"/>
        <w:rPr>
          <w:rFonts w:cs="Times New Roman"/>
          <w:lang w:val="en-US"/>
        </w:rPr>
      </w:pPr>
      <w:r w:rsidRPr="00E63216">
        <w:rPr>
          <w:rFonts w:cs="Times New Roman"/>
          <w:lang w:val="en-US"/>
        </w:rPr>
        <w:t xml:space="preserve">Staying with diplomatic histories, articles from </w:t>
      </w:r>
      <w:r w:rsidR="007A0C8C" w:rsidRPr="00E63216">
        <w:rPr>
          <w:rFonts w:cs="Times New Roman"/>
          <w:lang w:val="en-US"/>
        </w:rPr>
        <w:t xml:space="preserve">Timothy </w:t>
      </w:r>
      <w:proofErr w:type="spellStart"/>
      <w:r w:rsidRPr="00E63216">
        <w:rPr>
          <w:rFonts w:cs="Times New Roman"/>
          <w:lang w:val="en-US"/>
        </w:rPr>
        <w:t>Scarnecchia</w:t>
      </w:r>
      <w:proofErr w:type="spellEnd"/>
      <w:r w:rsidRPr="00E63216">
        <w:rPr>
          <w:rFonts w:cs="Times New Roman"/>
          <w:lang w:val="en-US"/>
        </w:rPr>
        <w:t xml:space="preserve"> and </w:t>
      </w:r>
      <w:r w:rsidR="007A0C8C" w:rsidRPr="00E63216">
        <w:rPr>
          <w:rFonts w:cs="Times New Roman"/>
          <w:lang w:val="en-US"/>
        </w:rPr>
        <w:t xml:space="preserve">Sue </w:t>
      </w:r>
      <w:r w:rsidRPr="00E63216">
        <w:rPr>
          <w:rFonts w:cs="Times New Roman"/>
          <w:lang w:val="en-US"/>
        </w:rPr>
        <w:t xml:space="preserve">Onslow further examine the dynamics of the negotiations over Rhodesia’s </w:t>
      </w:r>
      <w:proofErr w:type="spellStart"/>
      <w:r w:rsidRPr="00E63216">
        <w:rPr>
          <w:rFonts w:cs="Times New Roman"/>
          <w:lang w:val="en-US"/>
        </w:rPr>
        <w:t>decoloni</w:t>
      </w:r>
      <w:r w:rsidR="00D56160" w:rsidRPr="00E63216">
        <w:rPr>
          <w:rFonts w:cs="Times New Roman"/>
          <w:lang w:val="en-US"/>
        </w:rPr>
        <w:t>s</w:t>
      </w:r>
      <w:r w:rsidRPr="00E63216">
        <w:rPr>
          <w:rFonts w:cs="Times New Roman"/>
          <w:lang w:val="en-US"/>
        </w:rPr>
        <w:t>ation</w:t>
      </w:r>
      <w:proofErr w:type="spellEnd"/>
      <w:r w:rsidRPr="00E63216">
        <w:rPr>
          <w:rFonts w:cs="Times New Roman"/>
          <w:lang w:val="en-US"/>
        </w:rPr>
        <w:t xml:space="preserve"> after the Geneva Conference and until the signing of the Lancaster House Agreement in December 1979. In particular, </w:t>
      </w:r>
      <w:proofErr w:type="spellStart"/>
      <w:r w:rsidRPr="00E63216">
        <w:rPr>
          <w:rFonts w:cs="Times New Roman"/>
          <w:lang w:val="en-US"/>
        </w:rPr>
        <w:t>Scarnecchia’s</w:t>
      </w:r>
      <w:proofErr w:type="spellEnd"/>
      <w:r w:rsidRPr="00E63216">
        <w:rPr>
          <w:rFonts w:cs="Times New Roman"/>
          <w:lang w:val="en-US"/>
        </w:rPr>
        <w:t xml:space="preserve"> </w:t>
      </w:r>
      <w:r w:rsidR="007E0B93" w:rsidRPr="00E63216">
        <w:rPr>
          <w:rFonts w:cs="Times New Roman"/>
          <w:lang w:val="en-US"/>
        </w:rPr>
        <w:t>acute analysis highlights</w:t>
      </w:r>
      <w:r w:rsidRPr="00E63216">
        <w:rPr>
          <w:rFonts w:cs="Times New Roman"/>
          <w:lang w:val="en-US"/>
        </w:rPr>
        <w:t xml:space="preserve"> the tensions, rivalries and air of mistrust that dominated the negotiations over Rhodesia in the period 1977-1978, and indeed the enmity between Joshua Nkomo and Robert Mugabe as leaders of the Patriotic Front. Moving on to </w:t>
      </w:r>
      <w:proofErr w:type="spellStart"/>
      <w:r w:rsidRPr="00E63216">
        <w:rPr>
          <w:rFonts w:cs="Times New Roman"/>
          <w:lang w:val="en-US"/>
        </w:rPr>
        <w:t>analyse</w:t>
      </w:r>
      <w:proofErr w:type="spellEnd"/>
      <w:r w:rsidRPr="00E63216">
        <w:rPr>
          <w:rFonts w:cs="Times New Roman"/>
          <w:lang w:val="en-US"/>
        </w:rPr>
        <w:t xml:space="preserve"> the Lancaster House talks, at </w:t>
      </w:r>
      <w:r w:rsidRPr="00E63216">
        <w:rPr>
          <w:rFonts w:cs="Times New Roman"/>
          <w:lang w:val="en-US"/>
        </w:rPr>
        <w:lastRenderedPageBreak/>
        <w:t xml:space="preserve">which Zimbabwe’s independence was finally negotiated, Onslow’s </w:t>
      </w:r>
      <w:r w:rsidR="007E0B93" w:rsidRPr="00E63216">
        <w:rPr>
          <w:rFonts w:cs="Times New Roman"/>
          <w:lang w:val="en-US"/>
        </w:rPr>
        <w:t xml:space="preserve">lucidly argued </w:t>
      </w:r>
      <w:r w:rsidRPr="00E63216">
        <w:rPr>
          <w:rFonts w:cs="Times New Roman"/>
          <w:lang w:val="en-US"/>
        </w:rPr>
        <w:t>article examines the contentious issue of land resettlement. In particular, Onslow reviews the actions of the British government in the late 1970s in order t</w:t>
      </w:r>
      <w:r w:rsidR="007A0C8C" w:rsidRPr="00E63216">
        <w:rPr>
          <w:rFonts w:cs="Times New Roman"/>
          <w:lang w:val="en-US"/>
        </w:rPr>
        <w:t xml:space="preserve">o understand if a parsimonious </w:t>
      </w:r>
      <w:r w:rsidR="00D56160" w:rsidRPr="00E63216">
        <w:rPr>
          <w:rFonts w:cs="Times New Roman"/>
          <w:lang w:val="en-US"/>
        </w:rPr>
        <w:t>T</w:t>
      </w:r>
      <w:r w:rsidRPr="00E63216">
        <w:rPr>
          <w:rFonts w:cs="Times New Roman"/>
          <w:lang w:val="en-US"/>
        </w:rPr>
        <w:t>reasury</w:t>
      </w:r>
      <w:r w:rsidR="007A0C8C" w:rsidRPr="00E63216">
        <w:rPr>
          <w:rFonts w:cs="Times New Roman"/>
          <w:lang w:val="en-US"/>
        </w:rPr>
        <w:t xml:space="preserve"> circumscribed British actions with regards to </w:t>
      </w:r>
      <w:r w:rsidR="00177229">
        <w:rPr>
          <w:rFonts w:cs="Times New Roman"/>
          <w:lang w:val="en-US"/>
        </w:rPr>
        <w:t xml:space="preserve">the implementation of meaningful land restitution. </w:t>
      </w:r>
    </w:p>
    <w:p w14:paraId="4161AD8B" w14:textId="77777777" w:rsidR="00E63216" w:rsidRDefault="00E63216" w:rsidP="007B66CA">
      <w:pPr>
        <w:spacing w:line="480" w:lineRule="auto"/>
        <w:jc w:val="both"/>
        <w:rPr>
          <w:rFonts w:cs="Times New Roman"/>
          <w:lang w:val="en-US"/>
        </w:rPr>
      </w:pPr>
    </w:p>
    <w:p w14:paraId="5EE4D32A" w14:textId="471BA4EE" w:rsidR="00B24293" w:rsidRPr="00E63216" w:rsidRDefault="00B24293" w:rsidP="007B66CA">
      <w:pPr>
        <w:spacing w:line="480" w:lineRule="auto"/>
        <w:jc w:val="both"/>
        <w:rPr>
          <w:rFonts w:cs="Times New Roman"/>
          <w:lang w:val="en-US"/>
        </w:rPr>
      </w:pPr>
      <w:r w:rsidRPr="00E63216">
        <w:rPr>
          <w:rFonts w:cs="Times New Roman"/>
          <w:lang w:val="en-US"/>
        </w:rPr>
        <w:t xml:space="preserve">As scholarship on Zimbabwe is currently dominated by studies that seek to understand the </w:t>
      </w:r>
      <w:r w:rsidR="00D56160" w:rsidRPr="00E63216">
        <w:rPr>
          <w:rFonts w:cs="Times New Roman"/>
          <w:lang w:val="en-US"/>
        </w:rPr>
        <w:t>‘</w:t>
      </w:r>
      <w:r w:rsidRPr="00E63216">
        <w:rPr>
          <w:rFonts w:cs="Times New Roman"/>
          <w:lang w:val="en-US"/>
        </w:rPr>
        <w:t>crisis</w:t>
      </w:r>
      <w:r w:rsidR="00D56160" w:rsidRPr="00E63216">
        <w:rPr>
          <w:rFonts w:cs="Times New Roman"/>
          <w:lang w:val="en-US"/>
        </w:rPr>
        <w:t>’</w:t>
      </w:r>
      <w:r w:rsidRPr="00E63216">
        <w:rPr>
          <w:rFonts w:cs="Times New Roman"/>
          <w:lang w:val="en-US"/>
        </w:rPr>
        <w:t xml:space="preserve"> in which the country has recently found itself, it is our hope that the </w:t>
      </w:r>
      <w:r w:rsidR="007A0C8C" w:rsidRPr="00E63216">
        <w:rPr>
          <w:rFonts w:cs="Times New Roman"/>
          <w:lang w:val="en-US"/>
        </w:rPr>
        <w:t>articles</w:t>
      </w:r>
      <w:r w:rsidRPr="00E63216">
        <w:rPr>
          <w:rFonts w:cs="Times New Roman"/>
          <w:lang w:val="en-US"/>
        </w:rPr>
        <w:t xml:space="preserve"> within this collection will create further profitable dialogue between historians of the region and </w:t>
      </w:r>
      <w:proofErr w:type="spellStart"/>
      <w:r w:rsidRPr="00E63216">
        <w:rPr>
          <w:rFonts w:cs="Times New Roman"/>
          <w:lang w:val="en-US"/>
        </w:rPr>
        <w:t>decoloni</w:t>
      </w:r>
      <w:r w:rsidR="00D56160" w:rsidRPr="00E63216">
        <w:rPr>
          <w:rFonts w:cs="Times New Roman"/>
          <w:lang w:val="en-US"/>
        </w:rPr>
        <w:t>s</w:t>
      </w:r>
      <w:r w:rsidRPr="00E63216">
        <w:rPr>
          <w:rFonts w:cs="Times New Roman"/>
          <w:lang w:val="en-US"/>
        </w:rPr>
        <w:t>ation</w:t>
      </w:r>
      <w:proofErr w:type="spellEnd"/>
      <w:r w:rsidRPr="00E63216">
        <w:rPr>
          <w:rFonts w:cs="Times New Roman"/>
          <w:lang w:val="en-US"/>
        </w:rPr>
        <w:t xml:space="preserve"> as a whole. In doing so we hope that the </w:t>
      </w:r>
      <w:r w:rsidR="00177229">
        <w:rPr>
          <w:rFonts w:cs="Times New Roman"/>
          <w:lang w:val="en-US"/>
        </w:rPr>
        <w:t>contributions to this issue</w:t>
      </w:r>
      <w:r w:rsidRPr="00E63216">
        <w:rPr>
          <w:rFonts w:cs="Times New Roman"/>
          <w:lang w:val="en-US"/>
        </w:rPr>
        <w:t xml:space="preserve"> will go some way towards providing a mo</w:t>
      </w:r>
      <w:r w:rsidR="007A0C8C" w:rsidRPr="00E63216">
        <w:rPr>
          <w:rFonts w:cs="Times New Roman"/>
          <w:lang w:val="en-US"/>
        </w:rPr>
        <w:t>re nuanced</w:t>
      </w:r>
      <w:r w:rsidRPr="00E63216">
        <w:rPr>
          <w:rFonts w:cs="Times New Roman"/>
          <w:lang w:val="en-US"/>
        </w:rPr>
        <w:t xml:space="preserve"> understanding of the continuities and discontinuities between Zimbabwe’s colonial and postcolonial history, as well as examining the roles played by external governments and individuals in the </w:t>
      </w:r>
      <w:proofErr w:type="spellStart"/>
      <w:r w:rsidRPr="00E63216">
        <w:rPr>
          <w:rFonts w:cs="Times New Roman"/>
          <w:lang w:val="en-US"/>
        </w:rPr>
        <w:t>decoloni</w:t>
      </w:r>
      <w:r w:rsidR="00D56160" w:rsidRPr="00E63216">
        <w:rPr>
          <w:rFonts w:cs="Times New Roman"/>
          <w:lang w:val="en-US"/>
        </w:rPr>
        <w:t>s</w:t>
      </w:r>
      <w:r w:rsidRPr="00E63216">
        <w:rPr>
          <w:rFonts w:cs="Times New Roman"/>
          <w:lang w:val="en-US"/>
        </w:rPr>
        <w:t>ation</w:t>
      </w:r>
      <w:proofErr w:type="spellEnd"/>
      <w:r w:rsidRPr="00E63216">
        <w:rPr>
          <w:rFonts w:cs="Times New Roman"/>
          <w:lang w:val="en-US"/>
        </w:rPr>
        <w:t xml:space="preserve"> of Zimbabwe. </w:t>
      </w:r>
    </w:p>
    <w:p w14:paraId="5B4B84B6" w14:textId="77777777" w:rsidR="00E63216" w:rsidRDefault="00E63216" w:rsidP="007B66CA">
      <w:pPr>
        <w:spacing w:line="480" w:lineRule="auto"/>
        <w:jc w:val="both"/>
        <w:rPr>
          <w:rFonts w:cs="Times New Roman"/>
        </w:rPr>
      </w:pPr>
    </w:p>
    <w:p w14:paraId="76017C50" w14:textId="05AA7810" w:rsidR="007B66CA" w:rsidRPr="00E63216" w:rsidRDefault="007B66CA" w:rsidP="007B66CA">
      <w:pPr>
        <w:spacing w:line="480" w:lineRule="auto"/>
        <w:jc w:val="both"/>
        <w:rPr>
          <w:rFonts w:cs="Times New Roman"/>
        </w:rPr>
      </w:pPr>
    </w:p>
    <w:sectPr w:rsidR="007B66CA" w:rsidRPr="00E63216" w:rsidSect="00675E29">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B571C" w15:done="0"/>
  <w15:commentEx w15:paraId="24546021" w15:done="0"/>
  <w15:commentEx w15:paraId="2C4ABE5F" w15:done="0"/>
  <w15:commentEx w15:paraId="0DE01B60" w15:done="0"/>
  <w15:commentEx w15:paraId="6E179083" w15:done="0"/>
  <w15:commentEx w15:paraId="74AB2384" w15:done="0"/>
  <w15:commentEx w15:paraId="52A1C40A" w15:done="0"/>
  <w15:commentEx w15:paraId="63CE8FD1" w15:done="0"/>
  <w15:commentEx w15:paraId="2DCF0F8B" w15:done="0"/>
  <w15:commentEx w15:paraId="1530F5FB" w15:done="0"/>
  <w15:commentEx w15:paraId="504DF09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49D4A" w14:textId="77777777" w:rsidR="008F2B1D" w:rsidRDefault="008F2B1D" w:rsidP="006A6D96">
      <w:r>
        <w:separator/>
      </w:r>
    </w:p>
  </w:endnote>
  <w:endnote w:type="continuationSeparator" w:id="0">
    <w:p w14:paraId="25D274D9" w14:textId="77777777" w:rsidR="008F2B1D" w:rsidRDefault="008F2B1D" w:rsidP="006A6D96">
      <w:r>
        <w:continuationSeparator/>
      </w:r>
    </w:p>
  </w:endnote>
  <w:endnote w:id="1">
    <w:p w14:paraId="4D02691F" w14:textId="48712FA3" w:rsidR="00BE4D8F" w:rsidRPr="00E63216" w:rsidRDefault="00BE4D8F">
      <w:pPr>
        <w:pStyle w:val="EndnoteText"/>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sz w:val="20"/>
          <w:szCs w:val="20"/>
          <w:lang w:val="en-US"/>
        </w:rPr>
        <w:t xml:space="preserve">For more on the </w:t>
      </w:r>
      <w:proofErr w:type="gramStart"/>
      <w:r w:rsidRPr="00E63216">
        <w:rPr>
          <w:sz w:val="20"/>
          <w:szCs w:val="20"/>
          <w:lang w:val="en-US"/>
        </w:rPr>
        <w:t>role played</w:t>
      </w:r>
      <w:proofErr w:type="gramEnd"/>
      <w:r w:rsidRPr="00E63216">
        <w:rPr>
          <w:sz w:val="20"/>
          <w:szCs w:val="20"/>
          <w:lang w:val="en-US"/>
        </w:rPr>
        <w:t xml:space="preserve"> by Soames see Onslow, </w:t>
      </w:r>
      <w:r w:rsidR="00744101">
        <w:rPr>
          <w:sz w:val="20"/>
          <w:szCs w:val="20"/>
          <w:lang w:val="en-US"/>
        </w:rPr>
        <w:t>‘</w:t>
      </w:r>
      <w:r w:rsidRPr="00E63216">
        <w:rPr>
          <w:sz w:val="20"/>
          <w:szCs w:val="20"/>
          <w:lang w:val="en-US"/>
        </w:rPr>
        <w:t>The Man on the Spot</w:t>
      </w:r>
      <w:r w:rsidR="00744101">
        <w:rPr>
          <w:sz w:val="20"/>
          <w:szCs w:val="20"/>
          <w:lang w:val="en-US"/>
        </w:rPr>
        <w:t>’</w:t>
      </w:r>
      <w:r w:rsidRPr="00E63216">
        <w:rPr>
          <w:sz w:val="20"/>
          <w:szCs w:val="20"/>
          <w:lang w:val="en-US"/>
        </w:rPr>
        <w:t xml:space="preserve">, 68-100. </w:t>
      </w:r>
    </w:p>
  </w:endnote>
  <w:endnote w:id="2">
    <w:p w14:paraId="582ADDE4" w14:textId="393D4CF1" w:rsidR="00BE4D8F" w:rsidRPr="00E63216" w:rsidRDefault="00BE4D8F">
      <w:pPr>
        <w:pStyle w:val="EndnoteText"/>
        <w:rPr>
          <w:sz w:val="20"/>
          <w:szCs w:val="20"/>
        </w:rPr>
      </w:pPr>
      <w:r w:rsidRPr="00251C1D">
        <w:rPr>
          <w:rStyle w:val="EndnoteReference"/>
          <w:sz w:val="20"/>
          <w:szCs w:val="20"/>
          <w:vertAlign w:val="baseline"/>
        </w:rPr>
        <w:endnoteRef/>
      </w:r>
      <w:r w:rsidR="00251C1D">
        <w:rPr>
          <w:sz w:val="20"/>
          <w:szCs w:val="20"/>
        </w:rPr>
        <w:t>.</w:t>
      </w:r>
      <w:r w:rsidRPr="00E63216">
        <w:rPr>
          <w:sz w:val="20"/>
          <w:szCs w:val="20"/>
        </w:rPr>
        <w:t xml:space="preserve"> </w:t>
      </w:r>
      <w:proofErr w:type="gramStart"/>
      <w:r w:rsidRPr="00E63216">
        <w:rPr>
          <w:sz w:val="20"/>
          <w:szCs w:val="20"/>
        </w:rPr>
        <w:t>‘The “Wind of Change Speech”’, South African History Online.</w:t>
      </w:r>
      <w:proofErr w:type="gramEnd"/>
      <w:r w:rsidRPr="00E63216">
        <w:rPr>
          <w:sz w:val="20"/>
          <w:szCs w:val="20"/>
        </w:rPr>
        <w:t xml:space="preserve"> Accessed December 30, 2016. http://www.sahistory.org.za/article/wind-change-speech. For more on the significance of Macmillan’s ‘Wind of Change’ speech see also the recent excellent edited collection by Butler and Stockwell, </w:t>
      </w:r>
      <w:r w:rsidRPr="00E63216">
        <w:rPr>
          <w:i/>
          <w:sz w:val="20"/>
          <w:szCs w:val="20"/>
        </w:rPr>
        <w:t>The Wind of Change: Harold Macmillan and British Decolonization</w:t>
      </w:r>
      <w:r w:rsidRPr="00E63216">
        <w:rPr>
          <w:sz w:val="20"/>
          <w:szCs w:val="20"/>
        </w:rPr>
        <w:t xml:space="preserve">. </w:t>
      </w:r>
    </w:p>
  </w:endnote>
  <w:endnote w:id="3">
    <w:p w14:paraId="1372C11E" w14:textId="26CC3500" w:rsidR="00BE4D8F" w:rsidRPr="00E63216" w:rsidRDefault="00BE4D8F">
      <w:pPr>
        <w:pStyle w:val="EndnoteText"/>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proofErr w:type="spellStart"/>
      <w:proofErr w:type="gramStart"/>
      <w:r w:rsidRPr="00E63216">
        <w:rPr>
          <w:sz w:val="20"/>
          <w:szCs w:val="20"/>
          <w:lang w:val="en-US"/>
        </w:rPr>
        <w:t>Hyam</w:t>
      </w:r>
      <w:proofErr w:type="spellEnd"/>
      <w:r w:rsidRPr="00E63216">
        <w:rPr>
          <w:sz w:val="20"/>
          <w:szCs w:val="20"/>
          <w:lang w:val="en-US"/>
        </w:rPr>
        <w:t xml:space="preserve">, </w:t>
      </w:r>
      <w:r w:rsidR="00744101">
        <w:rPr>
          <w:sz w:val="20"/>
          <w:szCs w:val="20"/>
          <w:lang w:val="en-US"/>
        </w:rPr>
        <w:t>‘</w:t>
      </w:r>
      <w:r w:rsidRPr="00E63216">
        <w:rPr>
          <w:sz w:val="20"/>
          <w:szCs w:val="20"/>
          <w:lang w:val="en-US"/>
        </w:rPr>
        <w:t>The Geopolitical Origins of the Central African Federation</w:t>
      </w:r>
      <w:r w:rsidR="00744101">
        <w:rPr>
          <w:sz w:val="20"/>
          <w:szCs w:val="20"/>
          <w:lang w:val="en-US"/>
        </w:rPr>
        <w:t>’</w:t>
      </w:r>
      <w:r w:rsidRPr="00E63216">
        <w:rPr>
          <w:sz w:val="20"/>
          <w:szCs w:val="20"/>
          <w:lang w:val="en-US"/>
        </w:rPr>
        <w:t>, 145-72.</w:t>
      </w:r>
      <w:proofErr w:type="gramEnd"/>
    </w:p>
  </w:endnote>
  <w:endnote w:id="4">
    <w:p w14:paraId="377F1B64" w14:textId="5D9B9B77" w:rsidR="00BE4D8F" w:rsidRPr="00E63216" w:rsidRDefault="00BE4D8F" w:rsidP="009E7DF3">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Law, </w:t>
      </w:r>
      <w:r w:rsidRPr="00E63216">
        <w:rPr>
          <w:i/>
          <w:sz w:val="20"/>
          <w:szCs w:val="20"/>
        </w:rPr>
        <w:t>Gendering the Settler State</w:t>
      </w:r>
      <w:r w:rsidR="00744101">
        <w:rPr>
          <w:sz w:val="20"/>
          <w:szCs w:val="20"/>
        </w:rPr>
        <w:t>,</w:t>
      </w:r>
      <w:r w:rsidRPr="00E63216">
        <w:rPr>
          <w:sz w:val="20"/>
          <w:szCs w:val="20"/>
        </w:rPr>
        <w:t xml:space="preserve"> 74.</w:t>
      </w:r>
    </w:p>
  </w:endnote>
  <w:endnote w:id="5">
    <w:p w14:paraId="7328D1C9" w14:textId="35A80603" w:rsidR="00BE4D8F" w:rsidRPr="00E63216" w:rsidRDefault="00BE4D8F" w:rsidP="009E7DF3">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proofErr w:type="gramStart"/>
      <w:r w:rsidRPr="00E63216">
        <w:rPr>
          <w:sz w:val="20"/>
          <w:szCs w:val="20"/>
          <w:lang w:val="en-US"/>
        </w:rPr>
        <w:t xml:space="preserve">Nkomo, </w:t>
      </w:r>
      <w:r w:rsidRPr="00E63216">
        <w:rPr>
          <w:i/>
          <w:iCs/>
          <w:sz w:val="20"/>
          <w:szCs w:val="20"/>
          <w:lang w:val="en-US"/>
        </w:rPr>
        <w:t>The Story of my Life</w:t>
      </w:r>
      <w:r w:rsidR="00744101">
        <w:rPr>
          <w:iCs/>
          <w:sz w:val="20"/>
          <w:szCs w:val="20"/>
          <w:lang w:val="en-US"/>
        </w:rPr>
        <w:t>,</w:t>
      </w:r>
      <w:r w:rsidRPr="00E63216">
        <w:rPr>
          <w:sz w:val="20"/>
          <w:szCs w:val="20"/>
          <w:lang w:val="en-US"/>
        </w:rPr>
        <w:t xml:space="preserve"> 59.</w:t>
      </w:r>
      <w:proofErr w:type="gramEnd"/>
    </w:p>
  </w:endnote>
  <w:endnote w:id="6">
    <w:p w14:paraId="0E0C8449" w14:textId="1B78FC4C" w:rsidR="00BE4D8F" w:rsidRPr="00E63216" w:rsidRDefault="00BE4D8F">
      <w:pPr>
        <w:pStyle w:val="EndnoteText"/>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proofErr w:type="gramStart"/>
      <w:r w:rsidRPr="00E63216">
        <w:rPr>
          <w:sz w:val="20"/>
          <w:szCs w:val="20"/>
        </w:rPr>
        <w:t xml:space="preserve">Murphy, </w:t>
      </w:r>
      <w:r w:rsidR="00744101">
        <w:rPr>
          <w:sz w:val="20"/>
          <w:szCs w:val="20"/>
        </w:rPr>
        <w:t>‘</w:t>
      </w:r>
      <w:r w:rsidRPr="00E63216">
        <w:rPr>
          <w:sz w:val="20"/>
          <w:szCs w:val="20"/>
        </w:rPr>
        <w:t>An intricate and distasteful subject</w:t>
      </w:r>
      <w:r w:rsidR="00744101">
        <w:rPr>
          <w:sz w:val="20"/>
          <w:szCs w:val="20"/>
        </w:rPr>
        <w:t>’</w:t>
      </w:r>
      <w:r w:rsidRPr="00E63216">
        <w:rPr>
          <w:sz w:val="20"/>
          <w:szCs w:val="20"/>
        </w:rPr>
        <w:t>, 746-777.</w:t>
      </w:r>
      <w:proofErr w:type="gramEnd"/>
    </w:p>
  </w:endnote>
  <w:endnote w:id="7">
    <w:p w14:paraId="2664B0E6" w14:textId="70AB8FFD" w:rsidR="00BE4D8F" w:rsidRPr="00E63216" w:rsidRDefault="00BE4D8F" w:rsidP="009E7DF3">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Franklin, </w:t>
      </w:r>
      <w:r w:rsidR="00744101">
        <w:rPr>
          <w:sz w:val="20"/>
          <w:szCs w:val="20"/>
        </w:rPr>
        <w:t>‘</w:t>
      </w:r>
      <w:r w:rsidRPr="00E63216">
        <w:rPr>
          <w:sz w:val="20"/>
          <w:szCs w:val="20"/>
        </w:rPr>
        <w:t xml:space="preserve">Dying at the </w:t>
      </w:r>
      <w:proofErr w:type="gramStart"/>
      <w:r w:rsidRPr="00E63216">
        <w:rPr>
          <w:sz w:val="20"/>
          <w:szCs w:val="20"/>
        </w:rPr>
        <w:t>Falls</w:t>
      </w:r>
      <w:proofErr w:type="gramEnd"/>
      <w:r w:rsidR="00744101">
        <w:rPr>
          <w:sz w:val="20"/>
          <w:szCs w:val="20"/>
        </w:rPr>
        <w:t>’</w:t>
      </w:r>
      <w:r w:rsidRPr="00E63216">
        <w:rPr>
          <w:sz w:val="20"/>
          <w:szCs w:val="20"/>
        </w:rPr>
        <w:t xml:space="preserve">, </w:t>
      </w:r>
      <w:r w:rsidRPr="00E63216">
        <w:rPr>
          <w:i/>
          <w:sz w:val="20"/>
          <w:szCs w:val="20"/>
          <w:lang w:val="en-US"/>
        </w:rPr>
        <w:t xml:space="preserve">The Spectator, </w:t>
      </w:r>
      <w:r w:rsidRPr="00E63216">
        <w:rPr>
          <w:sz w:val="20"/>
          <w:szCs w:val="20"/>
          <w:lang w:val="en-US"/>
        </w:rPr>
        <w:t xml:space="preserve">July 4, 1963, 5. For a detailed discussion of the fate of the Federation see Cohen, </w:t>
      </w:r>
      <w:r w:rsidRPr="00E63216">
        <w:rPr>
          <w:i/>
          <w:sz w:val="20"/>
          <w:szCs w:val="20"/>
          <w:lang w:val="en-US"/>
        </w:rPr>
        <w:t>The Politics and Economics of Decolonization.</w:t>
      </w:r>
    </w:p>
  </w:endnote>
  <w:endnote w:id="8">
    <w:p w14:paraId="0CCFAD73" w14:textId="733DC43F" w:rsidR="00BE4D8F" w:rsidRPr="00E63216" w:rsidRDefault="00BE4D8F">
      <w:pPr>
        <w:pStyle w:val="EndnoteText"/>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sz w:val="20"/>
          <w:szCs w:val="20"/>
          <w:lang w:val="en-US"/>
        </w:rPr>
        <w:t xml:space="preserve">For more on population numbers see Brownell, </w:t>
      </w:r>
      <w:r w:rsidRPr="00E63216">
        <w:rPr>
          <w:i/>
          <w:sz w:val="20"/>
          <w:szCs w:val="20"/>
          <w:lang w:val="en-US"/>
        </w:rPr>
        <w:t>The Collapse of Rhodesia.</w:t>
      </w:r>
    </w:p>
  </w:endnote>
  <w:endnote w:id="9">
    <w:p w14:paraId="5B6BBE15" w14:textId="18065BA0" w:rsidR="00BE4D8F" w:rsidRPr="00E63216" w:rsidRDefault="00BE4D8F">
      <w:pPr>
        <w:pStyle w:val="EndnoteText"/>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sz w:val="20"/>
          <w:szCs w:val="20"/>
          <w:lang w:val="en-US"/>
        </w:rPr>
        <w:t xml:space="preserve">See variously, Butler, </w:t>
      </w:r>
      <w:r w:rsidRPr="00E63216">
        <w:rPr>
          <w:i/>
          <w:sz w:val="20"/>
          <w:szCs w:val="20"/>
          <w:lang w:val="en-US"/>
        </w:rPr>
        <w:t>The Art of the Possible</w:t>
      </w:r>
      <w:r w:rsidRPr="00E63216">
        <w:rPr>
          <w:sz w:val="20"/>
          <w:szCs w:val="20"/>
          <w:lang w:val="en-US"/>
        </w:rPr>
        <w:t xml:space="preserve">; Smith, </w:t>
      </w:r>
      <w:r w:rsidRPr="00E63216">
        <w:rPr>
          <w:i/>
          <w:sz w:val="20"/>
          <w:szCs w:val="20"/>
          <w:lang w:val="en-US"/>
        </w:rPr>
        <w:t>Bitter Harvest: The Great Betrayal</w:t>
      </w:r>
      <w:r w:rsidRPr="007B66CA">
        <w:rPr>
          <w:sz w:val="20"/>
          <w:szCs w:val="20"/>
          <w:lang w:val="en-US"/>
        </w:rPr>
        <w:t>;</w:t>
      </w:r>
      <w:r w:rsidR="00744101">
        <w:rPr>
          <w:i/>
          <w:sz w:val="20"/>
          <w:szCs w:val="20"/>
          <w:lang w:val="en-US"/>
        </w:rPr>
        <w:t xml:space="preserve"> </w:t>
      </w:r>
      <w:proofErr w:type="spellStart"/>
      <w:r w:rsidRPr="00E63216">
        <w:rPr>
          <w:sz w:val="20"/>
          <w:szCs w:val="20"/>
          <w:lang w:val="en-US"/>
        </w:rPr>
        <w:t>Welensky</w:t>
      </w:r>
      <w:proofErr w:type="spellEnd"/>
      <w:r w:rsidRPr="00E63216">
        <w:rPr>
          <w:sz w:val="20"/>
          <w:szCs w:val="20"/>
          <w:lang w:val="en-US"/>
        </w:rPr>
        <w:t xml:space="preserve">, </w:t>
      </w:r>
      <w:proofErr w:type="spellStart"/>
      <w:r w:rsidRPr="00E63216">
        <w:rPr>
          <w:i/>
          <w:sz w:val="20"/>
          <w:szCs w:val="20"/>
          <w:lang w:val="en-US"/>
        </w:rPr>
        <w:t>Welensky’s</w:t>
      </w:r>
      <w:proofErr w:type="spellEnd"/>
      <w:r w:rsidRPr="00E63216">
        <w:rPr>
          <w:i/>
          <w:sz w:val="20"/>
          <w:szCs w:val="20"/>
          <w:lang w:val="en-US"/>
        </w:rPr>
        <w:t xml:space="preserve"> 4000 Days</w:t>
      </w:r>
      <w:r w:rsidRPr="00E63216">
        <w:rPr>
          <w:sz w:val="20"/>
          <w:szCs w:val="20"/>
          <w:lang w:val="en-US"/>
        </w:rPr>
        <w:t xml:space="preserve">. For the most detailed account of the Victoria Falls conference see Wood, </w:t>
      </w:r>
      <w:r w:rsidRPr="00E63216">
        <w:rPr>
          <w:i/>
          <w:sz w:val="20"/>
          <w:szCs w:val="20"/>
          <w:lang w:val="en-US"/>
        </w:rPr>
        <w:t>So Far and No Further!</w:t>
      </w:r>
    </w:p>
  </w:endnote>
  <w:endnote w:id="10">
    <w:p w14:paraId="54D4DC2A" w14:textId="54E44B3D" w:rsidR="00BE4D8F" w:rsidRPr="00E63216" w:rsidRDefault="00BE4D8F">
      <w:pPr>
        <w:pStyle w:val="EndnoteText"/>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rStyle w:val="HTMLCite"/>
          <w:rFonts w:eastAsia="Times New Roman"/>
          <w:i w:val="0"/>
          <w:sz w:val="20"/>
          <w:szCs w:val="20"/>
        </w:rPr>
        <w:t>HC Deb 09 July 1963</w:t>
      </w:r>
      <w:r w:rsidR="00744101">
        <w:rPr>
          <w:rStyle w:val="HTMLCite"/>
          <w:rFonts w:eastAsia="Times New Roman"/>
          <w:i w:val="0"/>
          <w:sz w:val="20"/>
          <w:szCs w:val="20"/>
        </w:rPr>
        <w:t>,</w:t>
      </w:r>
      <w:r w:rsidRPr="00E63216">
        <w:rPr>
          <w:rStyle w:val="HTMLCite"/>
          <w:rFonts w:eastAsia="Times New Roman"/>
          <w:i w:val="0"/>
          <w:sz w:val="20"/>
          <w:szCs w:val="20"/>
        </w:rPr>
        <w:t xml:space="preserve"> </w:t>
      </w:r>
      <w:proofErr w:type="spellStart"/>
      <w:r w:rsidRPr="00E63216">
        <w:rPr>
          <w:rStyle w:val="HTMLCite"/>
          <w:rFonts w:eastAsia="Times New Roman"/>
          <w:i w:val="0"/>
          <w:sz w:val="20"/>
          <w:szCs w:val="20"/>
        </w:rPr>
        <w:t>vol</w:t>
      </w:r>
      <w:proofErr w:type="spellEnd"/>
      <w:r w:rsidRPr="00E63216">
        <w:rPr>
          <w:rStyle w:val="HTMLCite"/>
          <w:rFonts w:eastAsia="Times New Roman"/>
          <w:i w:val="0"/>
          <w:sz w:val="20"/>
          <w:szCs w:val="20"/>
        </w:rPr>
        <w:t xml:space="preserve"> 680</w:t>
      </w:r>
      <w:r w:rsidR="00744101">
        <w:rPr>
          <w:rStyle w:val="HTMLCite"/>
          <w:rFonts w:eastAsia="Times New Roman"/>
          <w:i w:val="0"/>
          <w:sz w:val="20"/>
          <w:szCs w:val="20"/>
        </w:rPr>
        <w:t>,</w:t>
      </w:r>
      <w:r w:rsidRPr="00E63216">
        <w:rPr>
          <w:rStyle w:val="HTMLCite"/>
          <w:rFonts w:eastAsia="Times New Roman"/>
          <w:i w:val="0"/>
          <w:sz w:val="20"/>
          <w:szCs w:val="20"/>
        </w:rPr>
        <w:t xml:space="preserve"> cc1045-7</w:t>
      </w:r>
      <w:r w:rsidR="00744101">
        <w:rPr>
          <w:rStyle w:val="HTMLCite"/>
          <w:rFonts w:eastAsia="Times New Roman"/>
          <w:i w:val="0"/>
          <w:sz w:val="20"/>
          <w:szCs w:val="20"/>
        </w:rPr>
        <w:t>,</w:t>
      </w:r>
      <w:r w:rsidRPr="00E63216">
        <w:rPr>
          <w:rStyle w:val="HTMLCite"/>
          <w:rFonts w:eastAsia="Times New Roman"/>
          <w:i w:val="0"/>
          <w:sz w:val="20"/>
          <w:szCs w:val="20"/>
        </w:rPr>
        <w:t xml:space="preserve"> John Strachey to </w:t>
      </w:r>
      <w:proofErr w:type="spellStart"/>
      <w:r w:rsidRPr="00E63216">
        <w:rPr>
          <w:rStyle w:val="HTMLCite"/>
          <w:rFonts w:eastAsia="Times New Roman"/>
          <w:i w:val="0"/>
          <w:sz w:val="20"/>
          <w:szCs w:val="20"/>
        </w:rPr>
        <w:t>Rab</w:t>
      </w:r>
      <w:proofErr w:type="spellEnd"/>
      <w:r w:rsidRPr="00E63216">
        <w:rPr>
          <w:rStyle w:val="HTMLCite"/>
          <w:rFonts w:eastAsia="Times New Roman"/>
          <w:i w:val="0"/>
          <w:sz w:val="20"/>
          <w:szCs w:val="20"/>
        </w:rPr>
        <w:t xml:space="preserve"> Butler. </w:t>
      </w:r>
    </w:p>
  </w:endnote>
  <w:endnote w:id="11">
    <w:p w14:paraId="19637080" w14:textId="4DA3B30C" w:rsidR="00BE4D8F" w:rsidRPr="00E63216" w:rsidRDefault="00BE4D8F">
      <w:pPr>
        <w:pStyle w:val="EndnoteText"/>
        <w:rPr>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sz w:val="20"/>
          <w:szCs w:val="20"/>
          <w:lang w:val="en-US"/>
        </w:rPr>
        <w:t xml:space="preserve">Clements, </w:t>
      </w:r>
      <w:r w:rsidRPr="00E63216">
        <w:rPr>
          <w:i/>
          <w:sz w:val="20"/>
          <w:szCs w:val="20"/>
          <w:lang w:val="en-US"/>
        </w:rPr>
        <w:t>Rhodesia: The Course to Collision</w:t>
      </w:r>
      <w:r w:rsidRPr="00E63216">
        <w:rPr>
          <w:sz w:val="20"/>
          <w:szCs w:val="20"/>
          <w:lang w:val="en-US"/>
        </w:rPr>
        <w:t>.</w:t>
      </w:r>
    </w:p>
  </w:endnote>
  <w:endnote w:id="12">
    <w:p w14:paraId="6974D68C" w14:textId="5A36A301" w:rsidR="00BE4D8F" w:rsidRPr="00E63216" w:rsidRDefault="00BE4D8F" w:rsidP="00CD2EF5">
      <w:pPr>
        <w:jc w:val="both"/>
        <w:rPr>
          <w:rFonts w:eastAsia="Times New Roman" w:cs="Times New Roman"/>
          <w:sz w:val="20"/>
          <w:szCs w:val="20"/>
        </w:rPr>
      </w:pPr>
      <w:r w:rsidRPr="00D40579">
        <w:rPr>
          <w:rStyle w:val="EndnoteReference"/>
          <w:rFonts w:cs="Times New Roman"/>
          <w:sz w:val="20"/>
          <w:szCs w:val="20"/>
          <w:vertAlign w:val="baseline"/>
        </w:rPr>
        <w:endnoteRef/>
      </w:r>
      <w:r w:rsidR="00251C1D">
        <w:rPr>
          <w:rFonts w:cs="Times New Roman"/>
          <w:sz w:val="20"/>
          <w:szCs w:val="20"/>
        </w:rPr>
        <w:t>.</w:t>
      </w:r>
      <w:r w:rsidRPr="00E63216">
        <w:rPr>
          <w:rFonts w:cs="Times New Roman"/>
          <w:sz w:val="20"/>
          <w:szCs w:val="20"/>
        </w:rPr>
        <w:t xml:space="preserve"> </w:t>
      </w:r>
      <w:r w:rsidRPr="00E63216">
        <w:rPr>
          <w:rFonts w:eastAsia="Times New Roman" w:cs="Times New Roman"/>
          <w:color w:val="000000"/>
          <w:sz w:val="20"/>
          <w:szCs w:val="20"/>
          <w:shd w:val="clear" w:color="auto" w:fill="FFFFFF"/>
        </w:rPr>
        <w:t xml:space="preserve">TNA: PRO, DO 183/293, ‘Visit of Mr I. D. Smith, prime minister of Southern Rhodesia, to London, September 1964’ as cited in Phimister, </w:t>
      </w:r>
      <w:r w:rsidR="00744101">
        <w:rPr>
          <w:rFonts w:eastAsia="Times New Roman" w:cs="Times New Roman"/>
          <w:color w:val="000000"/>
          <w:sz w:val="20"/>
          <w:szCs w:val="20"/>
          <w:shd w:val="clear" w:color="auto" w:fill="FFFFFF"/>
        </w:rPr>
        <w:t>‘</w:t>
      </w:r>
      <w:r w:rsidRPr="00E63216">
        <w:rPr>
          <w:rFonts w:eastAsia="Times New Roman" w:cs="Times New Roman"/>
          <w:color w:val="000000"/>
          <w:sz w:val="20"/>
          <w:szCs w:val="20"/>
          <w:shd w:val="clear" w:color="auto" w:fill="FFFFFF"/>
        </w:rPr>
        <w:t>Smith, Ian Douglas (1919–2007)</w:t>
      </w:r>
      <w:r w:rsidR="00744101">
        <w:rPr>
          <w:rFonts w:eastAsia="Times New Roman" w:cs="Times New Roman"/>
          <w:color w:val="000000"/>
          <w:sz w:val="20"/>
          <w:szCs w:val="20"/>
          <w:shd w:val="clear" w:color="auto" w:fill="FFFFFF"/>
        </w:rPr>
        <w:t>’</w:t>
      </w:r>
      <w:r w:rsidRPr="00E63216">
        <w:rPr>
          <w:rFonts w:eastAsia="Times New Roman" w:cs="Times New Roman"/>
          <w:color w:val="000000"/>
          <w:sz w:val="20"/>
          <w:szCs w:val="20"/>
          <w:shd w:val="clear" w:color="auto" w:fill="FFFFFF"/>
        </w:rPr>
        <w:t xml:space="preserve">. Accessed January 5, 2017. http://www.oxforddnb.com/view/article/99253. </w:t>
      </w:r>
    </w:p>
  </w:endnote>
  <w:endnote w:id="13">
    <w:p w14:paraId="18AAA0A8" w14:textId="270D2BE1" w:rsidR="00BE4D8F" w:rsidRPr="00E63216" w:rsidRDefault="00BE4D8F" w:rsidP="00CD2EF5">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proofErr w:type="gramStart"/>
      <w:r w:rsidRPr="00E63216">
        <w:rPr>
          <w:sz w:val="20"/>
          <w:szCs w:val="20"/>
        </w:rPr>
        <w:t xml:space="preserve">Lowry, </w:t>
      </w:r>
      <w:r w:rsidR="00744101">
        <w:rPr>
          <w:sz w:val="20"/>
          <w:szCs w:val="20"/>
        </w:rPr>
        <w:t>‘</w:t>
      </w:r>
      <w:r w:rsidRPr="00E63216">
        <w:rPr>
          <w:sz w:val="20"/>
          <w:szCs w:val="20"/>
        </w:rPr>
        <w:t>Rhodesia 1890-1980</w:t>
      </w:r>
      <w:r w:rsidR="00744101">
        <w:rPr>
          <w:sz w:val="20"/>
          <w:szCs w:val="20"/>
        </w:rPr>
        <w:t>’</w:t>
      </w:r>
      <w:r w:rsidRPr="00E63216">
        <w:rPr>
          <w:sz w:val="20"/>
          <w:szCs w:val="20"/>
        </w:rPr>
        <w:t>.</w:t>
      </w:r>
      <w:proofErr w:type="gramEnd"/>
      <w:r w:rsidRPr="00E63216" w:rsidDel="000200D3">
        <w:rPr>
          <w:sz w:val="20"/>
          <w:szCs w:val="20"/>
        </w:rPr>
        <w:t xml:space="preserve"> </w:t>
      </w:r>
    </w:p>
  </w:endnote>
  <w:endnote w:id="14">
    <w:p w14:paraId="19DF180B" w14:textId="3EFD4125" w:rsidR="00BE4D8F" w:rsidRPr="00E63216" w:rsidRDefault="00BE4D8F" w:rsidP="00CD2EF5">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sz w:val="20"/>
          <w:szCs w:val="20"/>
          <w:lang w:val="en-US"/>
        </w:rPr>
        <w:t xml:space="preserve">By far the best guide for the months leading up to UDI is Watts, </w:t>
      </w:r>
      <w:r w:rsidRPr="00E63216">
        <w:rPr>
          <w:i/>
          <w:sz w:val="20"/>
          <w:szCs w:val="20"/>
          <w:lang w:val="en-US"/>
        </w:rPr>
        <w:t>Rhodesia’s Unilateral Declaration of Independence</w:t>
      </w:r>
      <w:r w:rsidRPr="00E63216">
        <w:rPr>
          <w:sz w:val="20"/>
          <w:szCs w:val="20"/>
          <w:lang w:val="en-US"/>
        </w:rPr>
        <w:t xml:space="preserve">. Watts is particularly strong on Rhodesia’s role in the Commonwealth. </w:t>
      </w:r>
    </w:p>
  </w:endnote>
  <w:endnote w:id="15">
    <w:p w14:paraId="08A43414" w14:textId="4AE36042" w:rsidR="00BE4D8F" w:rsidRPr="00E63216" w:rsidRDefault="00BE4D8F" w:rsidP="00DA1711">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sz w:val="20"/>
          <w:szCs w:val="20"/>
          <w:lang w:val="en-US"/>
        </w:rPr>
        <w:t xml:space="preserve">Smith, </w:t>
      </w:r>
      <w:r w:rsidR="00744101">
        <w:rPr>
          <w:sz w:val="20"/>
          <w:szCs w:val="20"/>
          <w:lang w:val="en-US"/>
        </w:rPr>
        <w:t>‘</w:t>
      </w:r>
      <w:r w:rsidRPr="00E63216">
        <w:rPr>
          <w:sz w:val="20"/>
          <w:szCs w:val="20"/>
          <w:lang w:val="en-US"/>
        </w:rPr>
        <w:t>Announcement of Unilateral Declaration of Independence</w:t>
      </w:r>
      <w:r w:rsidR="00744101">
        <w:rPr>
          <w:sz w:val="20"/>
          <w:szCs w:val="20"/>
          <w:lang w:val="en-US"/>
        </w:rPr>
        <w:t>’</w:t>
      </w:r>
      <w:r w:rsidRPr="00E63216">
        <w:rPr>
          <w:sz w:val="20"/>
          <w:szCs w:val="20"/>
          <w:lang w:val="en-US"/>
        </w:rPr>
        <w:t xml:space="preserve">, November 11, 1965. Accessed January 5, 2017. http://sourcebooks.fordham.edu/mod/1965Rhodesia-UDI. See Lowry, </w:t>
      </w:r>
      <w:r w:rsidR="00744101">
        <w:rPr>
          <w:sz w:val="20"/>
          <w:szCs w:val="20"/>
          <w:lang w:val="en-US"/>
        </w:rPr>
        <w:t>‘</w:t>
      </w:r>
      <w:r w:rsidRPr="00E63216">
        <w:rPr>
          <w:sz w:val="20"/>
          <w:szCs w:val="20"/>
          <w:lang w:val="en-US"/>
        </w:rPr>
        <w:t>Rhodesia 1890-1980</w:t>
      </w:r>
      <w:r w:rsidR="00744101">
        <w:rPr>
          <w:sz w:val="20"/>
          <w:szCs w:val="20"/>
          <w:lang w:val="en-US"/>
        </w:rPr>
        <w:t>’</w:t>
      </w:r>
      <w:r w:rsidRPr="00E63216">
        <w:rPr>
          <w:sz w:val="20"/>
          <w:szCs w:val="20"/>
          <w:lang w:val="en-US"/>
        </w:rPr>
        <w:t xml:space="preserve"> for a detailed discussion of the symbolism surrounding UDI. </w:t>
      </w:r>
    </w:p>
  </w:endnote>
  <w:endnote w:id="16">
    <w:p w14:paraId="3C010058" w14:textId="19A1C9EF" w:rsidR="00BE4D8F" w:rsidRPr="00E63216" w:rsidRDefault="00BE4D8F" w:rsidP="00DA1711">
      <w:pPr>
        <w:widowControl w:val="0"/>
        <w:autoSpaceDE w:val="0"/>
        <w:autoSpaceDN w:val="0"/>
        <w:adjustRightInd w:val="0"/>
        <w:jc w:val="both"/>
        <w:rPr>
          <w:rFonts w:cs="Times New Roman"/>
          <w:sz w:val="20"/>
          <w:szCs w:val="20"/>
          <w:lang w:val="en-US"/>
        </w:rPr>
      </w:pPr>
      <w:r w:rsidRPr="00D40579">
        <w:rPr>
          <w:rStyle w:val="EndnoteReference"/>
          <w:rFonts w:cs="Times New Roman"/>
          <w:sz w:val="20"/>
          <w:szCs w:val="20"/>
          <w:vertAlign w:val="baseline"/>
        </w:rPr>
        <w:endnoteRef/>
      </w:r>
      <w:r w:rsidR="00251C1D">
        <w:rPr>
          <w:rFonts w:cs="Times New Roman"/>
          <w:sz w:val="20"/>
          <w:szCs w:val="20"/>
        </w:rPr>
        <w:t>.</w:t>
      </w:r>
      <w:r w:rsidRPr="00E63216">
        <w:rPr>
          <w:rFonts w:cs="Times New Roman"/>
          <w:sz w:val="20"/>
          <w:szCs w:val="20"/>
        </w:rPr>
        <w:t xml:space="preserve"> </w:t>
      </w:r>
      <w:r w:rsidRPr="00E63216">
        <w:rPr>
          <w:rFonts w:cs="Times New Roman"/>
          <w:sz w:val="20"/>
          <w:szCs w:val="20"/>
          <w:lang w:val="en-US"/>
        </w:rPr>
        <w:t xml:space="preserve">One must not overlook the principled stand taken by many newly </w:t>
      </w:r>
      <w:proofErr w:type="spellStart"/>
      <w:r w:rsidRPr="00E63216">
        <w:rPr>
          <w:rFonts w:cs="Times New Roman"/>
          <w:sz w:val="20"/>
          <w:szCs w:val="20"/>
          <w:lang w:val="en-US"/>
        </w:rPr>
        <w:t>decolonised</w:t>
      </w:r>
      <w:proofErr w:type="spellEnd"/>
      <w:r w:rsidRPr="00E63216">
        <w:rPr>
          <w:rFonts w:cs="Times New Roman"/>
          <w:sz w:val="20"/>
          <w:szCs w:val="20"/>
          <w:lang w:val="en-US"/>
        </w:rPr>
        <w:t xml:space="preserve"> African countries in attempting to force Britain not to abdicate its responsibilities in the region. </w:t>
      </w:r>
    </w:p>
  </w:endnote>
  <w:endnote w:id="17">
    <w:p w14:paraId="36D18BC2" w14:textId="0FF0B366" w:rsidR="00BE4D8F" w:rsidRPr="00E63216" w:rsidRDefault="00BE4D8F" w:rsidP="00DA1711">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proofErr w:type="gramStart"/>
      <w:r w:rsidRPr="00E63216">
        <w:rPr>
          <w:rStyle w:val="HTMLCite"/>
          <w:rFonts w:eastAsia="Times New Roman"/>
          <w:i w:val="0"/>
          <w:sz w:val="20"/>
          <w:szCs w:val="20"/>
        </w:rPr>
        <w:t>HC Deb 12 November 1965</w:t>
      </w:r>
      <w:r w:rsidR="00744101">
        <w:rPr>
          <w:rStyle w:val="HTMLCite"/>
          <w:rFonts w:eastAsia="Times New Roman"/>
          <w:i w:val="0"/>
          <w:sz w:val="20"/>
          <w:szCs w:val="20"/>
        </w:rPr>
        <w:t>,</w:t>
      </w:r>
      <w:r w:rsidRPr="00E63216">
        <w:rPr>
          <w:rStyle w:val="HTMLCite"/>
          <w:rFonts w:eastAsia="Times New Roman"/>
          <w:i w:val="0"/>
          <w:sz w:val="20"/>
          <w:szCs w:val="20"/>
        </w:rPr>
        <w:t xml:space="preserve"> </w:t>
      </w:r>
      <w:proofErr w:type="spellStart"/>
      <w:r w:rsidRPr="00E63216">
        <w:rPr>
          <w:rStyle w:val="HTMLCite"/>
          <w:rFonts w:eastAsia="Times New Roman"/>
          <w:i w:val="0"/>
          <w:sz w:val="20"/>
          <w:szCs w:val="20"/>
        </w:rPr>
        <w:t>vol</w:t>
      </w:r>
      <w:proofErr w:type="spellEnd"/>
      <w:r w:rsidRPr="00E63216">
        <w:rPr>
          <w:rStyle w:val="HTMLCite"/>
          <w:rFonts w:eastAsia="Times New Roman"/>
          <w:i w:val="0"/>
          <w:sz w:val="20"/>
          <w:szCs w:val="20"/>
        </w:rPr>
        <w:t xml:space="preserve"> 720</w:t>
      </w:r>
      <w:r w:rsidR="00744101">
        <w:rPr>
          <w:rStyle w:val="HTMLCite"/>
          <w:rFonts w:eastAsia="Times New Roman"/>
          <w:i w:val="0"/>
          <w:sz w:val="20"/>
          <w:szCs w:val="20"/>
        </w:rPr>
        <w:t>,</w:t>
      </w:r>
      <w:r w:rsidRPr="00E63216">
        <w:rPr>
          <w:rStyle w:val="HTMLCite"/>
          <w:rFonts w:eastAsia="Times New Roman"/>
          <w:i w:val="0"/>
          <w:sz w:val="20"/>
          <w:szCs w:val="20"/>
        </w:rPr>
        <w:t xml:space="preserve"> cc523-637, http://hansard.millbanksystems.com/commons/1965/nov/12/rhodesia-1.</w:t>
      </w:r>
      <w:proofErr w:type="gramEnd"/>
    </w:p>
  </w:endnote>
  <w:endnote w:id="18">
    <w:p w14:paraId="116E2207" w14:textId="385759A9" w:rsidR="00BE4D8F" w:rsidRPr="00E63216" w:rsidRDefault="00BE4D8F" w:rsidP="00DA1711">
      <w:pPr>
        <w:pStyle w:val="Heading1"/>
        <w:spacing w:before="0" w:beforeAutospacing="0" w:after="0" w:afterAutospacing="0"/>
        <w:jc w:val="both"/>
        <w:rPr>
          <w:rFonts w:ascii="Times New Roman" w:eastAsia="Times New Roman" w:hAnsi="Times New Roman" w:cs="Times New Roman"/>
          <w:b w:val="0"/>
          <w:sz w:val="20"/>
          <w:szCs w:val="20"/>
        </w:rPr>
      </w:pPr>
      <w:r w:rsidRPr="00251C1D">
        <w:rPr>
          <w:rStyle w:val="EndnoteReference"/>
          <w:rFonts w:ascii="Times New Roman" w:hAnsi="Times New Roman" w:cs="Times New Roman"/>
          <w:b w:val="0"/>
          <w:sz w:val="20"/>
          <w:szCs w:val="20"/>
          <w:vertAlign w:val="baseline"/>
        </w:rPr>
        <w:endnoteRef/>
      </w:r>
      <w:r w:rsidR="00251C1D">
        <w:rPr>
          <w:rFonts w:ascii="Times New Roman" w:hAnsi="Times New Roman" w:cs="Times New Roman"/>
          <w:b w:val="0"/>
          <w:sz w:val="20"/>
          <w:szCs w:val="20"/>
        </w:rPr>
        <w:t>.</w:t>
      </w:r>
      <w:r w:rsidRPr="00E63216">
        <w:rPr>
          <w:rFonts w:ascii="Times New Roman" w:hAnsi="Times New Roman" w:cs="Times New Roman"/>
          <w:b w:val="0"/>
          <w:sz w:val="20"/>
          <w:szCs w:val="20"/>
        </w:rPr>
        <w:t xml:space="preserve"> </w:t>
      </w:r>
      <w:proofErr w:type="gramStart"/>
      <w:r w:rsidRPr="00E63216">
        <w:rPr>
          <w:rFonts w:ascii="Times New Roman" w:hAnsi="Times New Roman" w:cs="Times New Roman"/>
          <w:b w:val="0"/>
          <w:sz w:val="20"/>
          <w:szCs w:val="20"/>
          <w:lang w:val="en-US"/>
        </w:rPr>
        <w:t xml:space="preserve">Wood, </w:t>
      </w:r>
      <w:r w:rsidRPr="00E63216">
        <w:rPr>
          <w:rFonts w:ascii="Times New Roman" w:hAnsi="Times New Roman" w:cs="Times New Roman"/>
          <w:b w:val="0"/>
          <w:i/>
          <w:sz w:val="20"/>
          <w:szCs w:val="20"/>
          <w:lang w:val="en-US"/>
        </w:rPr>
        <w:t>A Matter of Weeks Rather Than Months</w:t>
      </w:r>
      <w:r w:rsidRPr="00E63216">
        <w:rPr>
          <w:rFonts w:ascii="Times New Roman" w:eastAsia="Times New Roman" w:hAnsi="Times New Roman" w:cs="Times New Roman"/>
          <w:b w:val="0"/>
          <w:sz w:val="20"/>
          <w:szCs w:val="20"/>
        </w:rPr>
        <w:t>.</w:t>
      </w:r>
      <w:proofErr w:type="gramEnd"/>
      <w:r w:rsidRPr="00E63216">
        <w:rPr>
          <w:rFonts w:ascii="Times New Roman" w:eastAsia="Times New Roman" w:hAnsi="Times New Roman" w:cs="Times New Roman"/>
          <w:b w:val="0"/>
          <w:sz w:val="20"/>
          <w:szCs w:val="20"/>
        </w:rPr>
        <w:t xml:space="preserve"> </w:t>
      </w:r>
    </w:p>
  </w:endnote>
  <w:endnote w:id="19">
    <w:p w14:paraId="274C84BC" w14:textId="25B4E131" w:rsidR="00BE4D8F" w:rsidRPr="00E63216" w:rsidRDefault="00BE4D8F" w:rsidP="00DA1711">
      <w:pPr>
        <w:pStyle w:val="Heading1"/>
        <w:spacing w:before="0" w:beforeAutospacing="0" w:after="0" w:afterAutospacing="0"/>
        <w:jc w:val="both"/>
        <w:rPr>
          <w:rFonts w:ascii="Times New Roman" w:eastAsia="Times New Roman" w:hAnsi="Times New Roman" w:cs="Times New Roman"/>
          <w:b w:val="0"/>
          <w:sz w:val="20"/>
          <w:szCs w:val="20"/>
        </w:rPr>
      </w:pPr>
      <w:r w:rsidRPr="00251C1D">
        <w:rPr>
          <w:rStyle w:val="EndnoteReference"/>
          <w:rFonts w:ascii="Times New Roman" w:hAnsi="Times New Roman" w:cs="Times New Roman"/>
          <w:b w:val="0"/>
          <w:sz w:val="20"/>
          <w:szCs w:val="20"/>
          <w:vertAlign w:val="baseline"/>
        </w:rPr>
        <w:endnoteRef/>
      </w:r>
      <w:r w:rsidR="00251C1D">
        <w:rPr>
          <w:rFonts w:ascii="Times New Roman" w:hAnsi="Times New Roman" w:cs="Times New Roman"/>
          <w:b w:val="0"/>
          <w:sz w:val="20"/>
          <w:szCs w:val="20"/>
        </w:rPr>
        <w:t>.</w:t>
      </w:r>
      <w:r w:rsidRPr="00E63216">
        <w:rPr>
          <w:rFonts w:ascii="Times New Roman" w:hAnsi="Times New Roman" w:cs="Times New Roman"/>
          <w:b w:val="0"/>
          <w:sz w:val="20"/>
          <w:szCs w:val="20"/>
        </w:rPr>
        <w:t xml:space="preserve"> </w:t>
      </w:r>
      <w:proofErr w:type="gramStart"/>
      <w:r w:rsidRPr="00E63216">
        <w:rPr>
          <w:rFonts w:ascii="Times New Roman" w:hAnsi="Times New Roman" w:cs="Times New Roman"/>
          <w:b w:val="0"/>
          <w:sz w:val="20"/>
          <w:szCs w:val="20"/>
          <w:lang w:val="en-US"/>
        </w:rPr>
        <w:t xml:space="preserve">Watts, </w:t>
      </w:r>
      <w:r w:rsidR="00744101">
        <w:rPr>
          <w:rFonts w:ascii="Times New Roman" w:hAnsi="Times New Roman" w:cs="Times New Roman"/>
          <w:b w:val="0"/>
          <w:sz w:val="20"/>
          <w:szCs w:val="20"/>
          <w:lang w:val="en-US"/>
        </w:rPr>
        <w:t>‘</w:t>
      </w:r>
      <w:r w:rsidRPr="00E63216">
        <w:rPr>
          <w:rFonts w:ascii="Times New Roman" w:hAnsi="Times New Roman" w:cs="Times New Roman"/>
          <w:b w:val="0"/>
          <w:sz w:val="20"/>
          <w:szCs w:val="20"/>
          <w:lang w:val="en-US"/>
        </w:rPr>
        <w:t>Killing Kith and Kin</w:t>
      </w:r>
      <w:r w:rsidR="00744101">
        <w:rPr>
          <w:rFonts w:ascii="Times New Roman" w:hAnsi="Times New Roman" w:cs="Times New Roman"/>
          <w:b w:val="0"/>
          <w:sz w:val="20"/>
          <w:szCs w:val="20"/>
          <w:lang w:val="en-US"/>
        </w:rPr>
        <w:t>’</w:t>
      </w:r>
      <w:r w:rsidRPr="00E63216">
        <w:rPr>
          <w:rFonts w:ascii="Times New Roman" w:hAnsi="Times New Roman" w:cs="Times New Roman"/>
          <w:b w:val="0"/>
          <w:sz w:val="20"/>
          <w:szCs w:val="20"/>
          <w:lang w:val="en-US"/>
        </w:rPr>
        <w:t>, 415.</w:t>
      </w:r>
      <w:proofErr w:type="gramEnd"/>
      <w:r w:rsidRPr="00E63216">
        <w:rPr>
          <w:rFonts w:ascii="Times New Roman" w:hAnsi="Times New Roman" w:cs="Times New Roman"/>
          <w:b w:val="0"/>
          <w:sz w:val="20"/>
          <w:szCs w:val="20"/>
          <w:lang w:val="en-US"/>
        </w:rPr>
        <w:t xml:space="preserve"> Broadly speaking, the historiography can be divided between scholars who are sympathetic to Wilson, and those who are not. For the former see Coggins, ‘Wilson and Rhodesia</w:t>
      </w:r>
      <w:r w:rsidR="00744101">
        <w:rPr>
          <w:rFonts w:ascii="Times New Roman" w:hAnsi="Times New Roman" w:cs="Times New Roman"/>
          <w:b w:val="0"/>
          <w:sz w:val="20"/>
          <w:szCs w:val="20"/>
          <w:lang w:val="en-US"/>
        </w:rPr>
        <w:t>’</w:t>
      </w:r>
      <w:r w:rsidRPr="00E63216">
        <w:rPr>
          <w:rFonts w:ascii="Times New Roman" w:hAnsi="Times New Roman" w:cs="Times New Roman"/>
          <w:b w:val="0"/>
          <w:sz w:val="20"/>
          <w:szCs w:val="20"/>
          <w:lang w:val="en-US"/>
        </w:rPr>
        <w:t xml:space="preserve">, 363-381. For the latter see Watts, </w:t>
      </w:r>
      <w:r w:rsidR="00744101">
        <w:rPr>
          <w:rFonts w:ascii="Times New Roman" w:hAnsi="Times New Roman" w:cs="Times New Roman"/>
          <w:b w:val="0"/>
          <w:sz w:val="20"/>
          <w:szCs w:val="20"/>
          <w:lang w:val="en-US"/>
        </w:rPr>
        <w:t>‘</w:t>
      </w:r>
      <w:r w:rsidRPr="00E63216">
        <w:rPr>
          <w:rFonts w:ascii="Times New Roman" w:hAnsi="Times New Roman" w:cs="Times New Roman"/>
          <w:b w:val="0"/>
          <w:sz w:val="20"/>
          <w:szCs w:val="20"/>
          <w:lang w:val="en-US"/>
        </w:rPr>
        <w:t>Killing Kith and Kin</w:t>
      </w:r>
      <w:r w:rsidR="00744101">
        <w:rPr>
          <w:rFonts w:ascii="Times New Roman" w:hAnsi="Times New Roman" w:cs="Times New Roman"/>
          <w:b w:val="0"/>
          <w:sz w:val="20"/>
          <w:szCs w:val="20"/>
          <w:lang w:val="en-US"/>
        </w:rPr>
        <w:t>’</w:t>
      </w:r>
      <w:r w:rsidRPr="00E63216">
        <w:rPr>
          <w:rFonts w:ascii="Times New Roman" w:hAnsi="Times New Roman" w:cs="Times New Roman"/>
          <w:b w:val="0"/>
          <w:sz w:val="20"/>
          <w:szCs w:val="20"/>
          <w:lang w:val="en-US"/>
        </w:rPr>
        <w:t xml:space="preserve">. Watts argues that Wilson made a tactical blunder in ruling out the use of force so early on against the white settler population. See also </w:t>
      </w:r>
      <w:proofErr w:type="spellStart"/>
      <w:r w:rsidRPr="00E63216">
        <w:rPr>
          <w:rFonts w:ascii="Times New Roman" w:hAnsi="Times New Roman" w:cs="Times New Roman"/>
          <w:b w:val="0"/>
          <w:sz w:val="20"/>
          <w:szCs w:val="20"/>
          <w:lang w:val="en-US"/>
        </w:rPr>
        <w:t>Facchini</w:t>
      </w:r>
      <w:proofErr w:type="spellEnd"/>
      <w:r w:rsidRPr="00E63216">
        <w:rPr>
          <w:rFonts w:ascii="Times New Roman" w:hAnsi="Times New Roman" w:cs="Times New Roman"/>
          <w:b w:val="0"/>
          <w:sz w:val="20"/>
          <w:szCs w:val="20"/>
          <w:lang w:val="en-US"/>
        </w:rPr>
        <w:t xml:space="preserve">, </w:t>
      </w:r>
      <w:r w:rsidR="00744101">
        <w:rPr>
          <w:rFonts w:ascii="Times New Roman" w:hAnsi="Times New Roman" w:cs="Times New Roman"/>
          <w:b w:val="0"/>
          <w:sz w:val="20"/>
          <w:szCs w:val="20"/>
          <w:lang w:val="en-US"/>
        </w:rPr>
        <w:t>‘</w:t>
      </w:r>
      <w:r w:rsidR="00F04A7B">
        <w:rPr>
          <w:rFonts w:ascii="Times New Roman" w:hAnsi="Times New Roman" w:cs="Times New Roman"/>
          <w:b w:val="0"/>
          <w:sz w:val="20"/>
          <w:szCs w:val="20"/>
          <w:lang w:val="en-US"/>
        </w:rPr>
        <w:t>“</w:t>
      </w:r>
      <w:r w:rsidRPr="00E63216">
        <w:rPr>
          <w:rFonts w:ascii="Times New Roman" w:eastAsia="Times New Roman" w:hAnsi="Times New Roman" w:cs="Times New Roman"/>
          <w:b w:val="0"/>
          <w:sz w:val="20"/>
          <w:szCs w:val="20"/>
        </w:rPr>
        <w:t>The Millstone Around Our Necks</w:t>
      </w:r>
      <w:r w:rsidR="00F04A7B">
        <w:rPr>
          <w:rFonts w:ascii="Times New Roman" w:eastAsia="Times New Roman" w:hAnsi="Times New Roman" w:cs="Times New Roman"/>
          <w:b w:val="0"/>
          <w:sz w:val="20"/>
          <w:szCs w:val="20"/>
        </w:rPr>
        <w:t>”</w:t>
      </w:r>
      <w:r w:rsidR="00744101">
        <w:rPr>
          <w:rFonts w:ascii="Times New Roman" w:eastAsia="Times New Roman" w:hAnsi="Times New Roman" w:cs="Times New Roman"/>
          <w:b w:val="0"/>
          <w:sz w:val="20"/>
          <w:szCs w:val="20"/>
        </w:rPr>
        <w:t>’</w:t>
      </w:r>
      <w:r w:rsidRPr="00E63216">
        <w:rPr>
          <w:rFonts w:ascii="Times New Roman" w:eastAsia="Times New Roman" w:hAnsi="Times New Roman" w:cs="Times New Roman"/>
          <w:b w:val="0"/>
          <w:sz w:val="20"/>
          <w:szCs w:val="20"/>
        </w:rPr>
        <w:t xml:space="preserve">, 274-293. </w:t>
      </w:r>
      <w:r w:rsidRPr="00E63216">
        <w:rPr>
          <w:rFonts w:ascii="Times New Roman" w:hAnsi="Times New Roman" w:cs="Times New Roman"/>
          <w:b w:val="0"/>
          <w:sz w:val="20"/>
          <w:szCs w:val="20"/>
          <w:lang w:val="en-US"/>
        </w:rPr>
        <w:t xml:space="preserve">Philip Murphy’s </w:t>
      </w:r>
      <w:r w:rsidR="00744101">
        <w:rPr>
          <w:rFonts w:ascii="Times New Roman" w:hAnsi="Times New Roman" w:cs="Times New Roman"/>
          <w:b w:val="0"/>
          <w:sz w:val="20"/>
          <w:szCs w:val="20"/>
          <w:lang w:val="en-US"/>
        </w:rPr>
        <w:t>‘</w:t>
      </w:r>
      <w:r w:rsidRPr="00E63216">
        <w:rPr>
          <w:rFonts w:ascii="Times New Roman" w:hAnsi="Times New Roman" w:cs="Times New Roman"/>
          <w:b w:val="0"/>
          <w:sz w:val="20"/>
          <w:szCs w:val="20"/>
          <w:lang w:val="en-US"/>
        </w:rPr>
        <w:t>An intricate and distasteful subject</w:t>
      </w:r>
      <w:r w:rsidR="00744101">
        <w:rPr>
          <w:rFonts w:ascii="Times New Roman" w:hAnsi="Times New Roman" w:cs="Times New Roman"/>
          <w:b w:val="0"/>
          <w:sz w:val="20"/>
          <w:szCs w:val="20"/>
          <w:lang w:val="en-US"/>
        </w:rPr>
        <w:t>’</w:t>
      </w:r>
      <w:r w:rsidRPr="00E63216">
        <w:rPr>
          <w:rFonts w:ascii="Times New Roman" w:hAnsi="Times New Roman" w:cs="Times New Roman"/>
          <w:b w:val="0"/>
          <w:sz w:val="20"/>
          <w:szCs w:val="20"/>
          <w:lang w:val="en-US"/>
        </w:rPr>
        <w:t xml:space="preserve"> should also be consulted. As Murphy argues, Wilson’s decision to rule out the use of force against the white settlers was actually consistent with earlier British thinking. For a recent overview of the field see also </w:t>
      </w:r>
      <w:proofErr w:type="spellStart"/>
      <w:r w:rsidRPr="00E63216">
        <w:rPr>
          <w:rFonts w:ascii="Times New Roman" w:hAnsi="Times New Roman" w:cs="Times New Roman"/>
          <w:b w:val="0"/>
          <w:sz w:val="20"/>
          <w:szCs w:val="20"/>
          <w:lang w:val="en-US"/>
        </w:rPr>
        <w:t>Nyamunda</w:t>
      </w:r>
      <w:proofErr w:type="spellEnd"/>
      <w:r w:rsidRPr="00E63216">
        <w:rPr>
          <w:rFonts w:ascii="Times New Roman" w:hAnsi="Times New Roman" w:cs="Times New Roman"/>
          <w:b w:val="0"/>
          <w:sz w:val="20"/>
          <w:szCs w:val="20"/>
          <w:lang w:val="en-US"/>
        </w:rPr>
        <w:t>, ‘“More a Cause than a Country”</w:t>
      </w:r>
      <w:r w:rsidR="00744101">
        <w:rPr>
          <w:rFonts w:ascii="Times New Roman" w:hAnsi="Times New Roman" w:cs="Times New Roman"/>
          <w:b w:val="0"/>
          <w:sz w:val="20"/>
          <w:szCs w:val="20"/>
          <w:lang w:val="en-US"/>
        </w:rPr>
        <w:t>’,</w:t>
      </w:r>
      <w:r w:rsidRPr="00E63216">
        <w:rPr>
          <w:rFonts w:ascii="Times New Roman" w:hAnsi="Times New Roman" w:cs="Times New Roman"/>
          <w:b w:val="0"/>
          <w:sz w:val="20"/>
          <w:szCs w:val="20"/>
          <w:lang w:val="en-US"/>
        </w:rPr>
        <w:t xml:space="preserve"> 1005-1019.</w:t>
      </w:r>
    </w:p>
  </w:endnote>
  <w:endnote w:id="20">
    <w:p w14:paraId="543A477C" w14:textId="4A73BA3D" w:rsidR="00BE4D8F" w:rsidRPr="00E63216" w:rsidRDefault="00BE4D8F" w:rsidP="00DA1711">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proofErr w:type="gramStart"/>
      <w:r w:rsidRPr="00E63216">
        <w:rPr>
          <w:sz w:val="20"/>
          <w:szCs w:val="20"/>
        </w:rPr>
        <w:t>Coggins, ‘Wilson and Rhodesia’, 376.</w:t>
      </w:r>
      <w:proofErr w:type="gramEnd"/>
    </w:p>
  </w:endnote>
  <w:endnote w:id="21">
    <w:p w14:paraId="3351887D" w14:textId="4686EA32" w:rsidR="00BE4D8F" w:rsidRPr="00E63216" w:rsidRDefault="00BE4D8F" w:rsidP="00DA1711">
      <w:pPr>
        <w:pStyle w:val="EndnoteText"/>
        <w:jc w:val="both"/>
        <w:rPr>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sz w:val="20"/>
          <w:szCs w:val="20"/>
          <w:lang w:val="en-US"/>
        </w:rPr>
        <w:t xml:space="preserve">See for instance: </w:t>
      </w:r>
      <w:proofErr w:type="spellStart"/>
      <w:r w:rsidRPr="00E63216">
        <w:rPr>
          <w:sz w:val="20"/>
          <w:szCs w:val="20"/>
          <w:lang w:val="en-US"/>
        </w:rPr>
        <w:t>Hirschmann</w:t>
      </w:r>
      <w:proofErr w:type="spellEnd"/>
      <w:r w:rsidRPr="00E63216">
        <w:rPr>
          <w:sz w:val="20"/>
          <w:szCs w:val="20"/>
          <w:lang w:val="en-US"/>
        </w:rPr>
        <w:t xml:space="preserve">, </w:t>
      </w:r>
      <w:r w:rsidR="00744101">
        <w:rPr>
          <w:sz w:val="20"/>
          <w:szCs w:val="20"/>
          <w:lang w:val="en-US"/>
        </w:rPr>
        <w:t>‘</w:t>
      </w:r>
      <w:r w:rsidRPr="00E63216">
        <w:rPr>
          <w:sz w:val="20"/>
          <w:szCs w:val="20"/>
          <w:lang w:val="en-US"/>
        </w:rPr>
        <w:t>Southern Africa: Détente?</w:t>
      </w:r>
      <w:proofErr w:type="gramStart"/>
      <w:r w:rsidR="00744101">
        <w:rPr>
          <w:sz w:val="20"/>
          <w:szCs w:val="20"/>
          <w:lang w:val="en-US"/>
        </w:rPr>
        <w:t>’</w:t>
      </w:r>
      <w:r w:rsidRPr="00E63216">
        <w:rPr>
          <w:sz w:val="20"/>
          <w:szCs w:val="20"/>
          <w:lang w:val="en-US"/>
        </w:rPr>
        <w:t>,</w:t>
      </w:r>
      <w:proofErr w:type="gramEnd"/>
      <w:r w:rsidRPr="00E63216">
        <w:rPr>
          <w:sz w:val="20"/>
          <w:szCs w:val="20"/>
          <w:lang w:val="en-US"/>
        </w:rPr>
        <w:t xml:space="preserve"> 107-126. For Smith’s perspective on regional developments see </w:t>
      </w:r>
      <w:r w:rsidRPr="00E63216">
        <w:rPr>
          <w:i/>
          <w:sz w:val="20"/>
          <w:szCs w:val="20"/>
          <w:lang w:val="en-US"/>
        </w:rPr>
        <w:t>Bitter Harvest: Zimbabwe and the Aftermath of its Independence</w:t>
      </w:r>
      <w:r w:rsidRPr="00E63216">
        <w:rPr>
          <w:sz w:val="20"/>
          <w:szCs w:val="20"/>
          <w:lang w:val="en-US"/>
        </w:rPr>
        <w:t>,</w:t>
      </w:r>
      <w:r w:rsidR="00744101">
        <w:rPr>
          <w:sz w:val="20"/>
          <w:szCs w:val="20"/>
          <w:lang w:val="en-US"/>
        </w:rPr>
        <w:t xml:space="preserve"> </w:t>
      </w:r>
      <w:r w:rsidRPr="00E63216">
        <w:rPr>
          <w:sz w:val="20"/>
          <w:szCs w:val="20"/>
          <w:lang w:val="en-US"/>
        </w:rPr>
        <w:t>see especially chapter 14.</w:t>
      </w:r>
      <w:r w:rsidRPr="00E63216">
        <w:rPr>
          <w:lang w:val="en-US"/>
        </w:rPr>
        <w:t xml:space="preserve"> </w:t>
      </w:r>
    </w:p>
  </w:endnote>
  <w:endnote w:id="22">
    <w:p w14:paraId="1EC47FB1" w14:textId="2D307B6E" w:rsidR="00BE4D8F" w:rsidRPr="00E63216" w:rsidRDefault="00BE4D8F" w:rsidP="00DA1711">
      <w:pPr>
        <w:pStyle w:val="EndnoteText"/>
        <w:rPr>
          <w:i/>
          <w:sz w:val="20"/>
          <w:szCs w:val="20"/>
          <w:lang w:val="en-US"/>
        </w:rPr>
      </w:pPr>
      <w:r w:rsidRPr="007B66CA">
        <w:rPr>
          <w:rStyle w:val="EndnoteReference"/>
          <w:sz w:val="20"/>
          <w:szCs w:val="20"/>
          <w:vertAlign w:val="baseline"/>
        </w:rPr>
        <w:endnoteRef/>
      </w:r>
      <w:r w:rsidR="00251C1D">
        <w:rPr>
          <w:i/>
          <w:sz w:val="20"/>
          <w:szCs w:val="20"/>
        </w:rPr>
        <w:t>.</w:t>
      </w:r>
      <w:r w:rsidRPr="00E63216">
        <w:rPr>
          <w:i/>
          <w:sz w:val="20"/>
          <w:szCs w:val="20"/>
        </w:rPr>
        <w:t xml:space="preserve"> </w:t>
      </w:r>
      <w:r w:rsidRPr="00E63216">
        <w:rPr>
          <w:rStyle w:val="HTMLCite"/>
          <w:rFonts w:eastAsia="Times New Roman"/>
          <w:i w:val="0"/>
          <w:sz w:val="20"/>
          <w:szCs w:val="20"/>
        </w:rPr>
        <w:t xml:space="preserve">HC Deb 24 May 1973 </w:t>
      </w:r>
      <w:proofErr w:type="spellStart"/>
      <w:r w:rsidRPr="00E63216">
        <w:rPr>
          <w:rStyle w:val="HTMLCite"/>
          <w:rFonts w:eastAsia="Times New Roman"/>
          <w:i w:val="0"/>
          <w:sz w:val="20"/>
          <w:szCs w:val="20"/>
        </w:rPr>
        <w:t>vol</w:t>
      </w:r>
      <w:proofErr w:type="spellEnd"/>
      <w:r w:rsidRPr="00E63216">
        <w:rPr>
          <w:rStyle w:val="HTMLCite"/>
          <w:rFonts w:eastAsia="Times New Roman"/>
          <w:i w:val="0"/>
          <w:sz w:val="20"/>
          <w:szCs w:val="20"/>
        </w:rPr>
        <w:t xml:space="preserve"> 857</w:t>
      </w:r>
      <w:r w:rsidR="00744101">
        <w:rPr>
          <w:rStyle w:val="HTMLCite"/>
          <w:rFonts w:eastAsia="Times New Roman"/>
          <w:i w:val="0"/>
          <w:sz w:val="20"/>
          <w:szCs w:val="20"/>
        </w:rPr>
        <w:t>,</w:t>
      </w:r>
      <w:r w:rsidRPr="00E63216">
        <w:rPr>
          <w:rStyle w:val="HTMLCite"/>
          <w:rFonts w:eastAsia="Times New Roman"/>
          <w:i w:val="0"/>
          <w:sz w:val="20"/>
          <w:szCs w:val="20"/>
        </w:rPr>
        <w:t xml:space="preserve"> cc</w:t>
      </w:r>
      <w:r w:rsidR="00744101">
        <w:rPr>
          <w:rStyle w:val="HTMLCite"/>
          <w:rFonts w:eastAsia="Times New Roman"/>
          <w:i w:val="0"/>
          <w:sz w:val="20"/>
          <w:szCs w:val="20"/>
        </w:rPr>
        <w:t xml:space="preserve">, </w:t>
      </w:r>
      <w:r w:rsidRPr="00E63216">
        <w:rPr>
          <w:rStyle w:val="HTMLCite"/>
          <w:rFonts w:eastAsia="Times New Roman"/>
          <w:i w:val="0"/>
          <w:sz w:val="20"/>
          <w:szCs w:val="20"/>
        </w:rPr>
        <w:t>657-9</w:t>
      </w:r>
      <w:r w:rsidR="00744101">
        <w:rPr>
          <w:rStyle w:val="HTMLCite"/>
          <w:rFonts w:eastAsia="Times New Roman"/>
          <w:i w:val="0"/>
          <w:sz w:val="20"/>
          <w:szCs w:val="20"/>
        </w:rPr>
        <w:t>,</w:t>
      </w:r>
      <w:r w:rsidRPr="00E63216">
        <w:rPr>
          <w:rStyle w:val="HTMLCite"/>
          <w:rFonts w:eastAsia="Times New Roman"/>
          <w:i w:val="0"/>
          <w:sz w:val="20"/>
          <w:szCs w:val="20"/>
        </w:rPr>
        <w:t xml:space="preserve"> http://hansard.millbanksystems.com/commons/1973/may/24/rhodesia-sanctions </w:t>
      </w:r>
    </w:p>
  </w:endnote>
  <w:endnote w:id="23">
    <w:p w14:paraId="49698447" w14:textId="4160C16A" w:rsidR="00BE4D8F" w:rsidRPr="00E63216" w:rsidRDefault="00BE4D8F" w:rsidP="00AF1E03">
      <w:pPr>
        <w:pStyle w:val="EndnoteText"/>
        <w:jc w:val="both"/>
        <w:rPr>
          <w:sz w:val="20"/>
          <w:szCs w:val="20"/>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r w:rsidRPr="00E63216">
        <w:rPr>
          <w:sz w:val="20"/>
          <w:szCs w:val="20"/>
          <w:lang w:val="en-US"/>
        </w:rPr>
        <w:t xml:space="preserve">As cited in Godwin and Hancock, </w:t>
      </w:r>
      <w:r w:rsidRPr="00E63216">
        <w:rPr>
          <w:i/>
          <w:sz w:val="20"/>
          <w:szCs w:val="20"/>
          <w:lang w:val="en-US"/>
        </w:rPr>
        <w:t>Rhodesians Never Die</w:t>
      </w:r>
      <w:r w:rsidRPr="00E63216">
        <w:rPr>
          <w:sz w:val="20"/>
          <w:szCs w:val="20"/>
          <w:lang w:val="en-US"/>
        </w:rPr>
        <w:t>, 152.</w:t>
      </w:r>
    </w:p>
  </w:endnote>
  <w:endnote w:id="24">
    <w:p w14:paraId="4E6DA945" w14:textId="7D4B4174" w:rsidR="00BE4D8F" w:rsidRDefault="00BE4D8F" w:rsidP="00AF1E03">
      <w:pPr>
        <w:pStyle w:val="EndnoteText"/>
        <w:jc w:val="both"/>
        <w:rPr>
          <w:lang w:val="en-US"/>
        </w:rPr>
      </w:pPr>
      <w:r w:rsidRPr="00251C1D">
        <w:rPr>
          <w:rStyle w:val="EndnoteReference"/>
          <w:sz w:val="20"/>
          <w:szCs w:val="20"/>
          <w:vertAlign w:val="baseline"/>
        </w:rPr>
        <w:endnoteRef/>
      </w:r>
      <w:r w:rsidR="00251C1D">
        <w:rPr>
          <w:sz w:val="20"/>
          <w:szCs w:val="20"/>
        </w:rPr>
        <w:t>.</w:t>
      </w:r>
      <w:r w:rsidRPr="00E63216">
        <w:rPr>
          <w:sz w:val="20"/>
          <w:szCs w:val="20"/>
        </w:rPr>
        <w:t xml:space="preserve"> </w:t>
      </w:r>
      <w:proofErr w:type="gramStart"/>
      <w:r w:rsidRPr="00E63216">
        <w:rPr>
          <w:sz w:val="20"/>
          <w:szCs w:val="20"/>
          <w:lang w:val="en-US"/>
        </w:rPr>
        <w:t xml:space="preserve">Lord Soames, </w:t>
      </w:r>
      <w:r w:rsidR="00744101">
        <w:rPr>
          <w:sz w:val="20"/>
          <w:szCs w:val="20"/>
          <w:lang w:val="en-US"/>
        </w:rPr>
        <w:t>‘</w:t>
      </w:r>
      <w:r w:rsidRPr="00E63216">
        <w:rPr>
          <w:sz w:val="20"/>
          <w:szCs w:val="20"/>
          <w:lang w:val="en-US"/>
        </w:rPr>
        <w:t>From Rhodesia to Zimbabwe</w:t>
      </w:r>
      <w:r w:rsidR="00744101">
        <w:rPr>
          <w:sz w:val="20"/>
          <w:szCs w:val="20"/>
          <w:lang w:val="en-US"/>
        </w:rPr>
        <w:t>’</w:t>
      </w:r>
      <w:r w:rsidRPr="00E63216">
        <w:rPr>
          <w:sz w:val="20"/>
          <w:szCs w:val="20"/>
          <w:lang w:val="en-US"/>
        </w:rPr>
        <w:t>, 405.</w:t>
      </w:r>
      <w:proofErr w:type="gramEnd"/>
      <w:r w:rsidRPr="00E63216">
        <w:rPr>
          <w:lang w:val="en-US"/>
        </w:rPr>
        <w:t xml:space="preserve"> </w:t>
      </w:r>
    </w:p>
    <w:p w14:paraId="379B63FF" w14:textId="77777777" w:rsidR="00BE4D8F" w:rsidRDefault="00BE4D8F" w:rsidP="00AF1E03">
      <w:pPr>
        <w:pStyle w:val="EndnoteText"/>
        <w:jc w:val="both"/>
        <w:rPr>
          <w:lang w:val="en-US"/>
        </w:rPr>
      </w:pPr>
    </w:p>
    <w:p w14:paraId="5F580CF2" w14:textId="77777777" w:rsidR="00BE4D8F" w:rsidRDefault="00BE4D8F" w:rsidP="00AF1E03">
      <w:pPr>
        <w:pStyle w:val="EndnoteText"/>
        <w:jc w:val="both"/>
        <w:rPr>
          <w:lang w:val="en-US"/>
        </w:rPr>
      </w:pPr>
    </w:p>
    <w:p w14:paraId="4FF57B8D" w14:textId="77777777" w:rsidR="00BE4D8F" w:rsidRDefault="00BE4D8F" w:rsidP="00AF1E03">
      <w:pPr>
        <w:pStyle w:val="EndnoteText"/>
        <w:jc w:val="both"/>
        <w:rPr>
          <w:lang w:val="en-US"/>
        </w:rPr>
      </w:pPr>
    </w:p>
    <w:p w14:paraId="1791AFAF" w14:textId="4B1B0377" w:rsidR="00BE4D8F" w:rsidRDefault="00BE4D8F" w:rsidP="007B66CA">
      <w:pPr>
        <w:pStyle w:val="EndnoteText"/>
        <w:spacing w:line="480" w:lineRule="auto"/>
        <w:jc w:val="both"/>
        <w:rPr>
          <w:lang w:val="en-US"/>
        </w:rPr>
      </w:pPr>
      <w:bookmarkStart w:id="0" w:name="_GoBack"/>
      <w:r w:rsidRPr="007B66CA">
        <w:rPr>
          <w:b/>
          <w:u w:val="single"/>
          <w:lang w:val="en-US"/>
        </w:rPr>
        <w:t>Acknowledgements</w:t>
      </w:r>
    </w:p>
    <w:bookmarkEnd w:id="0"/>
    <w:p w14:paraId="4B0D8FC9" w14:textId="72430741" w:rsidR="00BE4D8F" w:rsidRDefault="00BE4D8F" w:rsidP="007B66CA">
      <w:pPr>
        <w:pStyle w:val="EndnoteText"/>
        <w:spacing w:line="480" w:lineRule="auto"/>
        <w:jc w:val="both"/>
        <w:rPr>
          <w:lang w:val="en-US"/>
        </w:rPr>
      </w:pPr>
      <w:r>
        <w:rPr>
          <w:lang w:val="en-US"/>
        </w:rPr>
        <w:t xml:space="preserve">The editor would like to thank </w:t>
      </w:r>
      <w:r w:rsidR="00037AD1">
        <w:rPr>
          <w:lang w:val="en-US"/>
        </w:rPr>
        <w:t xml:space="preserve">Helen Garnett, </w:t>
      </w:r>
      <w:r>
        <w:rPr>
          <w:lang w:val="en-US"/>
        </w:rPr>
        <w:t>Tony Hopkins, Daryl Gowlett, Philip Murphy, Ian Phimister, Stephen Howe and Daphna-</w:t>
      </w:r>
      <w:proofErr w:type="spellStart"/>
      <w:r>
        <w:rPr>
          <w:lang w:val="en-US"/>
        </w:rPr>
        <w:t>Vardi</w:t>
      </w:r>
      <w:proofErr w:type="spellEnd"/>
      <w:r>
        <w:rPr>
          <w:lang w:val="en-US"/>
        </w:rPr>
        <w:t xml:space="preserve"> Howe for their assistance in preparing this edited collection.</w:t>
      </w:r>
      <w:r w:rsidR="00037AD1">
        <w:rPr>
          <w:lang w:val="en-US"/>
        </w:rPr>
        <w:t xml:space="preserve"> </w:t>
      </w:r>
      <w:r>
        <w:rPr>
          <w:lang w:val="en-US"/>
        </w:rPr>
        <w:t xml:space="preserve"> The financial assistance of </w:t>
      </w:r>
      <w:r w:rsidR="003076BD">
        <w:rPr>
          <w:lang w:val="en-US"/>
        </w:rPr>
        <w:t>the International Studies Group - University of the Free State, and the University of Bologna</w:t>
      </w:r>
      <w:r>
        <w:rPr>
          <w:lang w:val="en-US"/>
        </w:rPr>
        <w:t xml:space="preserve"> is gratefully acknowledged. </w:t>
      </w:r>
    </w:p>
    <w:p w14:paraId="5A6561A4" w14:textId="77777777" w:rsidR="007B66CA" w:rsidRDefault="007B66CA" w:rsidP="007B66CA">
      <w:pPr>
        <w:pStyle w:val="EndnoteText"/>
        <w:spacing w:line="480" w:lineRule="auto"/>
        <w:jc w:val="both"/>
        <w:rPr>
          <w:rStyle w:val="bidi"/>
          <w:rFonts w:eastAsia="Times New Roman"/>
          <w:b/>
        </w:rPr>
      </w:pPr>
    </w:p>
    <w:p w14:paraId="0CC81DFA" w14:textId="7432C2BA" w:rsidR="007B66CA" w:rsidRPr="007B66CA" w:rsidRDefault="007B66CA" w:rsidP="007B66CA">
      <w:pPr>
        <w:pStyle w:val="EndnoteText"/>
        <w:spacing w:line="480" w:lineRule="auto"/>
        <w:jc w:val="both"/>
        <w:rPr>
          <w:rStyle w:val="bidi"/>
          <w:rFonts w:eastAsia="Times New Roman"/>
          <w:b/>
        </w:rPr>
      </w:pPr>
      <w:r w:rsidRPr="007B66CA">
        <w:rPr>
          <w:rStyle w:val="bidi"/>
          <w:rFonts w:eastAsia="Times New Roman"/>
          <w:b/>
        </w:rPr>
        <w:t>Authors Disclosure</w:t>
      </w:r>
    </w:p>
    <w:p w14:paraId="291FD7B3" w14:textId="2E870499" w:rsidR="00D40579" w:rsidRDefault="007B66CA" w:rsidP="007B66CA">
      <w:pPr>
        <w:pStyle w:val="EndnoteText"/>
        <w:spacing w:line="480" w:lineRule="auto"/>
        <w:jc w:val="both"/>
        <w:rPr>
          <w:lang w:val="en-US"/>
        </w:rPr>
      </w:pPr>
      <w:r>
        <w:rPr>
          <w:rStyle w:val="bidi"/>
          <w:rFonts w:eastAsia="Times New Roman"/>
        </w:rPr>
        <w:t xml:space="preserve">No conflict of interest </w:t>
      </w:r>
    </w:p>
    <w:p w14:paraId="45A2A673" w14:textId="272C965F" w:rsidR="00D40579" w:rsidRDefault="00D40579" w:rsidP="007B66CA">
      <w:pPr>
        <w:pStyle w:val="EndnoteText"/>
        <w:spacing w:line="480" w:lineRule="auto"/>
        <w:jc w:val="both"/>
        <w:rPr>
          <w:b/>
          <w:lang w:val="en-US"/>
        </w:rPr>
      </w:pPr>
      <w:r>
        <w:rPr>
          <w:b/>
          <w:lang w:val="en-US"/>
        </w:rPr>
        <w:t>Bibliography</w:t>
      </w:r>
    </w:p>
    <w:p w14:paraId="27DC5839" w14:textId="77777777" w:rsidR="00FF0437" w:rsidRDefault="00FF0437" w:rsidP="007B66CA">
      <w:pPr>
        <w:pStyle w:val="EndnoteText"/>
        <w:spacing w:line="480" w:lineRule="auto"/>
        <w:jc w:val="both"/>
        <w:rPr>
          <w:b/>
          <w:lang w:val="en-US"/>
        </w:rPr>
      </w:pPr>
    </w:p>
    <w:p w14:paraId="4B313FD9" w14:textId="2770C035" w:rsidR="00FF0437" w:rsidRDefault="00FF0437" w:rsidP="007B66CA">
      <w:pPr>
        <w:pStyle w:val="EndnoteText"/>
        <w:spacing w:line="480" w:lineRule="auto"/>
        <w:jc w:val="both"/>
      </w:pPr>
      <w:r>
        <w:t>Bickers, Robert, ed.</w:t>
      </w:r>
      <w:r w:rsidRPr="007E354C">
        <w:t xml:space="preserve"> </w:t>
      </w:r>
      <w:r w:rsidRPr="007E354C">
        <w:rPr>
          <w:i/>
        </w:rPr>
        <w:t xml:space="preserve">Settlers and Expatriates: Britons over the </w:t>
      </w:r>
      <w:r w:rsidRPr="007B66CA">
        <w:rPr>
          <w:i/>
        </w:rPr>
        <w:t>Seas</w:t>
      </w:r>
      <w:r>
        <w:t xml:space="preserve">. </w:t>
      </w:r>
      <w:r w:rsidRPr="007E354C">
        <w:t>Oxford: Oxford University Press, 2010.</w:t>
      </w:r>
    </w:p>
    <w:p w14:paraId="1E0526AD" w14:textId="77777777" w:rsidR="00FF0437" w:rsidRDefault="00FF0437" w:rsidP="007B66CA">
      <w:pPr>
        <w:pStyle w:val="EndnoteText"/>
        <w:spacing w:line="480" w:lineRule="auto"/>
        <w:jc w:val="both"/>
        <w:rPr>
          <w:b/>
          <w:lang w:val="en-US"/>
        </w:rPr>
      </w:pPr>
    </w:p>
    <w:p w14:paraId="0B99398E" w14:textId="77777777" w:rsidR="00342E43" w:rsidRPr="005357F0" w:rsidRDefault="00342E43" w:rsidP="007B66CA">
      <w:pPr>
        <w:spacing w:line="480" w:lineRule="auto"/>
        <w:rPr>
          <w:rFonts w:cs="Times New Roman"/>
        </w:rPr>
      </w:pPr>
      <w:r>
        <w:rPr>
          <w:rFonts w:cs="Times New Roman"/>
        </w:rPr>
        <w:t xml:space="preserve">Brownell, Josiah. </w:t>
      </w:r>
      <w:r>
        <w:rPr>
          <w:rFonts w:cs="Times New Roman"/>
          <w:i/>
        </w:rPr>
        <w:t>The Collapse of Rhodesia: Population Demographics and the Politics of Race.</w:t>
      </w:r>
      <w:r>
        <w:rPr>
          <w:rFonts w:cs="Times New Roman"/>
        </w:rPr>
        <w:t xml:space="preserve"> London: I.B. Tauris, 2010.</w:t>
      </w:r>
    </w:p>
    <w:p w14:paraId="1041BD54" w14:textId="77777777" w:rsidR="00342E43" w:rsidRDefault="00342E43" w:rsidP="007B66CA">
      <w:pPr>
        <w:pStyle w:val="EndnoteText"/>
        <w:spacing w:line="480" w:lineRule="auto"/>
        <w:rPr>
          <w:sz w:val="20"/>
          <w:szCs w:val="20"/>
          <w:lang w:val="en-US"/>
        </w:rPr>
      </w:pPr>
    </w:p>
    <w:p w14:paraId="3B53C3FC" w14:textId="1D9232D5" w:rsidR="00A475D0" w:rsidRPr="007B66CA" w:rsidRDefault="00A475D0" w:rsidP="007B66CA">
      <w:pPr>
        <w:pStyle w:val="EndnoteText"/>
        <w:spacing w:line="480" w:lineRule="auto"/>
      </w:pPr>
      <w:r w:rsidRPr="007B66CA">
        <w:t xml:space="preserve">Butler, Larry, and Sarah Stockwell, </w:t>
      </w:r>
      <w:proofErr w:type="gramStart"/>
      <w:r w:rsidRPr="007B66CA">
        <w:t>eds</w:t>
      </w:r>
      <w:proofErr w:type="gramEnd"/>
      <w:r w:rsidRPr="007B66CA">
        <w:t xml:space="preserve">. </w:t>
      </w:r>
      <w:r w:rsidRPr="007B66CA">
        <w:rPr>
          <w:i/>
        </w:rPr>
        <w:t>The Wind of Change: Harold Macmillan and British Decolonization</w:t>
      </w:r>
      <w:r w:rsidRPr="007B66CA">
        <w:t>. Basingstoke: Palgrave Macmillan, 2013.</w:t>
      </w:r>
    </w:p>
    <w:p w14:paraId="17926866" w14:textId="77777777" w:rsidR="00A475D0" w:rsidRDefault="00A475D0" w:rsidP="007B66CA">
      <w:pPr>
        <w:pStyle w:val="EndnoteText"/>
        <w:spacing w:line="480" w:lineRule="auto"/>
        <w:rPr>
          <w:lang w:val="en-US"/>
        </w:rPr>
      </w:pPr>
    </w:p>
    <w:p w14:paraId="04A812AE" w14:textId="06D3E7BC" w:rsidR="006F4BF9" w:rsidRPr="007B66CA" w:rsidRDefault="006F4BF9" w:rsidP="007B66CA">
      <w:pPr>
        <w:pStyle w:val="EndnoteText"/>
        <w:spacing w:line="480" w:lineRule="auto"/>
        <w:rPr>
          <w:lang w:val="en-US"/>
        </w:rPr>
      </w:pPr>
      <w:r w:rsidRPr="007B66CA">
        <w:rPr>
          <w:lang w:val="en-US"/>
        </w:rPr>
        <w:t xml:space="preserve">Butler, </w:t>
      </w:r>
      <w:proofErr w:type="spellStart"/>
      <w:r w:rsidR="00A475D0" w:rsidRPr="007B66CA">
        <w:rPr>
          <w:lang w:val="en-US"/>
        </w:rPr>
        <w:t>Rab</w:t>
      </w:r>
      <w:proofErr w:type="spellEnd"/>
      <w:r w:rsidR="00A475D0" w:rsidRPr="007B66CA">
        <w:rPr>
          <w:lang w:val="en-US"/>
        </w:rPr>
        <w:t xml:space="preserve">. </w:t>
      </w:r>
      <w:proofErr w:type="gramStart"/>
      <w:r w:rsidRPr="007B66CA">
        <w:rPr>
          <w:i/>
          <w:lang w:val="en-US"/>
        </w:rPr>
        <w:t>The Art of the Possible</w:t>
      </w:r>
      <w:r w:rsidR="00A475D0" w:rsidRPr="007B66CA">
        <w:rPr>
          <w:lang w:val="en-US"/>
        </w:rPr>
        <w:t xml:space="preserve"> </w:t>
      </w:r>
      <w:r w:rsidR="00A475D0" w:rsidRPr="007B66CA">
        <w:rPr>
          <w:i/>
          <w:lang w:val="en-US"/>
        </w:rPr>
        <w:t>– The Memoirs of Lord Butler</w:t>
      </w:r>
      <w:r w:rsidR="00A475D0" w:rsidRPr="007B66CA">
        <w:rPr>
          <w:lang w:val="en-US"/>
        </w:rPr>
        <w:t>.</w:t>
      </w:r>
      <w:proofErr w:type="gramEnd"/>
      <w:r w:rsidR="00A475D0" w:rsidRPr="007B66CA">
        <w:rPr>
          <w:lang w:val="en-US"/>
        </w:rPr>
        <w:t xml:space="preserve"> London: Hamish Hamilton, 1971.</w:t>
      </w:r>
    </w:p>
    <w:p w14:paraId="65AD586D" w14:textId="77777777" w:rsidR="006F4BF9" w:rsidRDefault="006F4BF9" w:rsidP="007B66CA">
      <w:pPr>
        <w:pStyle w:val="EndnoteText"/>
        <w:spacing w:line="480" w:lineRule="auto"/>
        <w:rPr>
          <w:sz w:val="20"/>
          <w:szCs w:val="20"/>
          <w:lang w:val="en-US"/>
        </w:rPr>
      </w:pPr>
    </w:p>
    <w:p w14:paraId="1DA21A58" w14:textId="6BB2C0AA" w:rsidR="006F4BF9" w:rsidRPr="007B66CA" w:rsidRDefault="006F4BF9" w:rsidP="007B66CA">
      <w:pPr>
        <w:pStyle w:val="EndnoteText"/>
        <w:spacing w:line="480" w:lineRule="auto"/>
      </w:pPr>
      <w:r w:rsidRPr="007B66CA">
        <w:rPr>
          <w:lang w:val="en-US"/>
        </w:rPr>
        <w:t xml:space="preserve">Clements, </w:t>
      </w:r>
      <w:r w:rsidR="00EE2B7D" w:rsidRPr="007B66CA">
        <w:rPr>
          <w:lang w:val="en-US"/>
        </w:rPr>
        <w:t xml:space="preserve">Frank. </w:t>
      </w:r>
      <w:r w:rsidRPr="007B66CA">
        <w:rPr>
          <w:i/>
          <w:lang w:val="en-US"/>
        </w:rPr>
        <w:t>Rhodesia: The Course to Collision</w:t>
      </w:r>
      <w:r w:rsidRPr="007B66CA">
        <w:rPr>
          <w:lang w:val="en-US"/>
        </w:rPr>
        <w:t>.</w:t>
      </w:r>
      <w:r w:rsidR="00EE2B7D" w:rsidRPr="007B66CA">
        <w:rPr>
          <w:lang w:val="en-US"/>
        </w:rPr>
        <w:t xml:space="preserve"> London: Pall Mall Press, 1969.</w:t>
      </w:r>
    </w:p>
    <w:p w14:paraId="6ED97416" w14:textId="77777777" w:rsidR="006F4BF9" w:rsidRDefault="006F4BF9" w:rsidP="007B66CA">
      <w:pPr>
        <w:pStyle w:val="EndnoteText"/>
        <w:spacing w:line="480" w:lineRule="auto"/>
        <w:rPr>
          <w:sz w:val="20"/>
          <w:szCs w:val="20"/>
        </w:rPr>
      </w:pPr>
    </w:p>
    <w:p w14:paraId="71AED8FC" w14:textId="6BD261E9" w:rsidR="006F4BF9" w:rsidRPr="007B66CA" w:rsidRDefault="006F4BF9" w:rsidP="007B66CA">
      <w:pPr>
        <w:pStyle w:val="EndnoteText"/>
        <w:spacing w:line="480" w:lineRule="auto"/>
        <w:rPr>
          <w:lang w:val="en-US"/>
        </w:rPr>
      </w:pPr>
      <w:r w:rsidRPr="007B66CA">
        <w:rPr>
          <w:lang w:val="en-US"/>
        </w:rPr>
        <w:t xml:space="preserve">Coggins, </w:t>
      </w:r>
      <w:r w:rsidR="00F04A7B" w:rsidRPr="007B66CA">
        <w:rPr>
          <w:lang w:val="en-US"/>
        </w:rPr>
        <w:t xml:space="preserve">Richard. </w:t>
      </w:r>
      <w:r w:rsidRPr="007B66CA">
        <w:rPr>
          <w:lang w:val="en-US"/>
        </w:rPr>
        <w:t>‘Wilson and Rhodesia</w:t>
      </w:r>
      <w:r w:rsidR="00F04A7B" w:rsidRPr="007B66CA">
        <w:rPr>
          <w:lang w:val="en-US"/>
        </w:rPr>
        <w:t xml:space="preserve">: UDI and British Policy towards Africa’. </w:t>
      </w:r>
      <w:r w:rsidR="00F04A7B" w:rsidRPr="007B66CA">
        <w:rPr>
          <w:i/>
          <w:lang w:val="en-US"/>
        </w:rPr>
        <w:t>Contemporary British History</w:t>
      </w:r>
      <w:r w:rsidR="00F04A7B" w:rsidRPr="007B66CA">
        <w:rPr>
          <w:lang w:val="en-US"/>
        </w:rPr>
        <w:t xml:space="preserve"> 20, no. 3 (2006):</w:t>
      </w:r>
      <w:r w:rsidRPr="007B66CA">
        <w:rPr>
          <w:lang w:val="en-US"/>
        </w:rPr>
        <w:t xml:space="preserve"> 363-381.</w:t>
      </w:r>
      <w:r w:rsidR="00F04A7B" w:rsidRPr="007B66CA">
        <w:rPr>
          <w:lang w:val="en-US"/>
        </w:rPr>
        <w:t xml:space="preserve"> </w:t>
      </w:r>
      <w:proofErr w:type="spellStart"/>
      <w:proofErr w:type="gramStart"/>
      <w:r w:rsidR="00F04A7B" w:rsidRPr="007B66CA">
        <w:rPr>
          <w:lang w:val="en-US"/>
        </w:rPr>
        <w:t>doi</w:t>
      </w:r>
      <w:proofErr w:type="spellEnd"/>
      <w:proofErr w:type="gramEnd"/>
      <w:r w:rsidR="00F04A7B" w:rsidRPr="007B66CA">
        <w:rPr>
          <w:lang w:val="en-US"/>
        </w:rPr>
        <w:t>: 10.1080/13619460500407061.</w:t>
      </w:r>
    </w:p>
    <w:p w14:paraId="0302D016" w14:textId="77777777" w:rsidR="00342E43" w:rsidRDefault="00342E43" w:rsidP="007B66CA">
      <w:pPr>
        <w:pStyle w:val="EndnoteText"/>
        <w:spacing w:line="480" w:lineRule="auto"/>
        <w:rPr>
          <w:sz w:val="20"/>
          <w:szCs w:val="20"/>
          <w:lang w:val="en-US"/>
        </w:rPr>
      </w:pPr>
    </w:p>
    <w:p w14:paraId="1DF59FCE" w14:textId="647D7927" w:rsidR="00342E43" w:rsidRPr="007B66CA" w:rsidRDefault="00342E43" w:rsidP="007B66CA">
      <w:pPr>
        <w:pStyle w:val="EndnoteText"/>
        <w:spacing w:line="480" w:lineRule="auto"/>
        <w:rPr>
          <w:lang w:val="en-US"/>
        </w:rPr>
      </w:pPr>
      <w:r w:rsidRPr="007B66CA">
        <w:rPr>
          <w:lang w:val="en-US"/>
        </w:rPr>
        <w:t xml:space="preserve">Cohen, </w:t>
      </w:r>
      <w:r w:rsidR="00F04A7B" w:rsidRPr="007B66CA">
        <w:rPr>
          <w:lang w:val="en-US"/>
        </w:rPr>
        <w:t xml:space="preserve">Andrew. </w:t>
      </w:r>
      <w:r w:rsidRPr="007B66CA">
        <w:rPr>
          <w:i/>
          <w:lang w:val="en-US"/>
        </w:rPr>
        <w:t xml:space="preserve">The Politics </w:t>
      </w:r>
      <w:r w:rsidR="00F04A7B" w:rsidRPr="007B66CA">
        <w:rPr>
          <w:i/>
          <w:lang w:val="en-US"/>
        </w:rPr>
        <w:t>and Economics of Decolonization: the Failed Experiment of the Central African Federation</w:t>
      </w:r>
      <w:r w:rsidR="00F04A7B" w:rsidRPr="007B66CA">
        <w:rPr>
          <w:lang w:val="en-US"/>
        </w:rPr>
        <w:t>. Forthcoming: London: I.B. Tauris, 2017.</w:t>
      </w:r>
    </w:p>
    <w:p w14:paraId="703426C0" w14:textId="77777777" w:rsidR="006F4BF9" w:rsidRPr="007B66CA" w:rsidRDefault="006F4BF9" w:rsidP="007B66CA">
      <w:pPr>
        <w:pStyle w:val="EndnoteText"/>
        <w:spacing w:line="480" w:lineRule="auto"/>
        <w:rPr>
          <w:lang w:val="en-US"/>
        </w:rPr>
      </w:pPr>
    </w:p>
    <w:p w14:paraId="1CD00984" w14:textId="7EBC087E" w:rsidR="006F4BF9" w:rsidRPr="007B66CA" w:rsidRDefault="006F4BF9" w:rsidP="007B66CA">
      <w:pPr>
        <w:pStyle w:val="EndnoteText"/>
        <w:spacing w:line="480" w:lineRule="auto"/>
        <w:rPr>
          <w:rFonts w:eastAsia="Times New Roman"/>
        </w:rPr>
      </w:pPr>
      <w:proofErr w:type="spellStart"/>
      <w:r w:rsidRPr="007B66CA">
        <w:rPr>
          <w:lang w:val="en-US"/>
        </w:rPr>
        <w:t>Facchini</w:t>
      </w:r>
      <w:proofErr w:type="spellEnd"/>
      <w:r w:rsidR="00F04A7B" w:rsidRPr="007B66CA">
        <w:rPr>
          <w:lang w:val="en-US"/>
        </w:rPr>
        <w:t xml:space="preserve">, </w:t>
      </w:r>
      <w:proofErr w:type="spellStart"/>
      <w:r w:rsidR="00F04A7B" w:rsidRPr="007B66CA">
        <w:rPr>
          <w:lang w:val="en-US"/>
        </w:rPr>
        <w:t>Manuele</w:t>
      </w:r>
      <w:proofErr w:type="spellEnd"/>
      <w:r w:rsidR="00F04A7B" w:rsidRPr="007B66CA">
        <w:rPr>
          <w:lang w:val="en-US"/>
        </w:rPr>
        <w:t>.</w:t>
      </w:r>
      <w:r w:rsidR="00F04A7B" w:rsidRPr="007B66CA">
        <w:rPr>
          <w:b/>
          <w:lang w:val="en-US"/>
        </w:rPr>
        <w:t xml:space="preserve"> </w:t>
      </w:r>
      <w:r w:rsidR="00F04A7B" w:rsidRPr="007B66CA">
        <w:rPr>
          <w:rFonts w:eastAsia="Times New Roman"/>
        </w:rPr>
        <w:t>‘“The Millstone Around Our Necks”: Harold Wilson and the HMS Fearless Conference (9–13 October 1968)’.</w:t>
      </w:r>
      <w:r w:rsidRPr="007B66CA">
        <w:rPr>
          <w:rFonts w:eastAsia="Times New Roman"/>
        </w:rPr>
        <w:t xml:space="preserve"> </w:t>
      </w:r>
      <w:r w:rsidR="00F04A7B" w:rsidRPr="00F04A7B">
        <w:rPr>
          <w:i/>
          <w:lang w:val="en-US"/>
        </w:rPr>
        <w:t>Contemporary British History</w:t>
      </w:r>
      <w:r w:rsidR="00F04A7B" w:rsidRPr="00D178DB">
        <w:rPr>
          <w:lang w:val="en-US"/>
        </w:rPr>
        <w:t xml:space="preserve"> 28, no. 3 (2014): </w:t>
      </w:r>
      <w:r w:rsidRPr="007B66CA">
        <w:rPr>
          <w:rFonts w:eastAsia="Times New Roman"/>
        </w:rPr>
        <w:t>274-293</w:t>
      </w:r>
      <w:r w:rsidR="00F04A7B" w:rsidRPr="007B66CA">
        <w:rPr>
          <w:rFonts w:eastAsia="Times New Roman"/>
        </w:rPr>
        <w:t xml:space="preserve">. </w:t>
      </w:r>
      <w:proofErr w:type="spellStart"/>
      <w:proofErr w:type="gramStart"/>
      <w:r w:rsidR="00F04A7B" w:rsidRPr="007B66CA">
        <w:rPr>
          <w:rFonts w:eastAsia="Times New Roman"/>
        </w:rPr>
        <w:t>doi</w:t>
      </w:r>
      <w:proofErr w:type="spellEnd"/>
      <w:proofErr w:type="gramEnd"/>
      <w:r w:rsidR="00F04A7B" w:rsidRPr="007B66CA">
        <w:rPr>
          <w:rFonts w:eastAsia="Times New Roman"/>
        </w:rPr>
        <w:t>: 10.1080/13619462.2014.930685.</w:t>
      </w:r>
    </w:p>
    <w:p w14:paraId="1CFD04EB" w14:textId="77777777" w:rsidR="006F4BF9" w:rsidRDefault="006F4BF9" w:rsidP="007B66CA">
      <w:pPr>
        <w:pStyle w:val="EndnoteText"/>
        <w:spacing w:line="480" w:lineRule="auto"/>
        <w:rPr>
          <w:rFonts w:eastAsia="Times New Roman"/>
          <w:sz w:val="20"/>
          <w:szCs w:val="20"/>
        </w:rPr>
      </w:pPr>
    </w:p>
    <w:p w14:paraId="47319974" w14:textId="54D8C73D" w:rsidR="00254D89" w:rsidRDefault="00254D89" w:rsidP="007B66CA">
      <w:pPr>
        <w:pStyle w:val="EndnoteText"/>
        <w:spacing w:line="480" w:lineRule="auto"/>
      </w:pPr>
      <w:r w:rsidRPr="00C62155">
        <w:t>Godwin, P</w:t>
      </w:r>
      <w:r>
        <w:t>eter,</w:t>
      </w:r>
      <w:r w:rsidRPr="00C62155">
        <w:t xml:space="preserve"> and Ian Hancock</w:t>
      </w:r>
      <w:r>
        <w:t>.</w:t>
      </w:r>
      <w:r w:rsidRPr="00C62155">
        <w:t xml:space="preserve"> </w:t>
      </w:r>
      <w:r w:rsidRPr="00C62155">
        <w:rPr>
          <w:i/>
        </w:rPr>
        <w:t>‘Rhodesians Never Die’, The Impact of War and Political Change on White Rhodesia 1970-1980.</w:t>
      </w:r>
      <w:r w:rsidRPr="00C62155">
        <w:t xml:space="preserve"> Oxford</w:t>
      </w:r>
      <w:r>
        <w:t>:</w:t>
      </w:r>
      <w:r w:rsidRPr="00C62155">
        <w:t xml:space="preserve"> Oxford University Press, 1993</w:t>
      </w:r>
      <w:r>
        <w:t>.</w:t>
      </w:r>
    </w:p>
    <w:p w14:paraId="5BC72CB0" w14:textId="77777777" w:rsidR="006F4BF9" w:rsidRDefault="006F4BF9" w:rsidP="007B66CA">
      <w:pPr>
        <w:pStyle w:val="EndnoteText"/>
        <w:spacing w:line="480" w:lineRule="auto"/>
        <w:rPr>
          <w:sz w:val="20"/>
          <w:szCs w:val="20"/>
        </w:rPr>
      </w:pPr>
    </w:p>
    <w:p w14:paraId="33F52313" w14:textId="5836118E" w:rsidR="006F4BF9" w:rsidRPr="007B66CA" w:rsidRDefault="00D178DB" w:rsidP="007B66CA">
      <w:pPr>
        <w:pStyle w:val="EndnoteText"/>
        <w:spacing w:line="480" w:lineRule="auto"/>
        <w:rPr>
          <w:lang w:val="en-US"/>
        </w:rPr>
      </w:pPr>
      <w:proofErr w:type="spellStart"/>
      <w:r w:rsidRPr="007B66CA">
        <w:rPr>
          <w:lang w:val="en-US"/>
        </w:rPr>
        <w:t>Hirsch</w:t>
      </w:r>
      <w:r w:rsidR="006F4BF9" w:rsidRPr="007B66CA">
        <w:rPr>
          <w:lang w:val="en-US"/>
        </w:rPr>
        <w:t>mann</w:t>
      </w:r>
      <w:proofErr w:type="spellEnd"/>
      <w:r w:rsidR="006F4BF9" w:rsidRPr="007B66CA">
        <w:rPr>
          <w:lang w:val="en-US"/>
        </w:rPr>
        <w:t xml:space="preserve">, </w:t>
      </w:r>
      <w:r w:rsidRPr="007B66CA">
        <w:rPr>
          <w:lang w:val="en-US"/>
        </w:rPr>
        <w:t xml:space="preserve">David. </w:t>
      </w:r>
      <w:r w:rsidR="006F4BF9" w:rsidRPr="007B66CA">
        <w:rPr>
          <w:lang w:val="en-US"/>
        </w:rPr>
        <w:t>‘Southern Africa: Détente?</w:t>
      </w:r>
      <w:proofErr w:type="gramStart"/>
      <w:r w:rsidR="006F4BF9" w:rsidRPr="007B66CA">
        <w:rPr>
          <w:lang w:val="en-US"/>
        </w:rPr>
        <w:t>’</w:t>
      </w:r>
      <w:r w:rsidRPr="007B66CA">
        <w:rPr>
          <w:lang w:val="en-US"/>
        </w:rPr>
        <w:t>.</w:t>
      </w:r>
      <w:proofErr w:type="gramEnd"/>
      <w:r w:rsidRPr="007B66CA">
        <w:rPr>
          <w:lang w:val="en-US"/>
        </w:rPr>
        <w:t xml:space="preserve"> </w:t>
      </w:r>
      <w:r w:rsidRPr="007B66CA">
        <w:rPr>
          <w:i/>
          <w:lang w:val="en-US"/>
        </w:rPr>
        <w:t>The Journal of Modern African Studies</w:t>
      </w:r>
      <w:r w:rsidRPr="007B66CA">
        <w:rPr>
          <w:lang w:val="en-US"/>
        </w:rPr>
        <w:t xml:space="preserve"> 14, no. 1 (1976):</w:t>
      </w:r>
      <w:r w:rsidR="006F4BF9" w:rsidRPr="007B66CA">
        <w:rPr>
          <w:lang w:val="en-US"/>
        </w:rPr>
        <w:t xml:space="preserve"> 107-126.</w:t>
      </w:r>
      <w:r w:rsidRPr="007B66CA">
        <w:rPr>
          <w:lang w:val="en-US"/>
        </w:rPr>
        <w:t xml:space="preserve"> </w:t>
      </w:r>
      <w:proofErr w:type="spellStart"/>
      <w:proofErr w:type="gramStart"/>
      <w:r w:rsidRPr="007B66CA">
        <w:rPr>
          <w:lang w:val="en-US"/>
        </w:rPr>
        <w:t>doi</w:t>
      </w:r>
      <w:proofErr w:type="spellEnd"/>
      <w:proofErr w:type="gramEnd"/>
      <w:r w:rsidRPr="007B66CA">
        <w:rPr>
          <w:lang w:val="en-US"/>
        </w:rPr>
        <w:t>: 10.1017/S0022278X00024022.</w:t>
      </w:r>
    </w:p>
    <w:p w14:paraId="5E4F6E29" w14:textId="77777777" w:rsidR="006F4BF9" w:rsidRPr="007B66CA" w:rsidRDefault="006F4BF9" w:rsidP="007B66CA">
      <w:pPr>
        <w:pStyle w:val="EndnoteText"/>
        <w:spacing w:line="480" w:lineRule="auto"/>
        <w:rPr>
          <w:sz w:val="20"/>
          <w:szCs w:val="20"/>
        </w:rPr>
      </w:pPr>
    </w:p>
    <w:p w14:paraId="77016535" w14:textId="0B949BB7" w:rsidR="00254D89" w:rsidRDefault="00254D89" w:rsidP="007B66CA">
      <w:pPr>
        <w:pStyle w:val="EndnoteText"/>
        <w:spacing w:line="480" w:lineRule="auto"/>
      </w:pPr>
      <w:proofErr w:type="spellStart"/>
      <w:r w:rsidRPr="00C62155">
        <w:t>Hyam</w:t>
      </w:r>
      <w:proofErr w:type="spellEnd"/>
      <w:r>
        <w:t>,</w:t>
      </w:r>
      <w:r w:rsidRPr="00C62155">
        <w:t xml:space="preserve"> Ronald. </w:t>
      </w:r>
      <w:r>
        <w:t>‘</w:t>
      </w:r>
      <w:r w:rsidRPr="00C62155">
        <w:t>The Geopolitical Origins of the Central African Federation: Britain, Rhodesia and South Africa, 1948-1953</w:t>
      </w:r>
      <w:r>
        <w:t>’</w:t>
      </w:r>
      <w:r w:rsidRPr="00C62155">
        <w:t xml:space="preserve">. </w:t>
      </w:r>
      <w:r w:rsidRPr="00C62155">
        <w:rPr>
          <w:i/>
        </w:rPr>
        <w:t>The Historical Journal</w:t>
      </w:r>
      <w:r w:rsidRPr="00C62155">
        <w:t xml:space="preserve"> 30, no</w:t>
      </w:r>
      <w:r>
        <w:t>.</w:t>
      </w:r>
      <w:r w:rsidRPr="00C62155">
        <w:t xml:space="preserve"> 1 (1987): 145-172</w:t>
      </w:r>
      <w:r>
        <w:t xml:space="preserve">. </w:t>
      </w:r>
      <w:proofErr w:type="spellStart"/>
      <w:proofErr w:type="gramStart"/>
      <w:r>
        <w:t>doi</w:t>
      </w:r>
      <w:proofErr w:type="spellEnd"/>
      <w:proofErr w:type="gramEnd"/>
      <w:r>
        <w:t>: 10.1017/S0018246X00021956.</w:t>
      </w:r>
      <w:r w:rsidRPr="00C62155">
        <w:t xml:space="preserve"> </w:t>
      </w:r>
    </w:p>
    <w:p w14:paraId="5F267FE3" w14:textId="77777777" w:rsidR="00254D89" w:rsidRPr="007B66CA" w:rsidRDefault="00254D89" w:rsidP="007B66CA">
      <w:pPr>
        <w:pStyle w:val="EndnoteText"/>
        <w:spacing w:line="480" w:lineRule="auto"/>
      </w:pPr>
    </w:p>
    <w:p w14:paraId="7FACD747" w14:textId="6660BDAD" w:rsidR="00342E43" w:rsidRDefault="00342E43" w:rsidP="007B66CA">
      <w:pPr>
        <w:spacing w:line="480" w:lineRule="auto"/>
        <w:rPr>
          <w:rFonts w:cs="Times New Roman"/>
        </w:rPr>
      </w:pPr>
      <w:r>
        <w:rPr>
          <w:rFonts w:cs="Times New Roman"/>
        </w:rPr>
        <w:t xml:space="preserve">Law, Kate. </w:t>
      </w:r>
      <w:r>
        <w:rPr>
          <w:rFonts w:cs="Times New Roman"/>
          <w:i/>
        </w:rPr>
        <w:t xml:space="preserve">Gendering the Settler State: White Women, Race Liberalism and Empire in Rhodesia, 1950-1980. </w:t>
      </w:r>
      <w:r>
        <w:rPr>
          <w:rFonts w:cs="Times New Roman"/>
        </w:rPr>
        <w:t>New York: Routledge, 201</w:t>
      </w:r>
      <w:r w:rsidR="003076BD">
        <w:rPr>
          <w:rFonts w:cs="Times New Roman"/>
        </w:rPr>
        <w:t>6</w:t>
      </w:r>
      <w:r>
        <w:rPr>
          <w:rFonts w:cs="Times New Roman"/>
        </w:rPr>
        <w:t>.</w:t>
      </w:r>
    </w:p>
    <w:p w14:paraId="24CBAA2B" w14:textId="77777777" w:rsidR="00342E43" w:rsidRDefault="00342E43" w:rsidP="007B66CA">
      <w:pPr>
        <w:spacing w:line="480" w:lineRule="auto"/>
        <w:rPr>
          <w:rFonts w:cs="Times New Roman"/>
        </w:rPr>
      </w:pPr>
    </w:p>
    <w:p w14:paraId="7B7AD6EB" w14:textId="652A6AB0" w:rsidR="006F4BF9" w:rsidRDefault="006F4BF9" w:rsidP="007B66CA">
      <w:pPr>
        <w:pStyle w:val="EndnoteText"/>
        <w:spacing w:line="480" w:lineRule="auto"/>
        <w:jc w:val="both"/>
      </w:pPr>
      <w:r w:rsidRPr="007B66CA">
        <w:t>Lowry,</w:t>
      </w:r>
      <w:r w:rsidR="00FA5D39" w:rsidRPr="007B66CA">
        <w:t xml:space="preserve"> Donal.</w:t>
      </w:r>
      <w:r w:rsidRPr="007B66CA">
        <w:t xml:space="preserve"> ‘Rhodesia 1890-1980</w:t>
      </w:r>
      <w:r w:rsidR="0091742F" w:rsidRPr="007B66CA">
        <w:t>: “The Lost Dominion”</w:t>
      </w:r>
      <w:r w:rsidRPr="007B66CA">
        <w:t>’.</w:t>
      </w:r>
      <w:r w:rsidR="00FA5D39" w:rsidRPr="007B66CA">
        <w:t xml:space="preserve"> In </w:t>
      </w:r>
      <w:r w:rsidR="00FA5D39" w:rsidRPr="007B66CA">
        <w:rPr>
          <w:i/>
        </w:rPr>
        <w:t>Settlers and Expatriates: Britons over the Seas</w:t>
      </w:r>
      <w:r w:rsidR="00FA5D39" w:rsidRPr="007B66CA">
        <w:t xml:space="preserve">, edited by Robert Bickers, </w:t>
      </w:r>
      <w:r w:rsidR="0091742F" w:rsidRPr="007B66CA">
        <w:t>112-149</w:t>
      </w:r>
      <w:r w:rsidR="00FA5D39" w:rsidRPr="007B66CA">
        <w:t xml:space="preserve">. </w:t>
      </w:r>
      <w:r w:rsidR="0091742F" w:rsidRPr="007B66CA">
        <w:t xml:space="preserve">Oxford: Oxford University Press, </w:t>
      </w:r>
      <w:r w:rsidR="00FA5D39" w:rsidRPr="007B66CA">
        <w:t>2010.</w:t>
      </w:r>
    </w:p>
    <w:p w14:paraId="32584402" w14:textId="77777777" w:rsidR="0091742F" w:rsidRPr="007B66CA" w:rsidRDefault="0091742F" w:rsidP="007B66CA">
      <w:pPr>
        <w:pStyle w:val="EndnoteText"/>
        <w:spacing w:line="480" w:lineRule="auto"/>
        <w:jc w:val="both"/>
        <w:rPr>
          <w:i/>
        </w:rPr>
      </w:pPr>
    </w:p>
    <w:p w14:paraId="185FC8D5" w14:textId="77777777" w:rsidR="00254D89" w:rsidRDefault="00254D89" w:rsidP="007B66CA">
      <w:pPr>
        <w:pStyle w:val="EndnoteText"/>
        <w:spacing w:line="480" w:lineRule="auto"/>
      </w:pPr>
      <w:r w:rsidRPr="00C62155">
        <w:t>Murphy</w:t>
      </w:r>
      <w:r>
        <w:t>,</w:t>
      </w:r>
      <w:r w:rsidRPr="00C62155">
        <w:t xml:space="preserve"> Philip. </w:t>
      </w:r>
      <w:r>
        <w:t>‘</w:t>
      </w:r>
      <w:r w:rsidRPr="00C62155">
        <w:t>“An intricate and distasteful subject</w:t>
      </w:r>
      <w:r>
        <w:t>”</w:t>
      </w:r>
      <w:r w:rsidRPr="00C62155">
        <w:t>: British Planning for the Use of Force against the European Settlers of Central Africa, 1952-65</w:t>
      </w:r>
      <w:r>
        <w:t>’</w:t>
      </w:r>
      <w:r w:rsidRPr="00C62155">
        <w:t xml:space="preserve">. </w:t>
      </w:r>
      <w:r w:rsidRPr="00C62155">
        <w:rPr>
          <w:i/>
        </w:rPr>
        <w:t>English Historical Review</w:t>
      </w:r>
      <w:r w:rsidRPr="00C62155">
        <w:t xml:space="preserve"> cxxi, no</w:t>
      </w:r>
      <w:r>
        <w:t>.</w:t>
      </w:r>
      <w:r w:rsidRPr="00C62155">
        <w:t xml:space="preserve"> 492 (2006): 747-777.</w:t>
      </w:r>
      <w:r>
        <w:t xml:space="preserve"> </w:t>
      </w:r>
      <w:proofErr w:type="spellStart"/>
      <w:proofErr w:type="gramStart"/>
      <w:r>
        <w:t>doi</w:t>
      </w:r>
      <w:proofErr w:type="spellEnd"/>
      <w:proofErr w:type="gramEnd"/>
      <w:r>
        <w:t xml:space="preserve">: </w:t>
      </w:r>
      <w:r w:rsidRPr="00DC4872">
        <w:t>10.1093/</w:t>
      </w:r>
      <w:proofErr w:type="spellStart"/>
      <w:r w:rsidRPr="00DC4872">
        <w:t>ehr</w:t>
      </w:r>
      <w:proofErr w:type="spellEnd"/>
      <w:r w:rsidRPr="00DC4872">
        <w:t>/cel105</w:t>
      </w:r>
      <w:r>
        <w:t>.</w:t>
      </w:r>
    </w:p>
    <w:p w14:paraId="2DA860C8" w14:textId="77777777" w:rsidR="00254D89" w:rsidRPr="00C62155" w:rsidRDefault="00254D89" w:rsidP="007B66CA">
      <w:pPr>
        <w:pStyle w:val="EndnoteText"/>
        <w:spacing w:line="480" w:lineRule="auto"/>
      </w:pPr>
    </w:p>
    <w:p w14:paraId="4C6FA60D" w14:textId="77777777" w:rsidR="00AB5B2E" w:rsidRPr="00A5579D" w:rsidRDefault="00AB5B2E" w:rsidP="00D75C36">
      <w:pPr>
        <w:spacing w:line="480" w:lineRule="auto"/>
        <w:ind w:left="720" w:hanging="720"/>
        <w:rPr>
          <w:rFonts w:cs="Times New Roman"/>
        </w:rPr>
      </w:pPr>
      <w:r w:rsidRPr="00A5579D">
        <w:rPr>
          <w:rFonts w:cs="Times New Roman"/>
        </w:rPr>
        <w:t xml:space="preserve">Nkomo, Joshua. </w:t>
      </w:r>
      <w:proofErr w:type="gramStart"/>
      <w:r w:rsidRPr="00A5579D">
        <w:rPr>
          <w:rFonts w:cs="Times New Roman"/>
          <w:i/>
        </w:rPr>
        <w:t>The Story of My Life</w:t>
      </w:r>
      <w:r>
        <w:rPr>
          <w:rFonts w:cs="Times New Roman"/>
        </w:rPr>
        <w:t>.</w:t>
      </w:r>
      <w:proofErr w:type="gramEnd"/>
      <w:r w:rsidRPr="00A5579D">
        <w:rPr>
          <w:rFonts w:cs="Times New Roman"/>
        </w:rPr>
        <w:t xml:space="preserve"> London: Methuen 1984</w:t>
      </w:r>
      <w:r>
        <w:rPr>
          <w:rFonts w:cs="Times New Roman"/>
        </w:rPr>
        <w:t>.</w:t>
      </w:r>
    </w:p>
    <w:p w14:paraId="36AAC38A" w14:textId="48A11775" w:rsidR="006F4BF9" w:rsidRDefault="00C56724" w:rsidP="007B66CA">
      <w:pPr>
        <w:pStyle w:val="EndnoteText"/>
        <w:spacing w:line="480" w:lineRule="auto"/>
        <w:jc w:val="both"/>
        <w:rPr>
          <w:lang w:val="en-US"/>
        </w:rPr>
      </w:pPr>
      <w:proofErr w:type="spellStart"/>
      <w:r w:rsidRPr="007B66CA">
        <w:rPr>
          <w:lang w:val="en-US"/>
        </w:rPr>
        <w:t>Nyamunda</w:t>
      </w:r>
      <w:proofErr w:type="spellEnd"/>
      <w:r w:rsidRPr="007B66CA">
        <w:rPr>
          <w:lang w:val="en-US"/>
        </w:rPr>
        <w:t>,</w:t>
      </w:r>
      <w:r w:rsidR="003076BD">
        <w:rPr>
          <w:lang w:val="en-US"/>
        </w:rPr>
        <w:t xml:space="preserve"> Tinashe.</w:t>
      </w:r>
      <w:r w:rsidRPr="007B66CA">
        <w:rPr>
          <w:lang w:val="en-US"/>
        </w:rPr>
        <w:t xml:space="preserve"> ‘‘More a Cause than a Country’: Historiography, UDI and the Crisis of </w:t>
      </w:r>
      <w:proofErr w:type="spellStart"/>
      <w:r w:rsidRPr="007B66CA">
        <w:rPr>
          <w:lang w:val="en-US"/>
        </w:rPr>
        <w:t>Decolonisation</w:t>
      </w:r>
      <w:proofErr w:type="spellEnd"/>
      <w:r w:rsidRPr="007B66CA">
        <w:rPr>
          <w:lang w:val="en-US"/>
        </w:rPr>
        <w:t xml:space="preserve"> in Rhodesia’. </w:t>
      </w:r>
      <w:r w:rsidRPr="007B66CA">
        <w:rPr>
          <w:i/>
          <w:lang w:val="en-US"/>
        </w:rPr>
        <w:t>Journal of Southern African Studies</w:t>
      </w:r>
      <w:r w:rsidRPr="007B66CA">
        <w:rPr>
          <w:lang w:val="en-US"/>
        </w:rPr>
        <w:t xml:space="preserve"> 42, no.5 (2016): 1005-1019. </w:t>
      </w:r>
      <w:proofErr w:type="spellStart"/>
      <w:proofErr w:type="gramStart"/>
      <w:r w:rsidRPr="007B66CA">
        <w:rPr>
          <w:lang w:val="en-US"/>
        </w:rPr>
        <w:t>doi</w:t>
      </w:r>
      <w:proofErr w:type="spellEnd"/>
      <w:proofErr w:type="gramEnd"/>
      <w:r w:rsidRPr="007B66CA">
        <w:rPr>
          <w:lang w:val="en-US"/>
        </w:rPr>
        <w:t>: 10.1080/03057070.2016.1222796.</w:t>
      </w:r>
    </w:p>
    <w:p w14:paraId="5E9EBDC3" w14:textId="77777777" w:rsidR="00C56724" w:rsidRPr="007B66CA" w:rsidRDefault="00C56724" w:rsidP="007B66CA">
      <w:pPr>
        <w:pStyle w:val="EndnoteText"/>
        <w:spacing w:line="480" w:lineRule="auto"/>
        <w:jc w:val="both"/>
        <w:rPr>
          <w:lang w:val="en-US"/>
        </w:rPr>
      </w:pPr>
    </w:p>
    <w:p w14:paraId="5037BAED" w14:textId="5B042756" w:rsidR="00254D89" w:rsidRDefault="00254D89" w:rsidP="007B66CA">
      <w:pPr>
        <w:pStyle w:val="EndnoteText"/>
        <w:spacing w:line="480" w:lineRule="auto"/>
      </w:pPr>
      <w:proofErr w:type="spellStart"/>
      <w:r w:rsidRPr="00C66807">
        <w:t>Onslow</w:t>
      </w:r>
      <w:proofErr w:type="spellEnd"/>
      <w:r w:rsidRPr="00C66807">
        <w:t>, S</w:t>
      </w:r>
      <w:r>
        <w:t>ue.</w:t>
      </w:r>
      <w:r w:rsidRPr="00C66807">
        <w:t xml:space="preserve"> </w:t>
      </w:r>
      <w:proofErr w:type="gramStart"/>
      <w:r w:rsidRPr="00C66807">
        <w:t>‘The Man on the Spot.</w:t>
      </w:r>
      <w:proofErr w:type="gramEnd"/>
      <w:r w:rsidRPr="00C66807">
        <w:t xml:space="preserve"> </w:t>
      </w:r>
      <w:proofErr w:type="gramStart"/>
      <w:r w:rsidRPr="00C66807">
        <w:t>Christopher Soames and Decolonisation of Zimbabwe/Rhodesia’</w:t>
      </w:r>
      <w:r>
        <w:t>.</w:t>
      </w:r>
      <w:proofErr w:type="gramEnd"/>
      <w:r w:rsidRPr="00C66807">
        <w:t xml:space="preserve"> </w:t>
      </w:r>
      <w:r w:rsidRPr="00C66807">
        <w:rPr>
          <w:i/>
        </w:rPr>
        <w:t>Britain and the World</w:t>
      </w:r>
      <w:r w:rsidRPr="00C66807">
        <w:t xml:space="preserve"> 6, </w:t>
      </w:r>
      <w:r>
        <w:t>i</w:t>
      </w:r>
      <w:r w:rsidRPr="00C66807">
        <w:t>ssue 1</w:t>
      </w:r>
      <w:r>
        <w:t xml:space="preserve"> (2013):</w:t>
      </w:r>
      <w:r w:rsidRPr="00C66807">
        <w:t xml:space="preserve"> 68-100</w:t>
      </w:r>
      <w:r>
        <w:t xml:space="preserve">. </w:t>
      </w:r>
      <w:proofErr w:type="spellStart"/>
      <w:proofErr w:type="gramStart"/>
      <w:r>
        <w:t>doi</w:t>
      </w:r>
      <w:proofErr w:type="spellEnd"/>
      <w:proofErr w:type="gramEnd"/>
      <w:r>
        <w:t xml:space="preserve">: </w:t>
      </w:r>
      <w:r w:rsidRPr="006C1E33">
        <w:t>10.3366/brw.2013.0078</w:t>
      </w:r>
      <w:r>
        <w:t>.</w:t>
      </w:r>
    </w:p>
    <w:p w14:paraId="693F06EA" w14:textId="77777777" w:rsidR="000606F1" w:rsidRPr="007B66CA" w:rsidRDefault="000606F1" w:rsidP="007B66CA">
      <w:pPr>
        <w:pStyle w:val="EndnoteText"/>
        <w:spacing w:line="480" w:lineRule="auto"/>
        <w:jc w:val="both"/>
        <w:rPr>
          <w:lang w:val="en-US"/>
        </w:rPr>
      </w:pPr>
    </w:p>
    <w:p w14:paraId="53D5D5DF" w14:textId="30C37429" w:rsidR="00757141" w:rsidRPr="007B66CA" w:rsidRDefault="00757141" w:rsidP="007B66CA">
      <w:pPr>
        <w:pStyle w:val="EndnoteText"/>
        <w:spacing w:line="480" w:lineRule="auto"/>
        <w:jc w:val="both"/>
        <w:rPr>
          <w:lang w:val="en-US"/>
        </w:rPr>
      </w:pPr>
      <w:r w:rsidRPr="007B66CA">
        <w:rPr>
          <w:lang w:val="en-US"/>
        </w:rPr>
        <w:t>Smith,</w:t>
      </w:r>
      <w:r w:rsidR="000606F1" w:rsidRPr="007B66CA">
        <w:rPr>
          <w:lang w:val="en-US"/>
        </w:rPr>
        <w:t xml:space="preserve"> Ian.</w:t>
      </w:r>
      <w:r w:rsidRPr="007B66CA">
        <w:rPr>
          <w:i/>
          <w:lang w:val="en-US"/>
        </w:rPr>
        <w:t xml:space="preserve"> Bitter Harvest: Zimbabwe and the Aftermath of its Independence</w:t>
      </w:r>
      <w:r w:rsidR="000606F1" w:rsidRPr="007B66CA">
        <w:rPr>
          <w:lang w:val="en-US"/>
        </w:rPr>
        <w:t>. London: John Blake Publishing, 2008.</w:t>
      </w:r>
    </w:p>
    <w:p w14:paraId="31F9237D" w14:textId="77777777" w:rsidR="000606F1" w:rsidRDefault="000606F1" w:rsidP="007B66CA">
      <w:pPr>
        <w:pStyle w:val="EndnoteText"/>
        <w:spacing w:line="480" w:lineRule="auto"/>
        <w:jc w:val="both"/>
        <w:rPr>
          <w:lang w:val="en-US"/>
        </w:rPr>
      </w:pPr>
    </w:p>
    <w:p w14:paraId="2BD99E0E" w14:textId="14959C5E" w:rsidR="006F4BF9" w:rsidRDefault="006F4BF9" w:rsidP="007B66CA">
      <w:pPr>
        <w:pStyle w:val="EndnoteText"/>
        <w:spacing w:line="480" w:lineRule="auto"/>
        <w:jc w:val="both"/>
        <w:rPr>
          <w:lang w:val="en-US"/>
        </w:rPr>
      </w:pPr>
      <w:r w:rsidRPr="007B66CA">
        <w:rPr>
          <w:lang w:val="en-US"/>
        </w:rPr>
        <w:t xml:space="preserve">Soames, </w:t>
      </w:r>
      <w:r w:rsidR="003A47A0" w:rsidRPr="007B66CA">
        <w:rPr>
          <w:lang w:val="en-US"/>
        </w:rPr>
        <w:t xml:space="preserve">Lord Christopher. </w:t>
      </w:r>
      <w:proofErr w:type="gramStart"/>
      <w:r w:rsidRPr="007B66CA">
        <w:rPr>
          <w:lang w:val="en-US"/>
        </w:rPr>
        <w:t>‘From Rhodesia to Zimbabwe’</w:t>
      </w:r>
      <w:r w:rsidR="003A47A0" w:rsidRPr="007B66CA">
        <w:rPr>
          <w:lang w:val="en-US"/>
        </w:rPr>
        <w:t>.</w:t>
      </w:r>
      <w:proofErr w:type="gramEnd"/>
      <w:r w:rsidR="003A47A0" w:rsidRPr="007B66CA">
        <w:rPr>
          <w:lang w:val="en-US"/>
        </w:rPr>
        <w:t xml:space="preserve"> </w:t>
      </w:r>
      <w:proofErr w:type="gramStart"/>
      <w:r w:rsidR="003A47A0" w:rsidRPr="007B66CA">
        <w:rPr>
          <w:i/>
          <w:lang w:val="en-US"/>
        </w:rPr>
        <w:t>International Affairs (Royal Institute of International Affairs 1944-)</w:t>
      </w:r>
      <w:r w:rsidR="003A47A0" w:rsidRPr="007B66CA">
        <w:rPr>
          <w:lang w:val="en-US"/>
        </w:rPr>
        <w:t xml:space="preserve"> 56, no. 3 (1980): 405-419.</w:t>
      </w:r>
      <w:proofErr w:type="gramEnd"/>
      <w:r w:rsidR="003A47A0" w:rsidRPr="007B66CA">
        <w:rPr>
          <w:lang w:val="en-US"/>
        </w:rPr>
        <w:t xml:space="preserve"> </w:t>
      </w:r>
      <w:proofErr w:type="gramStart"/>
      <w:r w:rsidR="003A47A0" w:rsidRPr="007B66CA">
        <w:rPr>
          <w:lang w:val="en-US"/>
        </w:rPr>
        <w:t>doi:10.2307</w:t>
      </w:r>
      <w:proofErr w:type="gramEnd"/>
      <w:r w:rsidR="003A47A0" w:rsidRPr="007B66CA">
        <w:rPr>
          <w:lang w:val="en-US"/>
        </w:rPr>
        <w:t>/2617389.</w:t>
      </w:r>
    </w:p>
    <w:p w14:paraId="290F6465" w14:textId="77777777" w:rsidR="003A47A0" w:rsidRPr="007B66CA" w:rsidRDefault="003A47A0" w:rsidP="007B66CA">
      <w:pPr>
        <w:pStyle w:val="EndnoteText"/>
        <w:spacing w:line="480" w:lineRule="auto"/>
        <w:jc w:val="both"/>
        <w:rPr>
          <w:lang w:val="en-US"/>
        </w:rPr>
      </w:pPr>
    </w:p>
    <w:p w14:paraId="3F033965" w14:textId="26028CA1" w:rsidR="006F4BF9" w:rsidRPr="0091742F" w:rsidRDefault="006F4BF9" w:rsidP="007B66CA">
      <w:pPr>
        <w:pStyle w:val="EndnoteText"/>
        <w:spacing w:line="480" w:lineRule="auto"/>
        <w:jc w:val="both"/>
        <w:rPr>
          <w:lang w:val="en-US"/>
        </w:rPr>
      </w:pPr>
      <w:r w:rsidRPr="007B66CA">
        <w:rPr>
          <w:lang w:val="en-US"/>
        </w:rPr>
        <w:t>Watts,</w:t>
      </w:r>
      <w:r w:rsidR="0091742F" w:rsidRPr="0091742F">
        <w:t xml:space="preserve"> Carl. ‘</w:t>
      </w:r>
      <w:r w:rsidR="0091742F" w:rsidRPr="007B66CA">
        <w:rPr>
          <w:lang w:val="en-US"/>
        </w:rPr>
        <w:t xml:space="preserve">Killing Kith and Kin: The Viability of British Military Intervention in Rhodesia, 1964–5’. </w:t>
      </w:r>
      <w:r w:rsidRPr="007B66CA">
        <w:rPr>
          <w:lang w:val="en-US"/>
        </w:rPr>
        <w:t xml:space="preserve"> </w:t>
      </w:r>
      <w:r w:rsidR="0091742F">
        <w:rPr>
          <w:i/>
          <w:lang w:val="en-US"/>
        </w:rPr>
        <w:t>20</w:t>
      </w:r>
      <w:r w:rsidR="0091742F" w:rsidRPr="007B66CA">
        <w:rPr>
          <w:i/>
          <w:vertAlign w:val="superscript"/>
          <w:lang w:val="en-US"/>
        </w:rPr>
        <w:t>th</w:t>
      </w:r>
      <w:r w:rsidR="0091742F">
        <w:rPr>
          <w:i/>
          <w:lang w:val="en-US"/>
        </w:rPr>
        <w:t xml:space="preserve"> Century British History</w:t>
      </w:r>
      <w:r w:rsidR="0091742F">
        <w:rPr>
          <w:lang w:val="en-US"/>
        </w:rPr>
        <w:t xml:space="preserve"> 16, no. 4 (2005): 382-415. </w:t>
      </w:r>
      <w:proofErr w:type="spellStart"/>
      <w:proofErr w:type="gramStart"/>
      <w:r w:rsidR="0091742F">
        <w:rPr>
          <w:lang w:val="en-US"/>
        </w:rPr>
        <w:t>doi</w:t>
      </w:r>
      <w:proofErr w:type="spellEnd"/>
      <w:proofErr w:type="gramEnd"/>
      <w:r w:rsidR="0091742F">
        <w:rPr>
          <w:lang w:val="en-US"/>
        </w:rPr>
        <w:t xml:space="preserve">: </w:t>
      </w:r>
      <w:r w:rsidR="0091742F" w:rsidRPr="0091742F">
        <w:rPr>
          <w:lang w:val="en-US"/>
        </w:rPr>
        <w:t>10.1093/</w:t>
      </w:r>
      <w:proofErr w:type="spellStart"/>
      <w:r w:rsidR="0091742F" w:rsidRPr="0091742F">
        <w:rPr>
          <w:lang w:val="en-US"/>
        </w:rPr>
        <w:t>tcbh</w:t>
      </w:r>
      <w:proofErr w:type="spellEnd"/>
      <w:r w:rsidR="0091742F" w:rsidRPr="0091742F">
        <w:rPr>
          <w:lang w:val="en-US"/>
        </w:rPr>
        <w:t>/hwi052</w:t>
      </w:r>
      <w:r w:rsidR="0091742F">
        <w:rPr>
          <w:lang w:val="en-US"/>
        </w:rPr>
        <w:t>.</w:t>
      </w:r>
    </w:p>
    <w:p w14:paraId="3181FB8B" w14:textId="77777777" w:rsidR="0091742F" w:rsidRPr="007B66CA" w:rsidRDefault="0091742F" w:rsidP="007B66CA">
      <w:pPr>
        <w:pStyle w:val="EndnoteText"/>
        <w:spacing w:line="480" w:lineRule="auto"/>
        <w:jc w:val="both"/>
        <w:rPr>
          <w:lang w:val="en-US"/>
        </w:rPr>
      </w:pPr>
    </w:p>
    <w:p w14:paraId="12F8A5E8" w14:textId="637FCAB0" w:rsidR="006F4BF9" w:rsidRPr="007B66CA" w:rsidRDefault="006F4BF9" w:rsidP="007B66CA">
      <w:pPr>
        <w:pStyle w:val="EndnoteText"/>
        <w:spacing w:line="480" w:lineRule="auto"/>
        <w:rPr>
          <w:lang w:val="en-US"/>
        </w:rPr>
      </w:pPr>
      <w:r w:rsidRPr="007B66CA">
        <w:rPr>
          <w:lang w:val="en-US"/>
        </w:rPr>
        <w:t>Watts,</w:t>
      </w:r>
      <w:r w:rsidR="007524E5" w:rsidRPr="007B66CA">
        <w:rPr>
          <w:lang w:val="en-US"/>
        </w:rPr>
        <w:t xml:space="preserve"> Carl.</w:t>
      </w:r>
      <w:r w:rsidRPr="007B66CA">
        <w:rPr>
          <w:lang w:val="en-US"/>
        </w:rPr>
        <w:t xml:space="preserve"> </w:t>
      </w:r>
      <w:r w:rsidRPr="007B66CA">
        <w:rPr>
          <w:i/>
          <w:lang w:val="en-US"/>
        </w:rPr>
        <w:t>Rhodesia’s Unilateral Declaration of Independence</w:t>
      </w:r>
      <w:r w:rsidR="007524E5" w:rsidRPr="007B66CA">
        <w:rPr>
          <w:i/>
          <w:lang w:val="en-US"/>
        </w:rPr>
        <w:t>: An International History</w:t>
      </w:r>
      <w:r w:rsidRPr="007B66CA">
        <w:rPr>
          <w:lang w:val="en-US"/>
        </w:rPr>
        <w:t>.</w:t>
      </w:r>
      <w:r w:rsidR="007524E5" w:rsidRPr="007B66CA">
        <w:rPr>
          <w:lang w:val="en-US"/>
        </w:rPr>
        <w:t xml:space="preserve"> Basingstoke: Palgrave Macmillan, 2012.</w:t>
      </w:r>
    </w:p>
    <w:p w14:paraId="1BB4AE47" w14:textId="77777777" w:rsidR="006F4BF9" w:rsidRDefault="006F4BF9" w:rsidP="007B66CA">
      <w:pPr>
        <w:pStyle w:val="EndnoteText"/>
        <w:spacing w:line="480" w:lineRule="auto"/>
        <w:rPr>
          <w:sz w:val="20"/>
          <w:szCs w:val="20"/>
          <w:lang w:val="en-US"/>
        </w:rPr>
      </w:pPr>
    </w:p>
    <w:p w14:paraId="626BB795" w14:textId="36937E0E" w:rsidR="006F4BF9" w:rsidRPr="007B66CA" w:rsidRDefault="006F4BF9" w:rsidP="007B66CA">
      <w:pPr>
        <w:pStyle w:val="EndnoteText"/>
        <w:spacing w:line="480" w:lineRule="auto"/>
        <w:rPr>
          <w:lang w:val="en-US"/>
        </w:rPr>
      </w:pPr>
      <w:proofErr w:type="spellStart"/>
      <w:r w:rsidRPr="007B66CA">
        <w:rPr>
          <w:lang w:val="en-US"/>
        </w:rPr>
        <w:t>Welensky</w:t>
      </w:r>
      <w:proofErr w:type="spellEnd"/>
      <w:r w:rsidRPr="007B66CA">
        <w:rPr>
          <w:lang w:val="en-US"/>
        </w:rPr>
        <w:t xml:space="preserve">, </w:t>
      </w:r>
      <w:r w:rsidR="0091742F" w:rsidRPr="007B66CA">
        <w:rPr>
          <w:lang w:val="en-US"/>
        </w:rPr>
        <w:t xml:space="preserve">Roy. </w:t>
      </w:r>
      <w:proofErr w:type="spellStart"/>
      <w:r w:rsidRPr="007B66CA">
        <w:rPr>
          <w:i/>
          <w:lang w:val="en-US"/>
        </w:rPr>
        <w:t>Welensky’s</w:t>
      </w:r>
      <w:proofErr w:type="spellEnd"/>
      <w:r w:rsidRPr="007B66CA">
        <w:rPr>
          <w:i/>
          <w:lang w:val="en-US"/>
        </w:rPr>
        <w:t xml:space="preserve"> 4000 Days</w:t>
      </w:r>
      <w:r w:rsidR="0091742F" w:rsidRPr="007B66CA">
        <w:rPr>
          <w:i/>
          <w:lang w:val="en-US"/>
        </w:rPr>
        <w:t>: The Life and Death of the Federation of Rhodesia and Nyasaland</w:t>
      </w:r>
      <w:r w:rsidRPr="007B66CA">
        <w:rPr>
          <w:lang w:val="en-US"/>
        </w:rPr>
        <w:t>.</w:t>
      </w:r>
      <w:r w:rsidR="0091742F" w:rsidRPr="007B66CA">
        <w:rPr>
          <w:lang w:val="en-US"/>
        </w:rPr>
        <w:t xml:space="preserve"> London: Collins, 1964.</w:t>
      </w:r>
    </w:p>
    <w:p w14:paraId="08FB39BD" w14:textId="77777777" w:rsidR="006F4BF9" w:rsidRDefault="006F4BF9" w:rsidP="007B66CA">
      <w:pPr>
        <w:pStyle w:val="EndnoteText"/>
        <w:spacing w:line="480" w:lineRule="auto"/>
        <w:rPr>
          <w:sz w:val="20"/>
          <w:szCs w:val="20"/>
          <w:lang w:val="en-US"/>
        </w:rPr>
      </w:pPr>
    </w:p>
    <w:p w14:paraId="38943F4D" w14:textId="7BDCE73C" w:rsidR="006F4BF9" w:rsidRDefault="0062293A" w:rsidP="007B66CA">
      <w:pPr>
        <w:spacing w:line="480" w:lineRule="auto"/>
        <w:rPr>
          <w:lang w:val="en-US"/>
        </w:rPr>
      </w:pPr>
      <w:r w:rsidRPr="00724105">
        <w:rPr>
          <w:rFonts w:cs="Times New Roman"/>
          <w:lang w:val="en-US"/>
        </w:rPr>
        <w:t xml:space="preserve">Wood, </w:t>
      </w:r>
      <w:r>
        <w:rPr>
          <w:rFonts w:cs="Times New Roman"/>
          <w:lang w:val="en-US"/>
        </w:rPr>
        <w:t xml:space="preserve">J.R.T. </w:t>
      </w:r>
      <w:r w:rsidRPr="00724105">
        <w:rPr>
          <w:rFonts w:cs="Times New Roman"/>
          <w:i/>
          <w:lang w:val="en-US"/>
        </w:rPr>
        <w:t>A Matter of Weeks Rather Than Months: The Impasse Between Harold Wilson and Ian Smith: Sanctions</w:t>
      </w:r>
      <w:r w:rsidRPr="00724105">
        <w:rPr>
          <w:rFonts w:cs="Times New Roman"/>
          <w:lang w:val="en-US"/>
        </w:rPr>
        <w:t xml:space="preserve">, </w:t>
      </w:r>
      <w:r w:rsidRPr="00724105">
        <w:rPr>
          <w:rFonts w:cs="Times New Roman"/>
          <w:i/>
          <w:lang w:val="en-US"/>
        </w:rPr>
        <w:t>Aborted Settlements and War 1965-196</w:t>
      </w:r>
      <w:r>
        <w:rPr>
          <w:rFonts w:cs="Times New Roman"/>
          <w:lang w:val="en-US"/>
        </w:rPr>
        <w:t xml:space="preserve">9. Bloomington: Trafford, 2008. </w:t>
      </w:r>
      <w:r w:rsidRPr="00724105">
        <w:rPr>
          <w:rFonts w:cs="Times New Roman"/>
          <w:lang w:val="en-US"/>
        </w:rPr>
        <w:t xml:space="preserve"> </w:t>
      </w:r>
    </w:p>
    <w:p w14:paraId="649FED7E" w14:textId="77777777" w:rsidR="0062293A" w:rsidRDefault="0062293A" w:rsidP="007B66CA">
      <w:pPr>
        <w:spacing w:line="480" w:lineRule="auto"/>
        <w:rPr>
          <w:sz w:val="20"/>
          <w:szCs w:val="20"/>
          <w:lang w:val="en-US"/>
        </w:rPr>
      </w:pPr>
    </w:p>
    <w:p w14:paraId="22EDC587" w14:textId="728ECE6E" w:rsidR="001F4A09" w:rsidRPr="00C62155" w:rsidRDefault="001F4A09" w:rsidP="007B66CA">
      <w:pPr>
        <w:pStyle w:val="EndnoteText"/>
        <w:spacing w:line="480" w:lineRule="auto"/>
      </w:pPr>
      <w:r w:rsidRPr="00C62155">
        <w:t>Wood</w:t>
      </w:r>
      <w:r>
        <w:t>,</w:t>
      </w:r>
      <w:r w:rsidRPr="00C62155">
        <w:t xml:space="preserve"> </w:t>
      </w:r>
      <w:r w:rsidR="00342E43">
        <w:t>J.R.T.</w:t>
      </w:r>
      <w:r w:rsidRPr="00C62155">
        <w:t xml:space="preserve"> </w:t>
      </w:r>
      <w:r w:rsidRPr="00C62155">
        <w:rPr>
          <w:i/>
        </w:rPr>
        <w:t xml:space="preserve">So Far and No Further! </w:t>
      </w:r>
      <w:proofErr w:type="gramStart"/>
      <w:r w:rsidRPr="00C62155">
        <w:rPr>
          <w:i/>
        </w:rPr>
        <w:t>Rhodesia’s Bid for Independence during the retreat from Empire, 1959-1965</w:t>
      </w:r>
      <w:r w:rsidRPr="00C62155">
        <w:t>.</w:t>
      </w:r>
      <w:proofErr w:type="gramEnd"/>
      <w:r w:rsidRPr="00C62155">
        <w:t xml:space="preserve"> </w:t>
      </w:r>
      <w:r>
        <w:t xml:space="preserve">Victoria, British Columbia: </w:t>
      </w:r>
      <w:r w:rsidRPr="00C62155">
        <w:t>Trafford</w:t>
      </w:r>
      <w:r>
        <w:t>,</w:t>
      </w:r>
      <w:r w:rsidRPr="00C62155">
        <w:t xml:space="preserve"> 2005.</w:t>
      </w:r>
    </w:p>
    <w:p w14:paraId="64B6E12D" w14:textId="77777777" w:rsidR="006F4BF9" w:rsidRPr="007B66CA" w:rsidRDefault="006F4BF9" w:rsidP="007B66CA">
      <w:pPr>
        <w:pStyle w:val="EndnoteText"/>
        <w:spacing w:line="480" w:lineRule="auto"/>
        <w:jc w:val="both"/>
        <w:rPr>
          <w:b/>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BE42" w14:textId="77777777" w:rsidR="00BE4D8F" w:rsidRDefault="00BE4D8F" w:rsidP="00794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066A6" w14:textId="77777777" w:rsidR="00BE4D8F" w:rsidRDefault="00BE4D8F" w:rsidP="007943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9B190" w14:textId="0EDCD44E" w:rsidR="00BE4D8F" w:rsidRPr="004D693B" w:rsidRDefault="00BE4D8F" w:rsidP="007943E2">
    <w:pPr>
      <w:pStyle w:val="Footer"/>
      <w:framePr w:wrap="around" w:vAnchor="text" w:hAnchor="margin" w:xAlign="right" w:y="1"/>
      <w:rPr>
        <w:rStyle w:val="PageNumber"/>
        <w:rFonts w:ascii="Avenir Book" w:hAnsi="Avenir Book"/>
      </w:rPr>
    </w:pPr>
    <w:r w:rsidRPr="004D693B">
      <w:rPr>
        <w:rStyle w:val="PageNumber"/>
        <w:rFonts w:ascii="Avenir Book" w:hAnsi="Avenir Book"/>
      </w:rPr>
      <w:fldChar w:fldCharType="begin"/>
    </w:r>
    <w:r w:rsidRPr="004D693B">
      <w:rPr>
        <w:rStyle w:val="PageNumber"/>
        <w:rFonts w:ascii="Avenir Book" w:hAnsi="Avenir Book"/>
      </w:rPr>
      <w:instrText xml:space="preserve">PAGE  </w:instrText>
    </w:r>
    <w:r w:rsidRPr="004D693B">
      <w:rPr>
        <w:rStyle w:val="PageNumber"/>
        <w:rFonts w:ascii="Avenir Book" w:hAnsi="Avenir Book"/>
      </w:rPr>
      <w:fldChar w:fldCharType="separate"/>
    </w:r>
    <w:r w:rsidR="0063513B">
      <w:rPr>
        <w:rStyle w:val="PageNumber"/>
        <w:rFonts w:ascii="Avenir Book" w:hAnsi="Avenir Book"/>
        <w:noProof/>
      </w:rPr>
      <w:t>10</w:t>
    </w:r>
    <w:r w:rsidRPr="004D693B">
      <w:rPr>
        <w:rStyle w:val="PageNumber"/>
        <w:rFonts w:ascii="Avenir Book" w:hAnsi="Avenir Book"/>
      </w:rPr>
      <w:fldChar w:fldCharType="end"/>
    </w:r>
  </w:p>
  <w:p w14:paraId="47BF695B" w14:textId="77777777" w:rsidR="00BE4D8F" w:rsidRDefault="00BE4D8F" w:rsidP="007943E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1538D" w14:textId="77777777" w:rsidR="008F2B1D" w:rsidRDefault="008F2B1D" w:rsidP="006A6D96">
      <w:r>
        <w:separator/>
      </w:r>
    </w:p>
  </w:footnote>
  <w:footnote w:type="continuationSeparator" w:id="0">
    <w:p w14:paraId="494A25A9" w14:textId="77777777" w:rsidR="008F2B1D" w:rsidRDefault="008F2B1D" w:rsidP="006A6D9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WLETT, Daryl">
    <w15:presenceInfo w15:providerId="AD" w15:userId="S-1-5-21-1993962763-1659004503-1801674531-162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D5"/>
    <w:rsid w:val="000200D3"/>
    <w:rsid w:val="00030849"/>
    <w:rsid w:val="00037AD1"/>
    <w:rsid w:val="00053B7F"/>
    <w:rsid w:val="000606F1"/>
    <w:rsid w:val="00091929"/>
    <w:rsid w:val="000A41D7"/>
    <w:rsid w:val="000C4DE9"/>
    <w:rsid w:val="000C6A5B"/>
    <w:rsid w:val="000E761D"/>
    <w:rsid w:val="00125D36"/>
    <w:rsid w:val="00145485"/>
    <w:rsid w:val="00147828"/>
    <w:rsid w:val="00154CBB"/>
    <w:rsid w:val="001574CB"/>
    <w:rsid w:val="001749A7"/>
    <w:rsid w:val="00177229"/>
    <w:rsid w:val="001A076E"/>
    <w:rsid w:val="001B35B1"/>
    <w:rsid w:val="001C5A13"/>
    <w:rsid w:val="001E0688"/>
    <w:rsid w:val="001F4A09"/>
    <w:rsid w:val="00251C1D"/>
    <w:rsid w:val="00254D89"/>
    <w:rsid w:val="00263396"/>
    <w:rsid w:val="00270497"/>
    <w:rsid w:val="002C2C8E"/>
    <w:rsid w:val="002D2E62"/>
    <w:rsid w:val="002E38A1"/>
    <w:rsid w:val="002E5C4C"/>
    <w:rsid w:val="003076BD"/>
    <w:rsid w:val="00342E43"/>
    <w:rsid w:val="00362DC5"/>
    <w:rsid w:val="003A47A0"/>
    <w:rsid w:val="003E2148"/>
    <w:rsid w:val="00401082"/>
    <w:rsid w:val="00426148"/>
    <w:rsid w:val="004722B6"/>
    <w:rsid w:val="00474D5B"/>
    <w:rsid w:val="00494B99"/>
    <w:rsid w:val="004A107D"/>
    <w:rsid w:val="004C0AE0"/>
    <w:rsid w:val="004D693B"/>
    <w:rsid w:val="004F719E"/>
    <w:rsid w:val="004F7F44"/>
    <w:rsid w:val="0055186C"/>
    <w:rsid w:val="005A0B06"/>
    <w:rsid w:val="005A2702"/>
    <w:rsid w:val="005C6915"/>
    <w:rsid w:val="0062293A"/>
    <w:rsid w:val="00625CB8"/>
    <w:rsid w:val="0063513B"/>
    <w:rsid w:val="00640172"/>
    <w:rsid w:val="00644478"/>
    <w:rsid w:val="00654976"/>
    <w:rsid w:val="0066248D"/>
    <w:rsid w:val="00662D8F"/>
    <w:rsid w:val="00673819"/>
    <w:rsid w:val="00675E29"/>
    <w:rsid w:val="00685818"/>
    <w:rsid w:val="006A205A"/>
    <w:rsid w:val="006A6D96"/>
    <w:rsid w:val="006B6EB0"/>
    <w:rsid w:val="006F4BF9"/>
    <w:rsid w:val="00744101"/>
    <w:rsid w:val="007524E5"/>
    <w:rsid w:val="00753E94"/>
    <w:rsid w:val="00757141"/>
    <w:rsid w:val="0077186F"/>
    <w:rsid w:val="007943E2"/>
    <w:rsid w:val="007A0C8C"/>
    <w:rsid w:val="007B66CA"/>
    <w:rsid w:val="007C5429"/>
    <w:rsid w:val="007E0B93"/>
    <w:rsid w:val="007E526E"/>
    <w:rsid w:val="008152B9"/>
    <w:rsid w:val="00831954"/>
    <w:rsid w:val="00840AC7"/>
    <w:rsid w:val="008675F0"/>
    <w:rsid w:val="0088790D"/>
    <w:rsid w:val="008A3BB9"/>
    <w:rsid w:val="008C2D2A"/>
    <w:rsid w:val="008F2B1D"/>
    <w:rsid w:val="0091742F"/>
    <w:rsid w:val="00927CF5"/>
    <w:rsid w:val="0094253C"/>
    <w:rsid w:val="00950D44"/>
    <w:rsid w:val="009733B7"/>
    <w:rsid w:val="009B60FF"/>
    <w:rsid w:val="009D3A20"/>
    <w:rsid w:val="009E15AD"/>
    <w:rsid w:val="009E3684"/>
    <w:rsid w:val="009E7DF3"/>
    <w:rsid w:val="009F162A"/>
    <w:rsid w:val="009F4EEC"/>
    <w:rsid w:val="009F7993"/>
    <w:rsid w:val="00A034C5"/>
    <w:rsid w:val="00A105D7"/>
    <w:rsid w:val="00A42DD5"/>
    <w:rsid w:val="00A475D0"/>
    <w:rsid w:val="00A60288"/>
    <w:rsid w:val="00A83AD8"/>
    <w:rsid w:val="00A8464D"/>
    <w:rsid w:val="00AA3853"/>
    <w:rsid w:val="00AB5B2E"/>
    <w:rsid w:val="00AC6695"/>
    <w:rsid w:val="00AD1893"/>
    <w:rsid w:val="00AD3D55"/>
    <w:rsid w:val="00AF1E03"/>
    <w:rsid w:val="00AF2A96"/>
    <w:rsid w:val="00B17CF0"/>
    <w:rsid w:val="00B24293"/>
    <w:rsid w:val="00B63210"/>
    <w:rsid w:val="00B77706"/>
    <w:rsid w:val="00BE4D8F"/>
    <w:rsid w:val="00C06FD6"/>
    <w:rsid w:val="00C1415B"/>
    <w:rsid w:val="00C24912"/>
    <w:rsid w:val="00C40207"/>
    <w:rsid w:val="00C56724"/>
    <w:rsid w:val="00CD2EF5"/>
    <w:rsid w:val="00D14137"/>
    <w:rsid w:val="00D178DB"/>
    <w:rsid w:val="00D40579"/>
    <w:rsid w:val="00D46A5F"/>
    <w:rsid w:val="00D470B1"/>
    <w:rsid w:val="00D5168C"/>
    <w:rsid w:val="00D56160"/>
    <w:rsid w:val="00D5642B"/>
    <w:rsid w:val="00D62955"/>
    <w:rsid w:val="00D67ECC"/>
    <w:rsid w:val="00D75C36"/>
    <w:rsid w:val="00D82303"/>
    <w:rsid w:val="00D95931"/>
    <w:rsid w:val="00DA1711"/>
    <w:rsid w:val="00DA7E6D"/>
    <w:rsid w:val="00DB2DC5"/>
    <w:rsid w:val="00DD2C40"/>
    <w:rsid w:val="00DD7E7A"/>
    <w:rsid w:val="00DE1E6C"/>
    <w:rsid w:val="00DE6721"/>
    <w:rsid w:val="00DE6BA2"/>
    <w:rsid w:val="00DF2EAA"/>
    <w:rsid w:val="00DF3C58"/>
    <w:rsid w:val="00DF3D00"/>
    <w:rsid w:val="00E10BCF"/>
    <w:rsid w:val="00E13428"/>
    <w:rsid w:val="00E33A04"/>
    <w:rsid w:val="00E33E21"/>
    <w:rsid w:val="00E4733B"/>
    <w:rsid w:val="00E63216"/>
    <w:rsid w:val="00E66C17"/>
    <w:rsid w:val="00E8313A"/>
    <w:rsid w:val="00E8734C"/>
    <w:rsid w:val="00E96139"/>
    <w:rsid w:val="00EA01BF"/>
    <w:rsid w:val="00EB2360"/>
    <w:rsid w:val="00EB356A"/>
    <w:rsid w:val="00EE2B7D"/>
    <w:rsid w:val="00EE4936"/>
    <w:rsid w:val="00F04A7B"/>
    <w:rsid w:val="00F363F6"/>
    <w:rsid w:val="00F42894"/>
    <w:rsid w:val="00F50764"/>
    <w:rsid w:val="00F50F29"/>
    <w:rsid w:val="00F61610"/>
    <w:rsid w:val="00F70FBD"/>
    <w:rsid w:val="00F866A5"/>
    <w:rsid w:val="00FA5D39"/>
    <w:rsid w:val="00FD17DD"/>
    <w:rsid w:val="00FD7A5E"/>
    <w:rsid w:val="00FF04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F430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D3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8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819"/>
    <w:rPr>
      <w:rFonts w:ascii="Lucida Grande" w:hAnsi="Lucida Grande" w:cs="Lucida Grande"/>
      <w:sz w:val="18"/>
      <w:szCs w:val="18"/>
    </w:rPr>
  </w:style>
  <w:style w:type="paragraph" w:styleId="FootnoteText">
    <w:name w:val="footnote text"/>
    <w:basedOn w:val="Normal"/>
    <w:link w:val="FootnoteTextChar"/>
    <w:uiPriority w:val="99"/>
    <w:unhideWhenUsed/>
    <w:rsid w:val="006A6D96"/>
  </w:style>
  <w:style w:type="character" w:customStyle="1" w:styleId="FootnoteTextChar">
    <w:name w:val="Footnote Text Char"/>
    <w:basedOn w:val="DefaultParagraphFont"/>
    <w:link w:val="FootnoteText"/>
    <w:uiPriority w:val="99"/>
    <w:rsid w:val="006A6D96"/>
  </w:style>
  <w:style w:type="character" w:styleId="FootnoteReference">
    <w:name w:val="footnote reference"/>
    <w:basedOn w:val="DefaultParagraphFont"/>
    <w:uiPriority w:val="99"/>
    <w:unhideWhenUsed/>
    <w:rsid w:val="006A6D96"/>
    <w:rPr>
      <w:vertAlign w:val="superscript"/>
    </w:rPr>
  </w:style>
  <w:style w:type="paragraph" w:styleId="EndnoteText">
    <w:name w:val="endnote text"/>
    <w:basedOn w:val="Normal"/>
    <w:link w:val="EndnoteTextChar"/>
    <w:uiPriority w:val="99"/>
    <w:unhideWhenUsed/>
    <w:rsid w:val="007943E2"/>
    <w:rPr>
      <w:rFonts w:eastAsia="MS ??" w:cs="Times New Roman"/>
    </w:rPr>
  </w:style>
  <w:style w:type="character" w:customStyle="1" w:styleId="EndnoteTextChar">
    <w:name w:val="Endnote Text Char"/>
    <w:basedOn w:val="DefaultParagraphFont"/>
    <w:link w:val="EndnoteText"/>
    <w:uiPriority w:val="99"/>
    <w:rsid w:val="007943E2"/>
    <w:rPr>
      <w:rFonts w:eastAsia="MS ??" w:cs="Times New Roman"/>
    </w:rPr>
  </w:style>
  <w:style w:type="character" w:styleId="EndnoteReference">
    <w:name w:val="endnote reference"/>
    <w:basedOn w:val="DefaultParagraphFont"/>
    <w:uiPriority w:val="99"/>
    <w:unhideWhenUsed/>
    <w:rsid w:val="007943E2"/>
    <w:rPr>
      <w:vertAlign w:val="superscript"/>
    </w:rPr>
  </w:style>
  <w:style w:type="paragraph" w:styleId="Footer">
    <w:name w:val="footer"/>
    <w:basedOn w:val="Normal"/>
    <w:link w:val="FooterChar"/>
    <w:uiPriority w:val="99"/>
    <w:unhideWhenUsed/>
    <w:rsid w:val="007943E2"/>
    <w:pPr>
      <w:tabs>
        <w:tab w:val="center" w:pos="4320"/>
        <w:tab w:val="right" w:pos="8640"/>
      </w:tabs>
    </w:pPr>
  </w:style>
  <w:style w:type="character" w:customStyle="1" w:styleId="FooterChar">
    <w:name w:val="Footer Char"/>
    <w:basedOn w:val="DefaultParagraphFont"/>
    <w:link w:val="Footer"/>
    <w:uiPriority w:val="99"/>
    <w:rsid w:val="007943E2"/>
  </w:style>
  <w:style w:type="character" w:styleId="PageNumber">
    <w:name w:val="page number"/>
    <w:basedOn w:val="DefaultParagraphFont"/>
    <w:uiPriority w:val="99"/>
    <w:semiHidden/>
    <w:unhideWhenUsed/>
    <w:rsid w:val="007943E2"/>
  </w:style>
  <w:style w:type="character" w:styleId="CommentReference">
    <w:name w:val="annotation reference"/>
    <w:basedOn w:val="DefaultParagraphFont"/>
    <w:uiPriority w:val="99"/>
    <w:semiHidden/>
    <w:unhideWhenUsed/>
    <w:rsid w:val="0077186F"/>
    <w:rPr>
      <w:sz w:val="18"/>
      <w:szCs w:val="18"/>
    </w:rPr>
  </w:style>
  <w:style w:type="paragraph" w:styleId="CommentText">
    <w:name w:val="annotation text"/>
    <w:basedOn w:val="Normal"/>
    <w:link w:val="CommentTextChar"/>
    <w:uiPriority w:val="99"/>
    <w:semiHidden/>
    <w:unhideWhenUsed/>
    <w:rsid w:val="0077186F"/>
  </w:style>
  <w:style w:type="character" w:customStyle="1" w:styleId="CommentTextChar">
    <w:name w:val="Comment Text Char"/>
    <w:basedOn w:val="DefaultParagraphFont"/>
    <w:link w:val="CommentText"/>
    <w:uiPriority w:val="99"/>
    <w:semiHidden/>
    <w:rsid w:val="0077186F"/>
  </w:style>
  <w:style w:type="paragraph" w:styleId="CommentSubject">
    <w:name w:val="annotation subject"/>
    <w:basedOn w:val="CommentText"/>
    <w:next w:val="CommentText"/>
    <w:link w:val="CommentSubjectChar"/>
    <w:uiPriority w:val="99"/>
    <w:semiHidden/>
    <w:unhideWhenUsed/>
    <w:rsid w:val="0077186F"/>
    <w:rPr>
      <w:b/>
      <w:bCs/>
      <w:sz w:val="20"/>
      <w:szCs w:val="20"/>
    </w:rPr>
  </w:style>
  <w:style w:type="character" w:customStyle="1" w:styleId="CommentSubjectChar">
    <w:name w:val="Comment Subject Char"/>
    <w:basedOn w:val="CommentTextChar"/>
    <w:link w:val="CommentSubject"/>
    <w:uiPriority w:val="99"/>
    <w:semiHidden/>
    <w:rsid w:val="0077186F"/>
    <w:rPr>
      <w:b/>
      <w:bCs/>
      <w:sz w:val="20"/>
      <w:szCs w:val="20"/>
    </w:rPr>
  </w:style>
  <w:style w:type="character" w:styleId="HTMLCite">
    <w:name w:val="HTML Cite"/>
    <w:basedOn w:val="DefaultParagraphFont"/>
    <w:uiPriority w:val="99"/>
    <w:semiHidden/>
    <w:unhideWhenUsed/>
    <w:rsid w:val="00DD7E7A"/>
    <w:rPr>
      <w:i/>
      <w:iCs/>
    </w:rPr>
  </w:style>
  <w:style w:type="paragraph" w:styleId="Header">
    <w:name w:val="header"/>
    <w:basedOn w:val="Normal"/>
    <w:link w:val="HeaderChar"/>
    <w:uiPriority w:val="99"/>
    <w:unhideWhenUsed/>
    <w:rsid w:val="004D693B"/>
    <w:pPr>
      <w:tabs>
        <w:tab w:val="center" w:pos="4320"/>
        <w:tab w:val="right" w:pos="8640"/>
      </w:tabs>
    </w:pPr>
  </w:style>
  <w:style w:type="character" w:customStyle="1" w:styleId="HeaderChar">
    <w:name w:val="Header Char"/>
    <w:basedOn w:val="DefaultParagraphFont"/>
    <w:link w:val="Header"/>
    <w:uiPriority w:val="99"/>
    <w:rsid w:val="004D693B"/>
  </w:style>
  <w:style w:type="character" w:customStyle="1" w:styleId="roman">
    <w:name w:val="roman"/>
    <w:basedOn w:val="DefaultParagraphFont"/>
    <w:rsid w:val="009F7993"/>
  </w:style>
  <w:style w:type="character" w:customStyle="1" w:styleId="headword">
    <w:name w:val="headword"/>
    <w:basedOn w:val="DefaultParagraphFont"/>
    <w:rsid w:val="009F7993"/>
  </w:style>
  <w:style w:type="character" w:customStyle="1" w:styleId="apple-converted-space">
    <w:name w:val="apple-converted-space"/>
    <w:basedOn w:val="DefaultParagraphFont"/>
    <w:rsid w:val="009F7993"/>
  </w:style>
  <w:style w:type="paragraph" w:styleId="NormalWeb">
    <w:name w:val="Normal (Web)"/>
    <w:basedOn w:val="Normal"/>
    <w:uiPriority w:val="99"/>
    <w:semiHidden/>
    <w:unhideWhenUsed/>
    <w:rsid w:val="00F6161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125D36"/>
    <w:rPr>
      <w:rFonts w:ascii="Times" w:hAnsi="Times"/>
      <w:b/>
      <w:bCs/>
      <w:kern w:val="36"/>
      <w:sz w:val="48"/>
      <w:szCs w:val="48"/>
    </w:rPr>
  </w:style>
  <w:style w:type="character" w:customStyle="1" w:styleId="a-size-large">
    <w:name w:val="a-size-large"/>
    <w:basedOn w:val="DefaultParagraphFont"/>
    <w:rsid w:val="00125D36"/>
  </w:style>
  <w:style w:type="character" w:customStyle="1" w:styleId="st">
    <w:name w:val="st"/>
    <w:basedOn w:val="DefaultParagraphFont"/>
    <w:rsid w:val="005A2702"/>
  </w:style>
  <w:style w:type="character" w:styleId="Emphasis">
    <w:name w:val="Emphasis"/>
    <w:basedOn w:val="DefaultParagraphFont"/>
    <w:uiPriority w:val="20"/>
    <w:qFormat/>
    <w:rsid w:val="005A2702"/>
    <w:rPr>
      <w:i/>
      <w:iCs/>
    </w:rPr>
  </w:style>
  <w:style w:type="character" w:customStyle="1" w:styleId="bidi">
    <w:name w:val="bidi"/>
    <w:basedOn w:val="DefaultParagraphFont"/>
    <w:rsid w:val="007B66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D3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8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819"/>
    <w:rPr>
      <w:rFonts w:ascii="Lucida Grande" w:hAnsi="Lucida Grande" w:cs="Lucida Grande"/>
      <w:sz w:val="18"/>
      <w:szCs w:val="18"/>
    </w:rPr>
  </w:style>
  <w:style w:type="paragraph" w:styleId="FootnoteText">
    <w:name w:val="footnote text"/>
    <w:basedOn w:val="Normal"/>
    <w:link w:val="FootnoteTextChar"/>
    <w:uiPriority w:val="99"/>
    <w:unhideWhenUsed/>
    <w:rsid w:val="006A6D96"/>
  </w:style>
  <w:style w:type="character" w:customStyle="1" w:styleId="FootnoteTextChar">
    <w:name w:val="Footnote Text Char"/>
    <w:basedOn w:val="DefaultParagraphFont"/>
    <w:link w:val="FootnoteText"/>
    <w:uiPriority w:val="99"/>
    <w:rsid w:val="006A6D96"/>
  </w:style>
  <w:style w:type="character" w:styleId="FootnoteReference">
    <w:name w:val="footnote reference"/>
    <w:basedOn w:val="DefaultParagraphFont"/>
    <w:uiPriority w:val="99"/>
    <w:unhideWhenUsed/>
    <w:rsid w:val="006A6D96"/>
    <w:rPr>
      <w:vertAlign w:val="superscript"/>
    </w:rPr>
  </w:style>
  <w:style w:type="paragraph" w:styleId="EndnoteText">
    <w:name w:val="endnote text"/>
    <w:basedOn w:val="Normal"/>
    <w:link w:val="EndnoteTextChar"/>
    <w:uiPriority w:val="99"/>
    <w:unhideWhenUsed/>
    <w:rsid w:val="007943E2"/>
    <w:rPr>
      <w:rFonts w:eastAsia="MS ??" w:cs="Times New Roman"/>
    </w:rPr>
  </w:style>
  <w:style w:type="character" w:customStyle="1" w:styleId="EndnoteTextChar">
    <w:name w:val="Endnote Text Char"/>
    <w:basedOn w:val="DefaultParagraphFont"/>
    <w:link w:val="EndnoteText"/>
    <w:uiPriority w:val="99"/>
    <w:rsid w:val="007943E2"/>
    <w:rPr>
      <w:rFonts w:eastAsia="MS ??" w:cs="Times New Roman"/>
    </w:rPr>
  </w:style>
  <w:style w:type="character" w:styleId="EndnoteReference">
    <w:name w:val="endnote reference"/>
    <w:basedOn w:val="DefaultParagraphFont"/>
    <w:uiPriority w:val="99"/>
    <w:unhideWhenUsed/>
    <w:rsid w:val="007943E2"/>
    <w:rPr>
      <w:vertAlign w:val="superscript"/>
    </w:rPr>
  </w:style>
  <w:style w:type="paragraph" w:styleId="Footer">
    <w:name w:val="footer"/>
    <w:basedOn w:val="Normal"/>
    <w:link w:val="FooterChar"/>
    <w:uiPriority w:val="99"/>
    <w:unhideWhenUsed/>
    <w:rsid w:val="007943E2"/>
    <w:pPr>
      <w:tabs>
        <w:tab w:val="center" w:pos="4320"/>
        <w:tab w:val="right" w:pos="8640"/>
      </w:tabs>
    </w:pPr>
  </w:style>
  <w:style w:type="character" w:customStyle="1" w:styleId="FooterChar">
    <w:name w:val="Footer Char"/>
    <w:basedOn w:val="DefaultParagraphFont"/>
    <w:link w:val="Footer"/>
    <w:uiPriority w:val="99"/>
    <w:rsid w:val="007943E2"/>
  </w:style>
  <w:style w:type="character" w:styleId="PageNumber">
    <w:name w:val="page number"/>
    <w:basedOn w:val="DefaultParagraphFont"/>
    <w:uiPriority w:val="99"/>
    <w:semiHidden/>
    <w:unhideWhenUsed/>
    <w:rsid w:val="007943E2"/>
  </w:style>
  <w:style w:type="character" w:styleId="CommentReference">
    <w:name w:val="annotation reference"/>
    <w:basedOn w:val="DefaultParagraphFont"/>
    <w:uiPriority w:val="99"/>
    <w:semiHidden/>
    <w:unhideWhenUsed/>
    <w:rsid w:val="0077186F"/>
    <w:rPr>
      <w:sz w:val="18"/>
      <w:szCs w:val="18"/>
    </w:rPr>
  </w:style>
  <w:style w:type="paragraph" w:styleId="CommentText">
    <w:name w:val="annotation text"/>
    <w:basedOn w:val="Normal"/>
    <w:link w:val="CommentTextChar"/>
    <w:uiPriority w:val="99"/>
    <w:semiHidden/>
    <w:unhideWhenUsed/>
    <w:rsid w:val="0077186F"/>
  </w:style>
  <w:style w:type="character" w:customStyle="1" w:styleId="CommentTextChar">
    <w:name w:val="Comment Text Char"/>
    <w:basedOn w:val="DefaultParagraphFont"/>
    <w:link w:val="CommentText"/>
    <w:uiPriority w:val="99"/>
    <w:semiHidden/>
    <w:rsid w:val="0077186F"/>
  </w:style>
  <w:style w:type="paragraph" w:styleId="CommentSubject">
    <w:name w:val="annotation subject"/>
    <w:basedOn w:val="CommentText"/>
    <w:next w:val="CommentText"/>
    <w:link w:val="CommentSubjectChar"/>
    <w:uiPriority w:val="99"/>
    <w:semiHidden/>
    <w:unhideWhenUsed/>
    <w:rsid w:val="0077186F"/>
    <w:rPr>
      <w:b/>
      <w:bCs/>
      <w:sz w:val="20"/>
      <w:szCs w:val="20"/>
    </w:rPr>
  </w:style>
  <w:style w:type="character" w:customStyle="1" w:styleId="CommentSubjectChar">
    <w:name w:val="Comment Subject Char"/>
    <w:basedOn w:val="CommentTextChar"/>
    <w:link w:val="CommentSubject"/>
    <w:uiPriority w:val="99"/>
    <w:semiHidden/>
    <w:rsid w:val="0077186F"/>
    <w:rPr>
      <w:b/>
      <w:bCs/>
      <w:sz w:val="20"/>
      <w:szCs w:val="20"/>
    </w:rPr>
  </w:style>
  <w:style w:type="character" w:styleId="HTMLCite">
    <w:name w:val="HTML Cite"/>
    <w:basedOn w:val="DefaultParagraphFont"/>
    <w:uiPriority w:val="99"/>
    <w:semiHidden/>
    <w:unhideWhenUsed/>
    <w:rsid w:val="00DD7E7A"/>
    <w:rPr>
      <w:i/>
      <w:iCs/>
    </w:rPr>
  </w:style>
  <w:style w:type="paragraph" w:styleId="Header">
    <w:name w:val="header"/>
    <w:basedOn w:val="Normal"/>
    <w:link w:val="HeaderChar"/>
    <w:uiPriority w:val="99"/>
    <w:unhideWhenUsed/>
    <w:rsid w:val="004D693B"/>
    <w:pPr>
      <w:tabs>
        <w:tab w:val="center" w:pos="4320"/>
        <w:tab w:val="right" w:pos="8640"/>
      </w:tabs>
    </w:pPr>
  </w:style>
  <w:style w:type="character" w:customStyle="1" w:styleId="HeaderChar">
    <w:name w:val="Header Char"/>
    <w:basedOn w:val="DefaultParagraphFont"/>
    <w:link w:val="Header"/>
    <w:uiPriority w:val="99"/>
    <w:rsid w:val="004D693B"/>
  </w:style>
  <w:style w:type="character" w:customStyle="1" w:styleId="roman">
    <w:name w:val="roman"/>
    <w:basedOn w:val="DefaultParagraphFont"/>
    <w:rsid w:val="009F7993"/>
  </w:style>
  <w:style w:type="character" w:customStyle="1" w:styleId="headword">
    <w:name w:val="headword"/>
    <w:basedOn w:val="DefaultParagraphFont"/>
    <w:rsid w:val="009F7993"/>
  </w:style>
  <w:style w:type="character" w:customStyle="1" w:styleId="apple-converted-space">
    <w:name w:val="apple-converted-space"/>
    <w:basedOn w:val="DefaultParagraphFont"/>
    <w:rsid w:val="009F7993"/>
  </w:style>
  <w:style w:type="paragraph" w:styleId="NormalWeb">
    <w:name w:val="Normal (Web)"/>
    <w:basedOn w:val="Normal"/>
    <w:uiPriority w:val="99"/>
    <w:semiHidden/>
    <w:unhideWhenUsed/>
    <w:rsid w:val="00F6161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125D36"/>
    <w:rPr>
      <w:rFonts w:ascii="Times" w:hAnsi="Times"/>
      <w:b/>
      <w:bCs/>
      <w:kern w:val="36"/>
      <w:sz w:val="48"/>
      <w:szCs w:val="48"/>
    </w:rPr>
  </w:style>
  <w:style w:type="character" w:customStyle="1" w:styleId="a-size-large">
    <w:name w:val="a-size-large"/>
    <w:basedOn w:val="DefaultParagraphFont"/>
    <w:rsid w:val="00125D36"/>
  </w:style>
  <w:style w:type="character" w:customStyle="1" w:styleId="st">
    <w:name w:val="st"/>
    <w:basedOn w:val="DefaultParagraphFont"/>
    <w:rsid w:val="005A2702"/>
  </w:style>
  <w:style w:type="character" w:styleId="Emphasis">
    <w:name w:val="Emphasis"/>
    <w:basedOn w:val="DefaultParagraphFont"/>
    <w:uiPriority w:val="20"/>
    <w:qFormat/>
    <w:rsid w:val="005A2702"/>
    <w:rPr>
      <w:i/>
      <w:iCs/>
    </w:rPr>
  </w:style>
  <w:style w:type="character" w:customStyle="1" w:styleId="bidi">
    <w:name w:val="bidi"/>
    <w:basedOn w:val="DefaultParagraphFont"/>
    <w:rsid w:val="007B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18076">
      <w:bodyDiv w:val="1"/>
      <w:marLeft w:val="0"/>
      <w:marRight w:val="0"/>
      <w:marTop w:val="0"/>
      <w:marBottom w:val="0"/>
      <w:divBdr>
        <w:top w:val="none" w:sz="0" w:space="0" w:color="auto"/>
        <w:left w:val="none" w:sz="0" w:space="0" w:color="auto"/>
        <w:bottom w:val="none" w:sz="0" w:space="0" w:color="auto"/>
        <w:right w:val="none" w:sz="0" w:space="0" w:color="auto"/>
      </w:divBdr>
    </w:div>
    <w:div w:id="929241422">
      <w:bodyDiv w:val="1"/>
      <w:marLeft w:val="0"/>
      <w:marRight w:val="0"/>
      <w:marTop w:val="0"/>
      <w:marBottom w:val="0"/>
      <w:divBdr>
        <w:top w:val="none" w:sz="0" w:space="0" w:color="auto"/>
        <w:left w:val="none" w:sz="0" w:space="0" w:color="auto"/>
        <w:bottom w:val="none" w:sz="0" w:space="0" w:color="auto"/>
        <w:right w:val="none" w:sz="0" w:space="0" w:color="auto"/>
      </w:divBdr>
    </w:div>
    <w:div w:id="1081180109">
      <w:bodyDiv w:val="1"/>
      <w:marLeft w:val="0"/>
      <w:marRight w:val="0"/>
      <w:marTop w:val="0"/>
      <w:marBottom w:val="0"/>
      <w:divBdr>
        <w:top w:val="none" w:sz="0" w:space="0" w:color="auto"/>
        <w:left w:val="none" w:sz="0" w:space="0" w:color="auto"/>
        <w:bottom w:val="none" w:sz="0" w:space="0" w:color="auto"/>
        <w:right w:val="none" w:sz="0" w:space="0" w:color="auto"/>
      </w:divBdr>
    </w:div>
    <w:div w:id="1357927450">
      <w:bodyDiv w:val="1"/>
      <w:marLeft w:val="0"/>
      <w:marRight w:val="0"/>
      <w:marTop w:val="0"/>
      <w:marBottom w:val="0"/>
      <w:divBdr>
        <w:top w:val="none" w:sz="0" w:space="0" w:color="auto"/>
        <w:left w:val="none" w:sz="0" w:space="0" w:color="auto"/>
        <w:bottom w:val="none" w:sz="0" w:space="0" w:color="auto"/>
        <w:right w:val="none" w:sz="0" w:space="0" w:color="auto"/>
      </w:divBdr>
    </w:div>
    <w:div w:id="1534268156">
      <w:bodyDiv w:val="1"/>
      <w:marLeft w:val="0"/>
      <w:marRight w:val="0"/>
      <w:marTop w:val="0"/>
      <w:marBottom w:val="0"/>
      <w:divBdr>
        <w:top w:val="none" w:sz="0" w:space="0" w:color="auto"/>
        <w:left w:val="none" w:sz="0" w:space="0" w:color="auto"/>
        <w:bottom w:val="none" w:sz="0" w:space="0" w:color="auto"/>
        <w:right w:val="none" w:sz="0" w:space="0" w:color="auto"/>
      </w:divBdr>
    </w:div>
    <w:div w:id="1551531093">
      <w:bodyDiv w:val="1"/>
      <w:marLeft w:val="0"/>
      <w:marRight w:val="0"/>
      <w:marTop w:val="0"/>
      <w:marBottom w:val="0"/>
      <w:divBdr>
        <w:top w:val="none" w:sz="0" w:space="0" w:color="auto"/>
        <w:left w:val="none" w:sz="0" w:space="0" w:color="auto"/>
        <w:bottom w:val="none" w:sz="0" w:space="0" w:color="auto"/>
        <w:right w:val="none" w:sz="0" w:space="0" w:color="auto"/>
      </w:divBdr>
    </w:div>
    <w:div w:id="179270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F558-D26D-5749-9186-DAF37CA0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2377</Words>
  <Characters>13026</Characters>
  <Application>Microsoft Macintosh Word</Application>
  <DocSecurity>0</DocSecurity>
  <Lines>250</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Law</dc:creator>
  <cp:lastModifiedBy>Kate Law</cp:lastModifiedBy>
  <cp:revision>7</cp:revision>
  <cp:lastPrinted>2017-01-05T18:40:00Z</cp:lastPrinted>
  <dcterms:created xsi:type="dcterms:W3CDTF">2017-05-20T18:56:00Z</dcterms:created>
  <dcterms:modified xsi:type="dcterms:W3CDTF">2017-08-03T19:41:00Z</dcterms:modified>
</cp:coreProperties>
</file>