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988" w:rsidRDefault="002C70E3" w:rsidP="007A6988">
      <w:pPr>
        <w:jc w:val="center"/>
        <w:rPr>
          <w:b/>
          <w:lang w:val="en-GB"/>
        </w:rPr>
      </w:pPr>
      <w:bookmarkStart w:id="0" w:name="_GoBack"/>
      <w:bookmarkEnd w:id="0"/>
      <w:r>
        <w:rPr>
          <w:b/>
          <w:lang w:val="en-GB"/>
        </w:rPr>
        <w:t>E</w:t>
      </w:r>
      <w:r w:rsidR="008F4E39" w:rsidRPr="00235A52">
        <w:rPr>
          <w:b/>
          <w:lang w:val="en-GB"/>
        </w:rPr>
        <w:t>ffect of acute hypoxia on cognition</w:t>
      </w:r>
      <w:r w:rsidR="008F4E39">
        <w:rPr>
          <w:b/>
          <w:lang w:val="en-GB"/>
        </w:rPr>
        <w:t>: a s</w:t>
      </w:r>
      <w:r w:rsidR="007A6988">
        <w:rPr>
          <w:b/>
          <w:lang w:val="en-GB"/>
        </w:rPr>
        <w:t>ystematic review and m</w:t>
      </w:r>
      <w:r w:rsidR="007A6988" w:rsidRPr="00235A52">
        <w:rPr>
          <w:b/>
          <w:lang w:val="en-GB"/>
        </w:rPr>
        <w:t>eta-</w:t>
      </w:r>
      <w:r w:rsidR="007A6988">
        <w:rPr>
          <w:b/>
          <w:lang w:val="en-GB"/>
        </w:rPr>
        <w:t>regression analysis</w:t>
      </w:r>
      <w:r w:rsidR="008F4E39">
        <w:rPr>
          <w:b/>
          <w:lang w:val="en-GB"/>
        </w:rPr>
        <w:t xml:space="preserve">. </w:t>
      </w:r>
    </w:p>
    <w:p w:rsidR="007A6988" w:rsidRDefault="007A6988" w:rsidP="007A6988">
      <w:pPr>
        <w:jc w:val="center"/>
        <w:rPr>
          <w:b/>
          <w:lang w:val="en-GB"/>
        </w:rPr>
      </w:pPr>
    </w:p>
    <w:p w:rsidR="002F39F3" w:rsidRDefault="00746859" w:rsidP="00746859">
      <w:pPr>
        <w:rPr>
          <w:b/>
          <w:lang w:val="en-GB"/>
        </w:rPr>
      </w:pPr>
      <w:r>
        <w:t xml:space="preserve">Terry </w:t>
      </w:r>
      <w:r w:rsidRPr="00C27458">
        <w:t>McMorris</w:t>
      </w:r>
      <w:r w:rsidRPr="00746859">
        <w:rPr>
          <w:vertAlign w:val="superscript"/>
        </w:rPr>
        <w:t>a,b,c</w:t>
      </w:r>
      <w:r>
        <w:t>*</w:t>
      </w:r>
      <w:r w:rsidRPr="00C27458">
        <w:t xml:space="preserve">, </w:t>
      </w:r>
      <w:r>
        <w:t xml:space="preserve">Beverley J. </w:t>
      </w:r>
      <w:r w:rsidRPr="00C27458">
        <w:t>Hale</w:t>
      </w:r>
      <w:r w:rsidRPr="00746859">
        <w:rPr>
          <w:vertAlign w:val="superscript"/>
        </w:rPr>
        <w:t>b</w:t>
      </w:r>
      <w:r w:rsidRPr="00C27458">
        <w:t xml:space="preserve">, </w:t>
      </w:r>
      <w:r>
        <w:t>Martin</w:t>
      </w:r>
      <w:r w:rsidRPr="00C27458">
        <w:t xml:space="preserve"> Barwood</w:t>
      </w:r>
      <w:r w:rsidRPr="00746859">
        <w:rPr>
          <w:vertAlign w:val="superscript"/>
        </w:rPr>
        <w:t>d</w:t>
      </w:r>
      <w:r w:rsidRPr="00C27458">
        <w:t xml:space="preserve">, </w:t>
      </w:r>
      <w:r>
        <w:t>Joseph</w:t>
      </w:r>
      <w:r w:rsidRPr="00C27458">
        <w:t xml:space="preserve"> Costello</w:t>
      </w:r>
      <w:r w:rsidRPr="00746859">
        <w:rPr>
          <w:vertAlign w:val="superscript"/>
        </w:rPr>
        <w:t>a</w:t>
      </w:r>
      <w:r w:rsidRPr="00C27458">
        <w:t xml:space="preserve">, </w:t>
      </w:r>
      <w:r>
        <w:t>Jo</w:t>
      </w:r>
      <w:r w:rsidRPr="00C27458">
        <w:t xml:space="preserve"> Corbett</w:t>
      </w:r>
      <w:r w:rsidRPr="00746859">
        <w:rPr>
          <w:vertAlign w:val="superscript"/>
        </w:rPr>
        <w:t>a</w:t>
      </w:r>
    </w:p>
    <w:p w:rsidR="002F39F3" w:rsidRDefault="002F39F3" w:rsidP="007A6988">
      <w:pPr>
        <w:jc w:val="center"/>
        <w:rPr>
          <w:b/>
          <w:lang w:val="en-GB"/>
        </w:rPr>
      </w:pPr>
    </w:p>
    <w:p w:rsidR="00746859" w:rsidRDefault="00746859" w:rsidP="00746859">
      <w:r w:rsidRPr="0045507E">
        <w:rPr>
          <w:vertAlign w:val="superscript"/>
        </w:rPr>
        <w:t>a</w:t>
      </w:r>
      <w:r>
        <w:t xml:space="preserve">Department of Sport and Exercise Science, </w:t>
      </w:r>
      <w:r w:rsidR="0045507E">
        <w:t xml:space="preserve">Faculty of Science, </w:t>
      </w:r>
      <w:r>
        <w:t xml:space="preserve">University of Portsmouth, </w:t>
      </w:r>
      <w:r w:rsidR="0045507E">
        <w:t xml:space="preserve">Guildhall Walk, </w:t>
      </w:r>
      <w:r>
        <w:t>Portsmouth PO1 2ER, U</w:t>
      </w:r>
      <w:r w:rsidR="0045507E">
        <w:t>nited Kingdom</w:t>
      </w:r>
    </w:p>
    <w:p w:rsidR="002F39F3" w:rsidRDefault="00746859" w:rsidP="00746859">
      <w:r w:rsidRPr="0045507E">
        <w:rPr>
          <w:vertAlign w:val="superscript"/>
          <w:lang w:val="en-GB"/>
        </w:rPr>
        <w:t>b</w:t>
      </w:r>
      <w:r w:rsidRPr="00746859">
        <w:rPr>
          <w:lang w:val="en-GB"/>
        </w:rPr>
        <w:t xml:space="preserve">Department </w:t>
      </w:r>
      <w:r w:rsidRPr="00746859">
        <w:t>S</w:t>
      </w:r>
      <w:r>
        <w:t xml:space="preserve">port and Exercise Science, Institute for Sport, University of Chichester, College Lane, Chichester, West Sussex PO19 6PE, </w:t>
      </w:r>
      <w:r w:rsidR="0045507E">
        <w:t>United Kingdom</w:t>
      </w:r>
    </w:p>
    <w:p w:rsidR="00746859" w:rsidRDefault="0045507E" w:rsidP="00746859">
      <w:r w:rsidRPr="0045507E">
        <w:rPr>
          <w:vertAlign w:val="superscript"/>
        </w:rPr>
        <w:t>c</w:t>
      </w:r>
      <w:r w:rsidR="00746859">
        <w:t>Depaertment of Psyhcology, Facultuy of Health and Life Sci</w:t>
      </w:r>
      <w:r>
        <w:t>e</w:t>
      </w:r>
      <w:r w:rsidR="00746859">
        <w:t>n</w:t>
      </w:r>
      <w:r>
        <w:t>c</w:t>
      </w:r>
      <w:r w:rsidR="00746859">
        <w:t>es,</w:t>
      </w:r>
      <w:r>
        <w:t xml:space="preserve"> </w:t>
      </w:r>
      <w:r w:rsidR="00746859">
        <w:t>Northumbria University</w:t>
      </w:r>
      <w:r>
        <w:t>, Northumberland Road, Newcastle-upon-Tyne NE1 8ST, United Kingdom</w:t>
      </w:r>
    </w:p>
    <w:p w:rsidR="0045507E" w:rsidRDefault="0045507E" w:rsidP="00746859">
      <w:r w:rsidRPr="0045507E">
        <w:rPr>
          <w:vertAlign w:val="superscript"/>
        </w:rPr>
        <w:t>d</w:t>
      </w:r>
      <w:r>
        <w:rPr>
          <w:rFonts w:eastAsia="Times New Roman"/>
          <w:color w:val="000000"/>
        </w:rPr>
        <w:t xml:space="preserve">Department of Sport, Health and Nutrition, Leeds Trinity University, Brownberrie Lane, Horsforth LS18 5HD, </w:t>
      </w:r>
      <w:r>
        <w:t>United Kingdom</w:t>
      </w:r>
    </w:p>
    <w:p w:rsidR="0045507E" w:rsidRDefault="0045507E" w:rsidP="00746859">
      <w:pPr>
        <w:rPr>
          <w:b/>
          <w:lang w:val="en-GB"/>
        </w:rPr>
      </w:pPr>
      <w:r>
        <w:t>*Address for correspondence: 63 Four Winds Court, Hartlepool TS26 0LP, United Kingdom</w:t>
      </w:r>
    </w:p>
    <w:p w:rsidR="002F39F3" w:rsidRDefault="002F39F3" w:rsidP="007A6988">
      <w:pPr>
        <w:jc w:val="center"/>
        <w:rPr>
          <w:b/>
          <w:lang w:val="en-GB"/>
        </w:rPr>
      </w:pPr>
    </w:p>
    <w:p w:rsidR="002F39F3" w:rsidRDefault="002F39F3">
      <w:pPr>
        <w:rPr>
          <w:b/>
          <w:lang w:val="en-GB"/>
        </w:rPr>
      </w:pPr>
      <w:r>
        <w:rPr>
          <w:b/>
          <w:lang w:val="en-GB"/>
        </w:rPr>
        <w:br w:type="page"/>
      </w:r>
    </w:p>
    <w:p w:rsidR="009A2ABA" w:rsidRDefault="009A2ABA" w:rsidP="009A2ABA">
      <w:pPr>
        <w:contextualSpacing/>
        <w:jc w:val="center"/>
      </w:pPr>
      <w:r>
        <w:lastRenderedPageBreak/>
        <w:t>Abstract</w:t>
      </w:r>
    </w:p>
    <w:p w:rsidR="002F39F3" w:rsidRDefault="002F39F3" w:rsidP="002F39F3">
      <w:pPr>
        <w:contextualSpacing/>
        <w:rPr>
          <w:lang w:eastAsia="en-GB"/>
        </w:rPr>
      </w:pPr>
      <w:r w:rsidRPr="003A4FB7">
        <w:t xml:space="preserve">A systematic meta-regression analysis of the effects of acute hypoxia </w:t>
      </w:r>
      <w:r w:rsidR="00177DB0">
        <w:t xml:space="preserve">on </w:t>
      </w:r>
      <w:r w:rsidR="00DE08F3">
        <w:t xml:space="preserve">the performance of </w:t>
      </w:r>
      <w:r w:rsidR="00177DB0">
        <w:t xml:space="preserve">central executive and non-executive tasks, </w:t>
      </w:r>
      <w:r w:rsidRPr="003A4FB7">
        <w:t xml:space="preserve">and </w:t>
      </w:r>
      <w:r w:rsidR="00177DB0">
        <w:t xml:space="preserve">the </w:t>
      </w:r>
      <w:r w:rsidR="00DE08F3">
        <w:t xml:space="preserve">effects of the </w:t>
      </w:r>
      <w:r w:rsidRPr="003A4FB7">
        <w:t>moderat</w:t>
      </w:r>
      <w:r w:rsidR="00DE08F3">
        <w:t>ing variables</w:t>
      </w:r>
      <w:r w:rsidR="00177DB0">
        <w:t xml:space="preserve">, </w:t>
      </w:r>
      <w:r w:rsidR="00941EA3" w:rsidRPr="003A4FB7">
        <w:t xml:space="preserve">arterial partial pressure of oxygen </w:t>
      </w:r>
      <w:r w:rsidR="00941EA3">
        <w:t>(PaO</w:t>
      </w:r>
      <w:r w:rsidR="00941EA3" w:rsidRPr="002C37C0">
        <w:rPr>
          <w:vertAlign w:val="subscript"/>
        </w:rPr>
        <w:t>2</w:t>
      </w:r>
      <w:r w:rsidR="00941EA3" w:rsidRPr="007043B5">
        <w:t xml:space="preserve">) </w:t>
      </w:r>
      <w:r w:rsidR="00941EA3">
        <w:t xml:space="preserve">and </w:t>
      </w:r>
      <w:r w:rsidR="00941EA3" w:rsidRPr="003A4FB7">
        <w:t xml:space="preserve">hypobaric </w:t>
      </w:r>
      <w:r w:rsidR="00F41CAF">
        <w:t>versus</w:t>
      </w:r>
      <w:r w:rsidR="00941EA3" w:rsidRPr="003A4FB7">
        <w:rPr>
          <w:i/>
        </w:rPr>
        <w:t xml:space="preserve"> </w:t>
      </w:r>
      <w:r w:rsidR="00941EA3" w:rsidRPr="003A4FB7">
        <w:t>normobaric</w:t>
      </w:r>
      <w:r w:rsidR="00941EA3">
        <w:t xml:space="preserve"> hypoxia</w:t>
      </w:r>
      <w:r w:rsidR="00177DB0">
        <w:t>,</w:t>
      </w:r>
      <w:r w:rsidR="00941EA3" w:rsidRPr="003A4FB7">
        <w:t xml:space="preserve"> </w:t>
      </w:r>
      <w:r w:rsidRPr="003A4FB7">
        <w:t xml:space="preserve">was undertaken. </w:t>
      </w:r>
      <w:r w:rsidRPr="008F6899">
        <w:t xml:space="preserve">Studies were included if they were performed on healthy </w:t>
      </w:r>
      <w:r>
        <w:t>humans</w:t>
      </w:r>
      <w:r w:rsidRPr="008F6899">
        <w:t xml:space="preserve">; within-subject design was used; data were </w:t>
      </w:r>
      <w:r>
        <w:t>reported giving the PaO</w:t>
      </w:r>
      <w:r w:rsidRPr="002C37C0">
        <w:rPr>
          <w:vertAlign w:val="subscript"/>
        </w:rPr>
        <w:t>2</w:t>
      </w:r>
      <w:r w:rsidRPr="007043B5">
        <w:t xml:space="preserve"> </w:t>
      </w:r>
      <w:r>
        <w:t>or that allowed the PaO</w:t>
      </w:r>
      <w:r w:rsidRPr="002C37C0">
        <w:rPr>
          <w:vertAlign w:val="subscript"/>
        </w:rPr>
        <w:t>2</w:t>
      </w:r>
      <w:r>
        <w:t xml:space="preserve"> to be estimated </w:t>
      </w:r>
      <w:r w:rsidRPr="003D7D51">
        <w:t xml:space="preserve">(e.g. arterial oxygen saturation and/or altitude); </w:t>
      </w:r>
      <w:r>
        <w:t xml:space="preserve">and </w:t>
      </w:r>
      <w:r w:rsidRPr="008C695A">
        <w:t xml:space="preserve">the duration of being in a hypoxic state prior to cognitive testing was ≤ </w:t>
      </w:r>
      <w:r>
        <w:t>6</w:t>
      </w:r>
      <w:r w:rsidRPr="008C695A">
        <w:t xml:space="preserve"> days. </w:t>
      </w:r>
      <w:r w:rsidRPr="003A4FB7">
        <w:t>Twenty-two experiments met the criteria for inclusion and demo</w:t>
      </w:r>
      <w:r>
        <w:t>ns</w:t>
      </w:r>
      <w:r w:rsidRPr="003A4FB7">
        <w:t>tr</w:t>
      </w:r>
      <w:r>
        <w:t>at</w:t>
      </w:r>
      <w:r w:rsidRPr="003A4FB7">
        <w:t>ed a moderate, negative mean effect size</w:t>
      </w:r>
      <w:r>
        <w:t xml:space="preserve"> (g = -.49</w:t>
      </w:r>
      <w:r w:rsidRPr="00C27458">
        <w:t xml:space="preserve">, </w:t>
      </w:r>
      <w:r w:rsidRPr="00C27458">
        <w:rPr>
          <w:color w:val="000000"/>
        </w:rPr>
        <w:t>95% CI -0.64 to -0.34</w:t>
      </w:r>
      <w:r>
        <w:rPr>
          <w:color w:val="000000"/>
        </w:rPr>
        <w:t xml:space="preserve">, </w:t>
      </w:r>
      <w:r w:rsidRPr="00C27458">
        <w:rPr>
          <w:color w:val="000000"/>
        </w:rPr>
        <w:t>p &lt; .001</w:t>
      </w:r>
      <w:r>
        <w:rPr>
          <w:color w:val="000000"/>
        </w:rPr>
        <w:t>)</w:t>
      </w:r>
      <w:r w:rsidRPr="003A4FB7">
        <w:t>. Th</w:t>
      </w:r>
      <w:r w:rsidR="00177DB0">
        <w:t xml:space="preserve">ere were no significant differences between </w:t>
      </w:r>
      <w:r w:rsidRPr="003A4FB7">
        <w:t xml:space="preserve">central executive </w:t>
      </w:r>
      <w:r w:rsidR="00177DB0">
        <w:t>and</w:t>
      </w:r>
      <w:r w:rsidRPr="003A4FB7">
        <w:t xml:space="preserve"> non-executive</w:t>
      </w:r>
      <w:r w:rsidR="00F41CAF">
        <w:t>,</w:t>
      </w:r>
      <w:r w:rsidRPr="003A4FB7">
        <w:t xml:space="preserve"> perception/attention </w:t>
      </w:r>
      <w:r w:rsidR="00F41CAF">
        <w:t>and</w:t>
      </w:r>
      <w:r w:rsidRPr="003A4FB7">
        <w:t xml:space="preserve"> short-term memory</w:t>
      </w:r>
      <w:r w:rsidR="00F41CAF">
        <w:t>,</w:t>
      </w:r>
      <w:r w:rsidRPr="003A4FB7">
        <w:t xml:space="preserve"> task</w:t>
      </w:r>
      <w:r w:rsidR="00177DB0">
        <w:t>s</w:t>
      </w:r>
      <w:r w:rsidRPr="003A4FB7">
        <w:t>. Low (35-60 mmHg) P</w:t>
      </w:r>
      <w:r w:rsidRPr="009E14AE">
        <w:t>a</w:t>
      </w:r>
      <w:r w:rsidRPr="003A4FB7">
        <w:t>O</w:t>
      </w:r>
      <w:r w:rsidRPr="003A4FB7">
        <w:rPr>
          <w:vertAlign w:val="subscript"/>
        </w:rPr>
        <w:t>2</w:t>
      </w:r>
      <w:r w:rsidRPr="003A4FB7">
        <w:t xml:space="preserve"> was the key predictor of cognitive </w:t>
      </w:r>
      <w:r w:rsidRPr="00C27458">
        <w:t>performance (R</w:t>
      </w:r>
      <w:r w:rsidRPr="00C27458">
        <w:rPr>
          <w:vertAlign w:val="superscript"/>
        </w:rPr>
        <w:t>2</w:t>
      </w:r>
      <w:r w:rsidRPr="00C27458">
        <w:t xml:space="preserve"> = .45, p &lt; .001) and</w:t>
      </w:r>
      <w:r w:rsidRPr="003A4FB7">
        <w:t xml:space="preserve"> this was independent of whether the exposure was in hypobaric hypoxic </w:t>
      </w:r>
      <w:r w:rsidRPr="003A4FB7">
        <w:rPr>
          <w:rStyle w:val="Emphasis"/>
          <w:i w:val="0"/>
        </w:rPr>
        <w:t>or</w:t>
      </w:r>
      <w:r w:rsidRPr="003A4FB7">
        <w:rPr>
          <w:i/>
        </w:rPr>
        <w:t xml:space="preserve"> </w:t>
      </w:r>
      <w:r w:rsidRPr="003A4FB7">
        <w:t>normobaric hypoxic conditions.</w:t>
      </w:r>
      <w:r>
        <w:t xml:space="preserve"> </w:t>
      </w:r>
    </w:p>
    <w:p w:rsidR="002F39F3" w:rsidRDefault="002F39F3" w:rsidP="002F39F3">
      <w:pPr>
        <w:rPr>
          <w:b/>
          <w:lang w:val="en-GB"/>
        </w:rPr>
      </w:pPr>
      <w:r>
        <w:rPr>
          <w:lang w:eastAsia="en-GB"/>
        </w:rPr>
        <w:t>Key words: arterial</w:t>
      </w:r>
      <w:r w:rsidR="00CC2806">
        <w:rPr>
          <w:lang w:eastAsia="en-GB"/>
        </w:rPr>
        <w:t xml:space="preserve"> partial</w:t>
      </w:r>
      <w:r>
        <w:rPr>
          <w:lang w:eastAsia="en-GB"/>
        </w:rPr>
        <w:t xml:space="preserve"> pressure of oxygen; normobaric; hypobaric; central executive; perception; short-term memory; regional cerebral blood flow; catecholamines; glossypharyngeal nerve; carotid body; </w:t>
      </w:r>
      <w:r>
        <w:t>internal carotid arteries; vertebral arteries</w:t>
      </w:r>
    </w:p>
    <w:p w:rsidR="002F39F3" w:rsidRDefault="002F39F3" w:rsidP="007A6988">
      <w:pPr>
        <w:jc w:val="center"/>
        <w:rPr>
          <w:b/>
          <w:lang w:val="en-GB"/>
        </w:rPr>
      </w:pPr>
    </w:p>
    <w:p w:rsidR="002F39F3" w:rsidRDefault="002F39F3" w:rsidP="007A6988">
      <w:pPr>
        <w:jc w:val="center"/>
        <w:rPr>
          <w:b/>
          <w:lang w:val="en-GB"/>
        </w:rPr>
      </w:pPr>
    </w:p>
    <w:p w:rsidR="002F39F3" w:rsidRDefault="002F39F3" w:rsidP="007A6988">
      <w:pPr>
        <w:jc w:val="center"/>
        <w:rPr>
          <w:b/>
          <w:lang w:val="en-GB"/>
        </w:rPr>
      </w:pPr>
    </w:p>
    <w:p w:rsidR="002F39F3" w:rsidRDefault="002F39F3" w:rsidP="007A6988">
      <w:pPr>
        <w:jc w:val="center"/>
        <w:rPr>
          <w:b/>
          <w:lang w:val="en-GB"/>
        </w:rPr>
      </w:pPr>
    </w:p>
    <w:p w:rsidR="002F39F3" w:rsidRDefault="002F39F3" w:rsidP="007A6988">
      <w:pPr>
        <w:jc w:val="center"/>
        <w:rPr>
          <w:b/>
          <w:lang w:val="en-GB"/>
        </w:rPr>
      </w:pPr>
    </w:p>
    <w:p w:rsidR="002F39F3" w:rsidRDefault="002F39F3">
      <w:pPr>
        <w:rPr>
          <w:b/>
          <w:lang w:val="en-GB"/>
        </w:rPr>
      </w:pPr>
      <w:r>
        <w:rPr>
          <w:b/>
          <w:lang w:val="en-GB"/>
        </w:rPr>
        <w:br w:type="page"/>
      </w:r>
    </w:p>
    <w:p w:rsidR="002F39F3" w:rsidRPr="009A2ABA" w:rsidRDefault="002F39F3" w:rsidP="007A6988">
      <w:pPr>
        <w:jc w:val="center"/>
        <w:rPr>
          <w:lang w:val="en-GB"/>
        </w:rPr>
      </w:pPr>
      <w:r w:rsidRPr="009A2ABA">
        <w:rPr>
          <w:lang w:val="en-GB"/>
        </w:rPr>
        <w:lastRenderedPageBreak/>
        <w:t>Effect of acute hypoxia on cognition: a systematic review and meta-regression analysis.</w:t>
      </w:r>
    </w:p>
    <w:p w:rsidR="002F39F3" w:rsidRPr="009A2ABA" w:rsidRDefault="0092761B" w:rsidP="0092761B">
      <w:pPr>
        <w:rPr>
          <w:lang w:val="en-GB"/>
        </w:rPr>
      </w:pPr>
      <w:r w:rsidRPr="009A2ABA">
        <w:rPr>
          <w:lang w:val="en-GB"/>
        </w:rPr>
        <w:t>1. Introduction</w:t>
      </w:r>
    </w:p>
    <w:p w:rsidR="00E17D9A" w:rsidRDefault="007A6988" w:rsidP="007A6988">
      <w:r w:rsidRPr="00FF15E3">
        <w:tab/>
      </w:r>
      <w:r w:rsidRPr="00314775">
        <w:t>The military, mountain rescuers, mountaineers and many other individuals, are required to work and live at high altitudes. With increasing altitude, the barometric pressure decreases</w:t>
      </w:r>
      <w:r>
        <w:t xml:space="preserve"> exponentially</w:t>
      </w:r>
      <w:r w:rsidRPr="00314775">
        <w:t xml:space="preserve">, resulting in a progressive reduction in the </w:t>
      </w:r>
      <w:r>
        <w:t xml:space="preserve">ambient </w:t>
      </w:r>
      <w:r w:rsidRPr="00314775">
        <w:t>partial pressure of oxygen (PO</w:t>
      </w:r>
      <w:r w:rsidRPr="00314775">
        <w:rPr>
          <w:vertAlign w:val="subscript"/>
        </w:rPr>
        <w:t>2</w:t>
      </w:r>
      <w:r w:rsidRPr="00314775">
        <w:t xml:space="preserve">), termed hypobaric hypoxia. </w:t>
      </w:r>
      <w:r w:rsidRPr="00314775">
        <w:rPr>
          <w:lang w:val="en"/>
        </w:rPr>
        <w:t xml:space="preserve">For practical </w:t>
      </w:r>
      <w:r w:rsidR="008F4E39">
        <w:rPr>
          <w:lang w:val="en"/>
        </w:rPr>
        <w:t xml:space="preserve">and logistical </w:t>
      </w:r>
      <w:r w:rsidRPr="00314775">
        <w:rPr>
          <w:lang w:val="en"/>
        </w:rPr>
        <w:t>reasons, normobaric hypoxia is often used as a laboratory alternative to hypobaric hypoxia</w:t>
      </w:r>
      <w:r>
        <w:rPr>
          <w:lang w:val="en"/>
        </w:rPr>
        <w:t>,</w:t>
      </w:r>
      <w:r w:rsidRPr="00314775">
        <w:rPr>
          <w:lang w:val="en"/>
        </w:rPr>
        <w:t xml:space="preserve"> whereby the inspired oxygen </w:t>
      </w:r>
      <w:r>
        <w:rPr>
          <w:lang w:val="en"/>
        </w:rPr>
        <w:t xml:space="preserve">fraction </w:t>
      </w:r>
      <w:r w:rsidRPr="00314775">
        <w:rPr>
          <w:lang w:val="en"/>
        </w:rPr>
        <w:t xml:space="preserve">is </w:t>
      </w:r>
      <w:r>
        <w:rPr>
          <w:lang w:val="en"/>
        </w:rPr>
        <w:t xml:space="preserve">reduced to account for the greater barometric pressure and </w:t>
      </w:r>
      <w:r w:rsidRPr="00314775">
        <w:rPr>
          <w:lang w:val="en"/>
        </w:rPr>
        <w:t>elicit an ‘altitude-equivalent’ lowering of PO</w:t>
      </w:r>
      <w:r w:rsidRPr="00314775">
        <w:rPr>
          <w:vertAlign w:val="subscript"/>
          <w:lang w:val="en"/>
        </w:rPr>
        <w:t>2</w:t>
      </w:r>
      <w:r>
        <w:rPr>
          <w:vertAlign w:val="subscript"/>
          <w:lang w:val="en"/>
        </w:rPr>
        <w:t xml:space="preserve"> </w:t>
      </w:r>
      <w:r w:rsidRPr="00884B57">
        <w:rPr>
          <w:lang w:val="en"/>
        </w:rPr>
        <w:t>(Conkin, 2011).</w:t>
      </w:r>
      <w:r>
        <w:rPr>
          <w:lang w:val="en"/>
        </w:rPr>
        <w:t xml:space="preserve"> An underlying assumption with this</w:t>
      </w:r>
      <w:r w:rsidRPr="00314775">
        <w:rPr>
          <w:lang w:val="en"/>
        </w:rPr>
        <w:t xml:space="preserve"> </w:t>
      </w:r>
      <w:r>
        <w:rPr>
          <w:lang w:val="en"/>
        </w:rPr>
        <w:t xml:space="preserve">isohypoxia approach </w:t>
      </w:r>
      <w:r w:rsidRPr="00314775">
        <w:rPr>
          <w:lang w:val="en"/>
        </w:rPr>
        <w:t>is that PO</w:t>
      </w:r>
      <w:r w:rsidRPr="00314775">
        <w:rPr>
          <w:vertAlign w:val="subscript"/>
          <w:lang w:val="en"/>
        </w:rPr>
        <w:t>2</w:t>
      </w:r>
      <w:r w:rsidRPr="00314775">
        <w:rPr>
          <w:lang w:val="en"/>
        </w:rPr>
        <w:t xml:space="preserve"> is the only relevant physiological stimulus,</w:t>
      </w:r>
      <w:r>
        <w:rPr>
          <w:lang w:val="en"/>
        </w:rPr>
        <w:t xml:space="preserve"> but </w:t>
      </w:r>
      <w:r w:rsidRPr="00314775">
        <w:rPr>
          <w:lang w:val="en"/>
        </w:rPr>
        <w:t xml:space="preserve">there is some evidence for physiological differences </w:t>
      </w:r>
      <w:r>
        <w:rPr>
          <w:lang w:val="en"/>
        </w:rPr>
        <w:t xml:space="preserve">elicited by </w:t>
      </w:r>
      <w:r w:rsidRPr="00314775">
        <w:rPr>
          <w:lang w:val="en"/>
        </w:rPr>
        <w:t xml:space="preserve">hypobaric hypoxia </w:t>
      </w:r>
      <w:r w:rsidR="00DB3074" w:rsidRPr="00DB3074">
        <w:t>compared to the isohypoxic</w:t>
      </w:r>
      <w:r w:rsidR="00F41CAF">
        <w:t>,</w:t>
      </w:r>
      <w:r w:rsidR="00DB3074" w:rsidRPr="00DB3074">
        <w:t xml:space="preserve"> normobaric equivalent</w:t>
      </w:r>
      <w:r>
        <w:rPr>
          <w:lang w:val="en"/>
        </w:rPr>
        <w:t xml:space="preserve"> </w:t>
      </w:r>
      <w:r w:rsidRPr="00892483">
        <w:rPr>
          <w:lang w:val="en"/>
        </w:rPr>
        <w:t>(</w:t>
      </w:r>
      <w:r w:rsidR="002C70E3" w:rsidRPr="00892483">
        <w:rPr>
          <w:lang w:val="en"/>
        </w:rPr>
        <w:t>Coppel et al.,</w:t>
      </w:r>
      <w:r w:rsidR="002C70E3">
        <w:rPr>
          <w:lang w:val="en"/>
        </w:rPr>
        <w:t xml:space="preserve"> 2015; </w:t>
      </w:r>
      <w:r w:rsidRPr="00892483">
        <w:rPr>
          <w:color w:val="222222"/>
        </w:rPr>
        <w:t>Normand &amp; Koehle</w:t>
      </w:r>
      <w:r>
        <w:rPr>
          <w:color w:val="222222"/>
        </w:rPr>
        <w:t>, 2012;</w:t>
      </w:r>
      <w:r w:rsidRPr="00314775">
        <w:rPr>
          <w:lang w:val="en"/>
        </w:rPr>
        <w:t xml:space="preserve">). Nevertheless, </w:t>
      </w:r>
      <w:r w:rsidRPr="00314775">
        <w:t>both approaches reduce the slope of the oxygen transport cascade from the atmosphere to the</w:t>
      </w:r>
      <w:r>
        <w:t xml:space="preserve"> mitochondria</w:t>
      </w:r>
      <w:r w:rsidRPr="00314775">
        <w:t xml:space="preserve">, eliciting manifold physiological effects resulting primarily from </w:t>
      </w:r>
      <w:r>
        <w:t>a lower</w:t>
      </w:r>
      <w:r w:rsidRPr="00314775">
        <w:t xml:space="preserve"> </w:t>
      </w:r>
      <w:r w:rsidRPr="003B359B">
        <w:rPr>
          <w:color w:val="000000" w:themeColor="text1"/>
        </w:rPr>
        <w:t>arterial PO</w:t>
      </w:r>
      <w:r w:rsidRPr="003B359B">
        <w:rPr>
          <w:color w:val="000000" w:themeColor="text1"/>
          <w:vertAlign w:val="subscript"/>
        </w:rPr>
        <w:t xml:space="preserve">2 </w:t>
      </w:r>
      <w:r w:rsidRPr="00AB0A9C">
        <w:rPr>
          <w:color w:val="000000" w:themeColor="text1"/>
        </w:rPr>
        <w:t>(P</w:t>
      </w:r>
      <w:r w:rsidRPr="00AB0A9C">
        <w:rPr>
          <w:color w:val="000000" w:themeColor="text1"/>
          <w:vertAlign w:val="subscript"/>
        </w:rPr>
        <w:t>a</w:t>
      </w:r>
      <w:r w:rsidRPr="00AB0A9C">
        <w:rPr>
          <w:color w:val="000000" w:themeColor="text1"/>
        </w:rPr>
        <w:t>O</w:t>
      </w:r>
      <w:r w:rsidRPr="00AB0A9C">
        <w:rPr>
          <w:color w:val="000000" w:themeColor="text1"/>
          <w:vertAlign w:val="subscript"/>
        </w:rPr>
        <w:t>2</w:t>
      </w:r>
      <w:r w:rsidRPr="00AB0A9C">
        <w:rPr>
          <w:color w:val="000000" w:themeColor="text1"/>
        </w:rPr>
        <w:t xml:space="preserve">) </w:t>
      </w:r>
      <w:r w:rsidRPr="00721259">
        <w:rPr>
          <w:color w:val="000000" w:themeColor="text1"/>
        </w:rPr>
        <w:t xml:space="preserve">and </w:t>
      </w:r>
      <w:r w:rsidRPr="00314775">
        <w:t xml:space="preserve">reduced oxyhemoglobin saturation </w:t>
      </w:r>
      <w:r w:rsidRPr="003B359B">
        <w:rPr>
          <w:color w:val="000000" w:themeColor="text1"/>
        </w:rPr>
        <w:t xml:space="preserve">(Marconi &amp; Cerretelli, 2008) </w:t>
      </w:r>
      <w:r>
        <w:t>The precise nature of the response to hypoxic environments is influenced by the magnitude of the stimulus</w:t>
      </w:r>
      <w:r w:rsidR="004A70EC">
        <w:t>:</w:t>
      </w:r>
      <w:r>
        <w:t xml:space="preserve"> altitudes up to ~2000-2500 m are in the flat portion of the sigmoidal oxyhemoglobin dissociation curve, whereas higher altitudes are in the steep portion of the curve and require more pronounced adjustment (Lundby et al., 2008). However, broadly speaking, </w:t>
      </w:r>
      <w:r w:rsidRPr="00314775">
        <w:t xml:space="preserve">the initial responses to altitude exposure serve to </w:t>
      </w:r>
      <w:r w:rsidR="00DB3074">
        <w:t>maintain</w:t>
      </w:r>
      <w:r w:rsidRPr="00314775">
        <w:t xml:space="preserve"> oxygen supply.</w:t>
      </w:r>
      <w:r w:rsidRPr="00FD6828">
        <w:t xml:space="preserve"> </w:t>
      </w:r>
      <w:r>
        <w:t xml:space="preserve">Hypoxic </w:t>
      </w:r>
      <w:r w:rsidRPr="00314775">
        <w:t xml:space="preserve">stimulation of </w:t>
      </w:r>
      <w:r>
        <w:t xml:space="preserve">the </w:t>
      </w:r>
      <w:r w:rsidRPr="00314775">
        <w:t xml:space="preserve">carotid </w:t>
      </w:r>
      <w:r>
        <w:t xml:space="preserve">bodies </w:t>
      </w:r>
      <w:r w:rsidRPr="00314775">
        <w:t xml:space="preserve">increases alveolar </w:t>
      </w:r>
      <w:r w:rsidRPr="00314775">
        <w:rPr>
          <w:lang w:val="en"/>
        </w:rPr>
        <w:t>ventilation</w:t>
      </w:r>
      <w:r>
        <w:rPr>
          <w:lang w:val="en"/>
        </w:rPr>
        <w:t>,</w:t>
      </w:r>
      <w:r>
        <w:t xml:space="preserve"> causing respiratory alkalosis (</w:t>
      </w:r>
      <w:r w:rsidRPr="003B359B">
        <w:rPr>
          <w:color w:val="000000" w:themeColor="text1"/>
        </w:rPr>
        <w:t>Marconi &amp; Cerretelli, 2008</w:t>
      </w:r>
      <w:r>
        <w:t xml:space="preserve">), and </w:t>
      </w:r>
      <w:r>
        <w:rPr>
          <w:lang w:val="en"/>
        </w:rPr>
        <w:t>augments s</w:t>
      </w:r>
      <w:r w:rsidRPr="00314775">
        <w:rPr>
          <w:lang w:val="en"/>
        </w:rPr>
        <w:t>ympathoadrenal activity</w:t>
      </w:r>
      <w:r>
        <w:rPr>
          <w:lang w:val="en"/>
        </w:rPr>
        <w:t>,</w:t>
      </w:r>
      <w:r w:rsidRPr="00314775">
        <w:rPr>
          <w:lang w:val="en"/>
        </w:rPr>
        <w:t xml:space="preserve"> </w:t>
      </w:r>
      <w:r>
        <w:rPr>
          <w:lang w:val="en"/>
        </w:rPr>
        <w:t xml:space="preserve">increasing </w:t>
      </w:r>
      <w:r w:rsidRPr="00314775">
        <w:rPr>
          <w:lang w:val="en"/>
        </w:rPr>
        <w:t xml:space="preserve">peripheral epinephrine </w:t>
      </w:r>
      <w:r>
        <w:rPr>
          <w:lang w:val="en"/>
        </w:rPr>
        <w:t xml:space="preserve">levels </w:t>
      </w:r>
      <w:r w:rsidRPr="00314775">
        <w:rPr>
          <w:lang w:val="en"/>
        </w:rPr>
        <w:t>(Epi)</w:t>
      </w:r>
      <w:r>
        <w:rPr>
          <w:lang w:val="en"/>
        </w:rPr>
        <w:t xml:space="preserve"> (</w:t>
      </w:r>
      <w:r>
        <w:rPr>
          <w:color w:val="231F20"/>
          <w:lang w:val="en-GB"/>
        </w:rPr>
        <w:t xml:space="preserve">Mazzeo </w:t>
      </w:r>
      <w:r w:rsidR="004F01E5">
        <w:rPr>
          <w:color w:val="231F20"/>
          <w:lang w:val="en-GB"/>
        </w:rPr>
        <w:t>&amp;</w:t>
      </w:r>
      <w:r w:rsidRPr="00A1209A">
        <w:rPr>
          <w:color w:val="231F20"/>
          <w:lang w:val="en-GB"/>
        </w:rPr>
        <w:t xml:space="preserve"> Reeves</w:t>
      </w:r>
      <w:r>
        <w:rPr>
          <w:lang w:val="en"/>
        </w:rPr>
        <w:t xml:space="preserve">, </w:t>
      </w:r>
      <w:r>
        <w:rPr>
          <w:lang w:val="en"/>
        </w:rPr>
        <w:lastRenderedPageBreak/>
        <w:t xml:space="preserve">2013), </w:t>
      </w:r>
      <w:r w:rsidRPr="00314775">
        <w:rPr>
          <w:lang w:val="en"/>
        </w:rPr>
        <w:t>heart</w:t>
      </w:r>
      <w:r>
        <w:rPr>
          <w:lang w:val="en"/>
        </w:rPr>
        <w:t xml:space="preserve"> rate and cardiac output (Kahler et al., 1962); </w:t>
      </w:r>
      <w:r w:rsidR="008F4E39">
        <w:rPr>
          <w:lang w:val="en"/>
        </w:rPr>
        <w:t xml:space="preserve">while </w:t>
      </w:r>
      <w:r w:rsidRPr="00314775">
        <w:rPr>
          <w:lang w:val="en"/>
        </w:rPr>
        <w:t>peripheral norepinephrine (NE) levels may progressively increase over the initial six-day exposure (</w:t>
      </w:r>
      <w:r>
        <w:rPr>
          <w:color w:val="231F20"/>
          <w:lang w:val="en-GB"/>
        </w:rPr>
        <w:t xml:space="preserve">Mazzeo </w:t>
      </w:r>
      <w:r w:rsidR="004F01E5">
        <w:rPr>
          <w:color w:val="231F20"/>
          <w:lang w:val="en-GB"/>
        </w:rPr>
        <w:t>&amp;</w:t>
      </w:r>
      <w:r w:rsidRPr="00A1209A">
        <w:rPr>
          <w:color w:val="231F20"/>
          <w:lang w:val="en-GB"/>
        </w:rPr>
        <w:t xml:space="preserve"> Reeves</w:t>
      </w:r>
      <w:r>
        <w:rPr>
          <w:color w:val="231F20"/>
          <w:lang w:val="en-GB"/>
        </w:rPr>
        <w:t>, 2003</w:t>
      </w:r>
      <w:r>
        <w:rPr>
          <w:lang w:val="en"/>
        </w:rPr>
        <w:t>)</w:t>
      </w:r>
      <w:r>
        <w:t xml:space="preserve">. </w:t>
      </w:r>
    </w:p>
    <w:p w:rsidR="007A6988" w:rsidRPr="00937CCB" w:rsidRDefault="00E17D9A" w:rsidP="007A6988">
      <w:pPr>
        <w:rPr>
          <w:lang w:val="en"/>
        </w:rPr>
      </w:pPr>
      <w:r>
        <w:tab/>
      </w:r>
      <w:r w:rsidR="007A6988">
        <w:t>Within the first hours of exposure</w:t>
      </w:r>
      <w:r w:rsidR="004A70EC">
        <w:t>,</w:t>
      </w:r>
      <w:r w:rsidR="007A6988">
        <w:t xml:space="preserve"> </w:t>
      </w:r>
      <w:r w:rsidR="007A6988" w:rsidRPr="00314775">
        <w:rPr>
          <w:lang w:val="en"/>
        </w:rPr>
        <w:t xml:space="preserve">plasma volume </w:t>
      </w:r>
      <w:r w:rsidR="008F4E39">
        <w:rPr>
          <w:lang w:val="en"/>
        </w:rPr>
        <w:t xml:space="preserve">also </w:t>
      </w:r>
      <w:r w:rsidR="007A6988">
        <w:rPr>
          <w:lang w:val="en"/>
        </w:rPr>
        <w:t xml:space="preserve">decreases, possibly due to redistribution of fluid from the extra- to intra-cellular fluid compartment </w:t>
      </w:r>
      <w:r w:rsidR="007A6988" w:rsidRPr="00314775">
        <w:rPr>
          <w:lang w:val="en"/>
        </w:rPr>
        <w:t>(</w:t>
      </w:r>
      <w:r w:rsidR="007A6988">
        <w:rPr>
          <w:lang w:val="en"/>
        </w:rPr>
        <w:t>Hannon et al., 1969</w:t>
      </w:r>
      <w:r w:rsidR="007A6988" w:rsidRPr="00314775">
        <w:rPr>
          <w:lang w:val="en"/>
        </w:rPr>
        <w:t xml:space="preserve">). Although this reduces total blood volume, red cell volume is unchanged </w:t>
      </w:r>
      <w:r w:rsidR="007A6988">
        <w:rPr>
          <w:lang w:val="en"/>
        </w:rPr>
        <w:t xml:space="preserve">and </w:t>
      </w:r>
      <w:r w:rsidR="007A6988" w:rsidRPr="00314775">
        <w:rPr>
          <w:lang w:val="en"/>
        </w:rPr>
        <w:t xml:space="preserve">the oxygen carrying capacity per unit of blood is increased </w:t>
      </w:r>
      <w:r w:rsidR="007A6988">
        <w:rPr>
          <w:lang w:val="en"/>
        </w:rPr>
        <w:t>thus augmenting</w:t>
      </w:r>
      <w:r w:rsidR="007A6988" w:rsidRPr="00314775">
        <w:rPr>
          <w:lang w:val="en"/>
        </w:rPr>
        <w:t xml:space="preserve"> </w:t>
      </w:r>
      <w:r w:rsidR="007A6988">
        <w:rPr>
          <w:lang w:val="en"/>
        </w:rPr>
        <w:t xml:space="preserve">the </w:t>
      </w:r>
      <w:r w:rsidR="007A6988" w:rsidRPr="00314775">
        <w:rPr>
          <w:lang w:val="en"/>
        </w:rPr>
        <w:t>oxygen delivery for a given cardiac output. Although</w:t>
      </w:r>
      <w:r w:rsidR="009A2ABA">
        <w:rPr>
          <w:lang w:val="en"/>
        </w:rPr>
        <w:t>,</w:t>
      </w:r>
      <w:r w:rsidR="007A6988" w:rsidRPr="00314775">
        <w:rPr>
          <w:lang w:val="en"/>
        </w:rPr>
        <w:t xml:space="preserve"> in this study</w:t>
      </w:r>
      <w:r w:rsidR="009A2ABA">
        <w:rPr>
          <w:lang w:val="en"/>
        </w:rPr>
        <w:t>,</w:t>
      </w:r>
      <w:r w:rsidR="007A6988" w:rsidRPr="00314775">
        <w:rPr>
          <w:lang w:val="en"/>
        </w:rPr>
        <w:t xml:space="preserve"> we concentrate on acute hypoxia</w:t>
      </w:r>
      <w:r w:rsidR="008F4E39">
        <w:rPr>
          <w:lang w:val="en"/>
        </w:rPr>
        <w:t xml:space="preserve"> (≤ </w:t>
      </w:r>
      <w:r w:rsidR="002C70E3">
        <w:rPr>
          <w:lang w:val="en"/>
        </w:rPr>
        <w:t>6</w:t>
      </w:r>
      <w:r w:rsidR="008F4E39">
        <w:rPr>
          <w:lang w:val="en"/>
        </w:rPr>
        <w:t xml:space="preserve"> days)</w:t>
      </w:r>
      <w:r w:rsidR="007A6988" w:rsidRPr="00314775">
        <w:rPr>
          <w:lang w:val="en"/>
        </w:rPr>
        <w:t>, we should note that with chronic hypoxic exposure (acclimatization) the plasma volume is restored and stimulation of erythopoeisis increases the number of erythrocytes</w:t>
      </w:r>
      <w:r w:rsidR="007A6988">
        <w:rPr>
          <w:lang w:val="en"/>
        </w:rPr>
        <w:t xml:space="preserve"> (Pugh, 1964), which, in combination with an increased </w:t>
      </w:r>
      <w:r w:rsidR="007A6988" w:rsidRPr="00314775">
        <w:rPr>
          <w:lang w:val="en"/>
        </w:rPr>
        <w:t>arterio-venous oxygen difference</w:t>
      </w:r>
      <w:r w:rsidR="007A6988">
        <w:rPr>
          <w:lang w:val="en"/>
        </w:rPr>
        <w:t xml:space="preserve">, enables </w:t>
      </w:r>
      <w:r w:rsidR="007A6988" w:rsidRPr="00314775">
        <w:rPr>
          <w:lang w:val="en"/>
        </w:rPr>
        <w:t>a reduced cardiac output for a given metabolic oxygen demand</w:t>
      </w:r>
      <w:r w:rsidR="007A6988">
        <w:rPr>
          <w:lang w:val="en"/>
        </w:rPr>
        <w:t xml:space="preserve"> (Wolfel et al., 1998). Nevertheless, with both acute and chronic hypoxia</w:t>
      </w:r>
      <w:r w:rsidR="002C70E3">
        <w:rPr>
          <w:lang w:val="en"/>
        </w:rPr>
        <w:t>,</w:t>
      </w:r>
      <w:r w:rsidR="007A6988" w:rsidRPr="00314775">
        <w:t xml:space="preserve"> the performance of physical work requiring high rates of aerobic metabolism</w:t>
      </w:r>
      <w:r w:rsidR="007A6988">
        <w:t xml:space="preserve"> is impaired</w:t>
      </w:r>
      <w:r w:rsidR="007A6988" w:rsidRPr="00314775">
        <w:t>, relative to the normoxic work capacity</w:t>
      </w:r>
      <w:r w:rsidR="007A6988">
        <w:t xml:space="preserve"> (Pugh, 1967)</w:t>
      </w:r>
      <w:r w:rsidR="007A6988" w:rsidRPr="00314775">
        <w:t xml:space="preserve">, although this </w:t>
      </w:r>
      <w:r w:rsidR="007A6988" w:rsidRPr="00314775">
        <w:rPr>
          <w:lang w:val="en"/>
        </w:rPr>
        <w:t>decrement may be lower with normobaric</w:t>
      </w:r>
      <w:r w:rsidR="007A6988">
        <w:rPr>
          <w:lang w:val="en"/>
        </w:rPr>
        <w:t xml:space="preserve"> than hypobaric hypoxia (Saugy et al., 2016</w:t>
      </w:r>
      <w:r w:rsidR="007A6988" w:rsidRPr="00314775">
        <w:rPr>
          <w:lang w:val="en"/>
        </w:rPr>
        <w:t xml:space="preserve">) and is partially attenuated with acclimation </w:t>
      </w:r>
      <w:r w:rsidR="00DB3074">
        <w:rPr>
          <w:lang w:val="en"/>
        </w:rPr>
        <w:t>and</w:t>
      </w:r>
      <w:r w:rsidR="008F4E39">
        <w:rPr>
          <w:lang w:val="en"/>
        </w:rPr>
        <w:t xml:space="preserve"> acclimatization </w:t>
      </w:r>
      <w:r w:rsidR="007A6988" w:rsidRPr="00314775">
        <w:rPr>
          <w:lang w:val="en"/>
        </w:rPr>
        <w:t>(</w:t>
      </w:r>
      <w:r w:rsidR="007A6988">
        <w:rPr>
          <w:lang w:val="en"/>
        </w:rPr>
        <w:t>Pugh 1967</w:t>
      </w:r>
      <w:r w:rsidR="007A6988" w:rsidRPr="00314775">
        <w:rPr>
          <w:lang w:val="en"/>
        </w:rPr>
        <w:t>)</w:t>
      </w:r>
      <w:r w:rsidR="007A6988" w:rsidRPr="00314775">
        <w:t>.</w:t>
      </w:r>
    </w:p>
    <w:p w:rsidR="007A6988" w:rsidRDefault="007A6988" w:rsidP="007A6988">
      <w:r>
        <w:tab/>
        <w:t>While the effects of acute hypoxia on physical performance have been studied</w:t>
      </w:r>
      <w:r w:rsidR="008F4E39">
        <w:t xml:space="preserve"> extensively</w:t>
      </w:r>
      <w:r>
        <w:t xml:space="preserve">, there is comparatively little research into </w:t>
      </w:r>
      <w:r w:rsidRPr="002F7E9F">
        <w:t xml:space="preserve">the effects on cognitive skills, such as visual search and decision making. These skills </w:t>
      </w:r>
      <w:r w:rsidR="008F4E39">
        <w:t xml:space="preserve">typically </w:t>
      </w:r>
      <w:r w:rsidRPr="002F7E9F">
        <w:t>require attention</w:t>
      </w:r>
      <w:r>
        <w:t>, perception, executive functioning and short-term memory (STM). Moreover, few authors have attempted to review the work</w:t>
      </w:r>
      <w:r w:rsidR="00151B44">
        <w:t xml:space="preserve"> and</w:t>
      </w:r>
      <w:r w:rsidR="00E17D9A">
        <w:t>,</w:t>
      </w:r>
      <w:r w:rsidR="00151B44">
        <w:t xml:space="preserve"> to the best of our knowledge</w:t>
      </w:r>
      <w:r w:rsidR="00E17D9A">
        <w:t>,</w:t>
      </w:r>
      <w:r w:rsidR="00151B44">
        <w:t xml:space="preserve"> nobody has sought to systematically review this area</w:t>
      </w:r>
      <w:r w:rsidR="002C70E3">
        <w:t xml:space="preserve"> using meta-analytical methods</w:t>
      </w:r>
      <w:r>
        <w:t xml:space="preserve">. </w:t>
      </w:r>
      <w:r w:rsidR="00151B44">
        <w:t>Rec</w:t>
      </w:r>
      <w:r>
        <w:t>ent</w:t>
      </w:r>
      <w:r w:rsidR="00151B44">
        <w:t>ly</w:t>
      </w:r>
      <w:r>
        <w:t xml:space="preserve">, Taylor </w:t>
      </w:r>
      <w:r w:rsidR="00151B44">
        <w:t xml:space="preserve">and colleagues (2016) completed a narrative review and </w:t>
      </w:r>
      <w:r>
        <w:t>demonstrated a tendency towards inhibition of cognition by acute hypoxia</w:t>
      </w:r>
      <w:r w:rsidR="00151B44">
        <w:t>,</w:t>
      </w:r>
      <w:r>
        <w:t xml:space="preserve"> </w:t>
      </w:r>
      <w:r w:rsidR="00151B44">
        <w:t>however these findings were equivocal and inconclusive</w:t>
      </w:r>
      <w:r>
        <w:t xml:space="preserve">. In a review focusing primarily on clinical </w:t>
      </w:r>
      <w:r>
        <w:lastRenderedPageBreak/>
        <w:t xml:space="preserve">neuropsychological measures, Virués-Ortega et al. (2004) showed a tendency for acute hypoxia to induce decrements in psychophysiological measures, e.g. P300 latency and amplitude, but this was not always manifest in outcome measures, e.g. reaction time. </w:t>
      </w:r>
      <w:r w:rsidRPr="001E0F5B">
        <w:t xml:space="preserve">Although </w:t>
      </w:r>
      <w:r w:rsidR="00151B44">
        <w:t>the aforementioned</w:t>
      </w:r>
      <w:r w:rsidR="009A2ABA">
        <w:t xml:space="preserve">, </w:t>
      </w:r>
      <w:r w:rsidR="00151B44">
        <w:t>narrative reviews</w:t>
      </w:r>
      <w:r w:rsidR="00151B44" w:rsidRPr="001E0F5B">
        <w:t xml:space="preserve"> </w:t>
      </w:r>
      <w:r w:rsidRPr="001E0F5B">
        <w:t xml:space="preserve">were unable to </w:t>
      </w:r>
      <w:r w:rsidR="00151B44">
        <w:t>provide</w:t>
      </w:r>
      <w:r w:rsidRPr="001E0F5B">
        <w:t xml:space="preserve"> definitive conclusions, both</w:t>
      </w:r>
      <w:r>
        <w:t xml:space="preserve"> groups of authors observed similar tendencies, </w:t>
      </w:r>
      <w:r w:rsidR="00AF76AA">
        <w:t xml:space="preserve">with </w:t>
      </w:r>
      <w:r>
        <w:t xml:space="preserve">central executive </w:t>
      </w:r>
      <w:r w:rsidR="00F41CAF">
        <w:t xml:space="preserve">tasks demonstrating negative effects while </w:t>
      </w:r>
      <w:r>
        <w:t xml:space="preserve">the non-executive, perception/attention and </w:t>
      </w:r>
      <w:r w:rsidR="00AF76AA">
        <w:t>short-term memory (</w:t>
      </w:r>
      <w:r>
        <w:t>STM</w:t>
      </w:r>
      <w:r w:rsidR="00AF76AA">
        <w:t>)</w:t>
      </w:r>
      <w:r>
        <w:t xml:space="preserve"> tasks </w:t>
      </w:r>
      <w:r w:rsidR="00EB2362">
        <w:t>showed limited effects</w:t>
      </w:r>
      <w:r>
        <w:t xml:space="preserve">. This is in line with studies examining the effects of acute exercise (McMorris &amp; Hale, 2012), heat (Cian et al., 2001; McMorris et al., 2006a) and sleep deprivation (McMorris et al., 2006b) on cognitive </w:t>
      </w:r>
      <w:r w:rsidRPr="009022AA">
        <w:t>function. The findings of Taylor et al. and Virués-Ortega et al. also provide some support for lower PaO</w:t>
      </w:r>
      <w:r w:rsidRPr="009022AA">
        <w:rPr>
          <w:vertAlign w:val="subscript"/>
        </w:rPr>
        <w:t>2</w:t>
      </w:r>
      <w:r w:rsidRPr="009022AA">
        <w:t xml:space="preserve"> resulting in greater inhibition of performance than more moderate levels of PaO</w:t>
      </w:r>
      <w:r w:rsidRPr="009022AA">
        <w:rPr>
          <w:vertAlign w:val="subscript"/>
        </w:rPr>
        <w:t>2</w:t>
      </w:r>
      <w:r w:rsidR="005F58F5" w:rsidRPr="009022AA">
        <w:rPr>
          <w:vertAlign w:val="subscript"/>
        </w:rPr>
        <w:t xml:space="preserve"> </w:t>
      </w:r>
      <w:r w:rsidR="005F58F5" w:rsidRPr="009022AA">
        <w:t xml:space="preserve">(readers not </w:t>
      </w:r>
      <w:r w:rsidR="00E97894" w:rsidRPr="009022AA">
        <w:t>familiar</w:t>
      </w:r>
      <w:r w:rsidR="005F58F5" w:rsidRPr="009022AA">
        <w:t xml:space="preserve"> with PaO</w:t>
      </w:r>
      <w:r w:rsidR="005F58F5" w:rsidRPr="009022AA">
        <w:rPr>
          <w:vertAlign w:val="subscript"/>
        </w:rPr>
        <w:t>2</w:t>
      </w:r>
      <w:r w:rsidR="005F58F5" w:rsidRPr="009022AA">
        <w:t xml:space="preserve"> should note that lower PaO</w:t>
      </w:r>
      <w:r w:rsidR="005F58F5" w:rsidRPr="009022AA">
        <w:rPr>
          <w:vertAlign w:val="subscript"/>
        </w:rPr>
        <w:t>2</w:t>
      </w:r>
      <w:r w:rsidR="005F58F5" w:rsidRPr="009022AA">
        <w:t xml:space="preserve"> means a greater </w:t>
      </w:r>
      <w:r w:rsidR="00E97894" w:rsidRPr="009022AA">
        <w:t xml:space="preserve">negative </w:t>
      </w:r>
      <w:r w:rsidR="005F58F5" w:rsidRPr="009022AA">
        <w:t>effect of hypoxia than moderate levels of PaO</w:t>
      </w:r>
      <w:r w:rsidR="005F58F5" w:rsidRPr="009022AA">
        <w:rPr>
          <w:vertAlign w:val="subscript"/>
        </w:rPr>
        <w:t>2</w:t>
      </w:r>
      <w:r w:rsidR="005F58F5" w:rsidRPr="009022AA">
        <w:t>)</w:t>
      </w:r>
      <w:r w:rsidRPr="009022AA">
        <w:t>. Observation</w:t>
      </w:r>
      <w:r>
        <w:t xml:space="preserve"> of the studies reviewed by these authors also showed that some studies examined the effect of normobaric hypoxia while others utilized hypobaric hypoxia. Research has suggested that the two conditions may well have different effects on stress due to their differing </w:t>
      </w:r>
      <w:r w:rsidR="00E17D9A">
        <w:t>environmental conditions</w:t>
      </w:r>
      <w:r>
        <w:t xml:space="preserve"> (Coppel et al., 2015). To summarize the conclusions of Taylor et al. and Virués-Ortega et al., we could say that the empirical literature </w:t>
      </w:r>
      <w:r w:rsidR="009A2ABA">
        <w:t xml:space="preserve">reviewed </w:t>
      </w:r>
      <w:r>
        <w:t>provide</w:t>
      </w:r>
      <w:r w:rsidR="009A2ABA">
        <w:t>d</w:t>
      </w:r>
      <w:r>
        <w:t xml:space="preserve"> little strong evidence for a significant effect of hypoxia on cognition but the trend is for an inhibitory effect, especially at low levels of PaO</w:t>
      </w:r>
      <w:r w:rsidRPr="001E0F5B">
        <w:rPr>
          <w:vertAlign w:val="subscript"/>
        </w:rPr>
        <w:t>2</w:t>
      </w:r>
      <w:r>
        <w:t xml:space="preserve"> and </w:t>
      </w:r>
      <w:r w:rsidR="00EB2362">
        <w:t xml:space="preserve">mainly </w:t>
      </w:r>
      <w:r>
        <w:t xml:space="preserve">for central executive tasks.  </w:t>
      </w:r>
    </w:p>
    <w:p w:rsidR="00995D6E" w:rsidRDefault="007A6988" w:rsidP="007A6988">
      <w:r>
        <w:tab/>
        <w:t xml:space="preserve">Given that cognition requires oxygen activation at every stage (Virués-Ortega et al., 2004), one might expect hypoxia to have a resounding negative effect and </w:t>
      </w:r>
      <w:r w:rsidR="009A2ABA">
        <w:t xml:space="preserve">that </w:t>
      </w:r>
      <w:r>
        <w:t xml:space="preserve">the failure of the narrative reviews to demonstrate this unequivocally </w:t>
      </w:r>
      <w:r w:rsidR="00995D6E">
        <w:t>is counterintuitive</w:t>
      </w:r>
      <w:r w:rsidRPr="00C00731">
        <w:t xml:space="preserve">. However, </w:t>
      </w:r>
      <w:r>
        <w:t xml:space="preserve">animal studies have shown that </w:t>
      </w:r>
      <w:r w:rsidRPr="00C00731">
        <w:t>when P</w:t>
      </w:r>
      <w:r>
        <w:t>a</w:t>
      </w:r>
      <w:r w:rsidRPr="00C00731">
        <w:t>O</w:t>
      </w:r>
      <w:r w:rsidRPr="00C00731">
        <w:rPr>
          <w:vertAlign w:val="subscript"/>
        </w:rPr>
        <w:t>2</w:t>
      </w:r>
      <w:r w:rsidRPr="00C00731">
        <w:t xml:space="preserve"> falls below ~ 60 mmHg</w:t>
      </w:r>
      <w:r>
        <w:t>,</w:t>
      </w:r>
      <w:r w:rsidRPr="00C00731">
        <w:t xml:space="preserve"> chemoreceptors in the carotid body sense </w:t>
      </w:r>
      <w:r w:rsidRPr="00C00731">
        <w:lastRenderedPageBreak/>
        <w:t>the fall and feedback, via the glossypharyngeal nerve, to the the nucleus tractus solitarii (NTS), where they activate</w:t>
      </w:r>
      <w:r w:rsidRPr="00604E26">
        <w:t xml:space="preserve"> tyrosine hydroxylase (TH)-containing catecholaminergic neurons</w:t>
      </w:r>
      <w:r>
        <w:t>. The NTS</w:t>
      </w:r>
      <w:r w:rsidRPr="00604E26">
        <w:t xml:space="preserve"> project</w:t>
      </w:r>
      <w:r>
        <w:t>s</w:t>
      </w:r>
      <w:r w:rsidRPr="00604E26">
        <w:t xml:space="preserve"> to the ventrolateral medulla (VLM</w:t>
      </w:r>
      <w:r w:rsidRPr="00D90BCA">
        <w:t>) (Guyenet et al., 2013) and the paraventricular nucleus of the hypothalamus (King et al., 2013; Rinaman, 2011), regions important in the control of autonomic functions. This results in the release of the</w:t>
      </w:r>
      <w:r w:rsidRPr="00604E26">
        <w:t xml:space="preserve"> catecholamine neurotransmitters N</w:t>
      </w:r>
      <w:r>
        <w:t>E</w:t>
      </w:r>
      <w:r w:rsidRPr="00604E26">
        <w:t xml:space="preserve"> and </w:t>
      </w:r>
      <w:r>
        <w:t>Epi</w:t>
      </w:r>
      <w:r w:rsidRPr="00604E26">
        <w:t>. Moreover, catecholaminergic neurons also project to the locus coeruleus (</w:t>
      </w:r>
      <w:r w:rsidRPr="00D90BCA">
        <w:t>LC) (Abbott et al., 201</w:t>
      </w:r>
      <w:r>
        <w:t>2</w:t>
      </w:r>
      <w:r w:rsidRPr="00D90BCA">
        <w:t>; Guyenet et al., 2013), which is the main source of N</w:t>
      </w:r>
      <w:r>
        <w:t>E</w:t>
      </w:r>
      <w:r w:rsidRPr="00D90BCA">
        <w:t xml:space="preserve"> in the brain. Release of N</w:t>
      </w:r>
      <w:r>
        <w:t>E</w:t>
      </w:r>
      <w:r w:rsidRPr="00604E26">
        <w:t xml:space="preserve"> has been shown to increase Ca</w:t>
      </w:r>
      <w:r w:rsidRPr="00604E26">
        <w:rPr>
          <w:vertAlign w:val="superscript"/>
        </w:rPr>
        <w:t>2+</w:t>
      </w:r>
      <w:r w:rsidRPr="00604E26">
        <w:t xml:space="preserve"> signaling in astrocytes</w:t>
      </w:r>
      <w:r>
        <w:t>,</w:t>
      </w:r>
      <w:r w:rsidRPr="00604E26">
        <w:t xml:space="preserve"> which is associated with the release of vasodilatory astroglial messengers</w:t>
      </w:r>
      <w:r>
        <w:t>;</w:t>
      </w:r>
      <w:r w:rsidRPr="00604E26">
        <w:t xml:space="preserve"> dilatation of brain microvessels</w:t>
      </w:r>
      <w:r>
        <w:t>;</w:t>
      </w:r>
      <w:r w:rsidRPr="00604E26">
        <w:t xml:space="preserve"> and, hence, increases in cerebral blood flow (</w:t>
      </w:r>
      <w:r w:rsidRPr="00D90BCA">
        <w:t>CBF) (Toussay et al., 2013). Similarly</w:t>
      </w:r>
      <w:r w:rsidRPr="00604E26">
        <w:t xml:space="preserve">, </w:t>
      </w:r>
      <w:r>
        <w:t xml:space="preserve">during hypoxia, </w:t>
      </w:r>
      <w:r w:rsidRPr="00604E26">
        <w:t>feedback</w:t>
      </w:r>
      <w:r>
        <w:t xml:space="preserve"> to the NTS</w:t>
      </w:r>
      <w:r w:rsidRPr="00604E26">
        <w:t xml:space="preserve"> from visceral afferents and carotid body arterial chemoreceptors has been shown to activate </w:t>
      </w:r>
      <w:r w:rsidRPr="00D90BCA">
        <w:t>non-TH</w:t>
      </w:r>
      <w:r w:rsidR="00FD6095">
        <w:t>-</w:t>
      </w:r>
      <w:r w:rsidRPr="00D90BCA">
        <w:t>containing neurons. These non-catecholaminergic neurons project to the rostral VLM (Guyenet et al., 2013) and</w:t>
      </w:r>
      <w:r w:rsidR="00716550">
        <w:t>,</w:t>
      </w:r>
      <w:r w:rsidRPr="00D90BCA">
        <w:t xml:space="preserve"> also</w:t>
      </w:r>
      <w:r w:rsidR="00716550">
        <w:t>,</w:t>
      </w:r>
      <w:r w:rsidRPr="00D90BCA">
        <w:t xml:space="preserve"> stimulate the brain’s response to hypoxia. Moreover, adenosine, which is released from the carotid body during hypoxia, plays a role in increasing CBF by stimulating the release of nitric oxide (NO) from vascular endothelium vessels (Ray et al., 2002). NO, mediated by its second messenger cyclic guanosine monophosphate, plays a major role in vasodilation during hypoxia (Umbrello et al., 2012).</w:t>
      </w:r>
      <w:r w:rsidR="00995D6E">
        <w:t xml:space="preserve"> These h</w:t>
      </w:r>
      <w:r>
        <w:t>ypoxia-induced increase</w:t>
      </w:r>
      <w:r w:rsidR="00995D6E">
        <w:t>s</w:t>
      </w:r>
      <w:r>
        <w:t xml:space="preserve"> in CBF may account for the </w:t>
      </w:r>
      <w:r w:rsidRPr="00E33EAB">
        <w:t xml:space="preserve">apparent disparity between </w:t>
      </w:r>
      <w:r>
        <w:t xml:space="preserve">the empirical research </w:t>
      </w:r>
      <w:r w:rsidRPr="00E33EAB">
        <w:t xml:space="preserve">results </w:t>
      </w:r>
      <w:r>
        <w:t>reviewed by Taylor et al. (2016) and Virués-Ortega et al. and what one would expect based on the importance of oxygen during cognition and the lack of it during hypoxia. In other words, increased CBF during hypoxia compensates for lower PaO</w:t>
      </w:r>
      <w:r w:rsidRPr="007B3767">
        <w:rPr>
          <w:vertAlign w:val="subscript"/>
        </w:rPr>
        <w:t>2</w:t>
      </w:r>
      <w:r>
        <w:t xml:space="preserve">. </w:t>
      </w:r>
      <w:r w:rsidRPr="007B3767">
        <w:t xml:space="preserve">However, several authors have questioned the ability of increases in </w:t>
      </w:r>
      <w:r>
        <w:t xml:space="preserve">hypoxia-induced </w:t>
      </w:r>
      <w:r w:rsidRPr="007B3767">
        <w:t>CBF</w:t>
      </w:r>
      <w:r>
        <w:t xml:space="preserve"> </w:t>
      </w:r>
      <w:r w:rsidRPr="007B3767">
        <w:t xml:space="preserve">to ensure a sufficient supply of </w:t>
      </w:r>
      <w:r>
        <w:t>oxygen</w:t>
      </w:r>
      <w:r w:rsidRPr="007B3767">
        <w:t xml:space="preserve"> for </w:t>
      </w:r>
      <w:r w:rsidRPr="007B3767">
        <w:lastRenderedPageBreak/>
        <w:t>proficient performance of many tasks</w:t>
      </w:r>
      <w:r>
        <w:t>,</w:t>
      </w:r>
      <w:r w:rsidRPr="007B3767">
        <w:t xml:space="preserve"> including cognitive </w:t>
      </w:r>
      <w:r w:rsidRPr="00D90BCA">
        <w:t xml:space="preserve">functioning (Binks et al., 2008; Ogoh et al., 2013; 2014). </w:t>
      </w:r>
    </w:p>
    <w:p w:rsidR="007A6988" w:rsidRDefault="00995D6E" w:rsidP="00995D6E">
      <w:pPr>
        <w:rPr>
          <w:highlight w:val="yellow"/>
        </w:rPr>
      </w:pPr>
      <w:r>
        <w:tab/>
      </w:r>
      <w:r w:rsidR="007A6988" w:rsidRPr="00D90BCA">
        <w:t>E</w:t>
      </w:r>
      <w:r w:rsidR="007A6988" w:rsidRPr="007B3767">
        <w:t>xamination of the</w:t>
      </w:r>
      <w:r w:rsidR="007A6988">
        <w:t xml:space="preserve"> results of the </w:t>
      </w:r>
      <w:r w:rsidR="007A6988" w:rsidRPr="007B3767">
        <w:t xml:space="preserve">studies reviewed by Taylor et al. </w:t>
      </w:r>
      <w:r>
        <w:t xml:space="preserve">(2016) </w:t>
      </w:r>
      <w:r w:rsidR="007A6988" w:rsidRPr="007B3767">
        <w:t xml:space="preserve">and Virués-Ortega et al. </w:t>
      </w:r>
      <w:r>
        <w:t xml:space="preserve">(2004) </w:t>
      </w:r>
      <w:r w:rsidR="007A6988" w:rsidRPr="007B3767">
        <w:t>also raises questions concerning the ability of hypoxia-induced increased CBF to ensure maintenance of cognitive performance.</w:t>
      </w:r>
      <w:r w:rsidR="007A6988">
        <w:t xml:space="preserve"> Moreover, that many of the studies reviewed </w:t>
      </w:r>
      <w:r w:rsidR="007A6988" w:rsidRPr="00E33EAB">
        <w:t>had small sample sizes leads one to question their power</w:t>
      </w:r>
      <w:r w:rsidR="007A6988">
        <w:t xml:space="preserve"> and it is distinctly possible that, at least, some of these studies displayed Type II errors, which hid a significant deterioration in cognition. We, therefore, decided to carry out a </w:t>
      </w:r>
      <w:r w:rsidR="00AF76AA">
        <w:t xml:space="preserve">systematic </w:t>
      </w:r>
      <w:r w:rsidR="007A6988">
        <w:t xml:space="preserve">meta-regression analysis, </w:t>
      </w:r>
      <w:r w:rsidR="007A6988" w:rsidRPr="00E33EAB">
        <w:t>which place</w:t>
      </w:r>
      <w:r w:rsidR="007A6988">
        <w:t>s</w:t>
      </w:r>
      <w:r w:rsidR="007A6988" w:rsidRPr="00E33EAB">
        <w:t xml:space="preserve"> the emphasis on effect sizes</w:t>
      </w:r>
      <w:r w:rsidR="007A6988">
        <w:t xml:space="preserve"> rather than probability levels,</w:t>
      </w:r>
      <w:r w:rsidR="007A6988" w:rsidRPr="00E33EAB">
        <w:t xml:space="preserve"> </w:t>
      </w:r>
      <w:r w:rsidR="007A6988">
        <w:t>thus</w:t>
      </w:r>
      <w:r w:rsidR="007A6988" w:rsidRPr="00E33EAB">
        <w:t xml:space="preserve"> compensat</w:t>
      </w:r>
      <w:r w:rsidR="007A6988">
        <w:t>ing</w:t>
      </w:r>
      <w:r w:rsidR="007A6988" w:rsidRPr="00E33EAB">
        <w:t xml:space="preserve"> for low power. </w:t>
      </w:r>
      <w:r w:rsidR="007A6988">
        <w:t>It</w:t>
      </w:r>
      <w:r w:rsidR="007A6988" w:rsidRPr="00E33EAB">
        <w:t xml:space="preserve"> also allow</w:t>
      </w:r>
      <w:r w:rsidR="007A6988">
        <w:t>s</w:t>
      </w:r>
      <w:r w:rsidR="007A6988" w:rsidRPr="00E33EAB">
        <w:t xml:space="preserve"> us to </w:t>
      </w:r>
      <w:r w:rsidR="007A6988">
        <w:t>examine the effects of potential modulators on the findings. As a</w:t>
      </w:r>
      <w:r w:rsidR="00716550">
        <w:t xml:space="preserve"> </w:t>
      </w:r>
      <w:r w:rsidR="007A6988">
        <w:t xml:space="preserve">result, firstly, we undertook a test to </w:t>
      </w:r>
      <w:r w:rsidR="007A6988" w:rsidRPr="009C1F60">
        <w:t>determine the mean effect size for the effect</w:t>
      </w:r>
      <w:r w:rsidR="007A6988">
        <w:t>s</w:t>
      </w:r>
      <w:r w:rsidR="007A6988" w:rsidRPr="009C1F60">
        <w:t xml:space="preserve"> of </w:t>
      </w:r>
      <w:r w:rsidR="007A6988">
        <w:t xml:space="preserve">acute </w:t>
      </w:r>
      <w:r w:rsidR="007A6988" w:rsidRPr="009C1F60">
        <w:t>hypoxia on cognition</w:t>
      </w:r>
      <w:r w:rsidR="007A6988" w:rsidRPr="00D33BD2">
        <w:t>. Based on the literature</w:t>
      </w:r>
      <w:r w:rsidR="00AF76AA">
        <w:t>,</w:t>
      </w:r>
      <w:r w:rsidR="007A6988" w:rsidRPr="00D33BD2">
        <w:t xml:space="preserve"> outlined above</w:t>
      </w:r>
      <w:r w:rsidR="007A6988">
        <w:t>,</w:t>
      </w:r>
      <w:r w:rsidR="007A6988" w:rsidRPr="00D33BD2">
        <w:t xml:space="preserve"> concerning increased CBF and the results of the narrative reviews, we hypothesized a significant, </w:t>
      </w:r>
      <w:r w:rsidR="00DD2B3B">
        <w:t xml:space="preserve">main effect of hypoxia on cognition, with a </w:t>
      </w:r>
      <w:r w:rsidR="007A6988" w:rsidRPr="00D33BD2">
        <w:t xml:space="preserve">negative </w:t>
      </w:r>
      <w:r w:rsidR="007A6988">
        <w:t xml:space="preserve">mean </w:t>
      </w:r>
      <w:r w:rsidR="007A6988" w:rsidRPr="00D33BD2">
        <w:t>effect size be</w:t>
      </w:r>
      <w:r w:rsidR="00DD2B3B">
        <w:t>ing</w:t>
      </w:r>
      <w:r w:rsidR="007A6988" w:rsidRPr="00D33BD2">
        <w:t xml:space="preserve"> demonstrated. Similarly, given that both sets of reviewers argued that results showed a trend for a</w:t>
      </w:r>
      <w:r w:rsidR="00DD2B3B">
        <w:t xml:space="preserve">n </w:t>
      </w:r>
      <w:r w:rsidR="007A6988" w:rsidRPr="00D33BD2">
        <w:t>effect of task type and that research into stress</w:t>
      </w:r>
      <w:r w:rsidR="007A6988">
        <w:t>, in general,</w:t>
      </w:r>
      <w:r w:rsidR="007A6988" w:rsidRPr="00D33BD2">
        <w:t xml:space="preserve"> on animals demonstrates such an </w:t>
      </w:r>
      <w:r w:rsidR="007A6988" w:rsidRPr="0019669D">
        <w:t>effect (see Arnsten, 2009; 2011</w:t>
      </w:r>
      <w:r w:rsidR="007A6988" w:rsidRPr="00D33BD2">
        <w:t xml:space="preserve">), our second hypothesis was that </w:t>
      </w:r>
      <w:r w:rsidR="007A6988">
        <w:t xml:space="preserve">central executive tasks </w:t>
      </w:r>
      <w:r w:rsidR="00177DB0">
        <w:t>would be</w:t>
      </w:r>
      <w:r w:rsidR="0073563C">
        <w:t xml:space="preserve"> significantly </w:t>
      </w:r>
      <w:r w:rsidR="00177DB0">
        <w:t xml:space="preserve">more negatively affected than </w:t>
      </w:r>
      <w:r w:rsidR="007A6988" w:rsidRPr="00D33BD2">
        <w:t>non-executive, perception/attention and STM tasks. Our third hypothesis was that low P</w:t>
      </w:r>
      <w:r w:rsidR="007A6988">
        <w:t>a</w:t>
      </w:r>
      <w:r w:rsidR="007A6988" w:rsidRPr="00D33BD2">
        <w:t>O</w:t>
      </w:r>
      <w:r w:rsidR="007A6988" w:rsidRPr="00D33BD2">
        <w:rPr>
          <w:vertAlign w:val="subscript"/>
        </w:rPr>
        <w:t>2</w:t>
      </w:r>
      <w:r w:rsidR="007A6988" w:rsidRPr="00D33BD2">
        <w:t xml:space="preserve"> would </w:t>
      </w:r>
      <w:r w:rsidR="007A6988">
        <w:t xml:space="preserve">predict a </w:t>
      </w:r>
      <w:r w:rsidR="007A6988" w:rsidRPr="00D33BD2">
        <w:t>larger, negative mean effect size than moderate P</w:t>
      </w:r>
      <w:r w:rsidR="007A6988">
        <w:t>a</w:t>
      </w:r>
      <w:r w:rsidR="007A6988" w:rsidRPr="00D33BD2">
        <w:t>O</w:t>
      </w:r>
      <w:r w:rsidR="007A6988" w:rsidRPr="00D33BD2">
        <w:rPr>
          <w:vertAlign w:val="subscript"/>
        </w:rPr>
        <w:t>2</w:t>
      </w:r>
      <w:r w:rsidR="007A6988" w:rsidRPr="00D33BD2">
        <w:t xml:space="preserve">. This was based on the fact that the level for moderate hypoxia, which we designated for this study, </w:t>
      </w:r>
      <w:r w:rsidR="007A6988">
        <w:t>might</w:t>
      </w:r>
      <w:r w:rsidR="007A6988" w:rsidRPr="00D33BD2">
        <w:t xml:space="preserve"> not induce feedback by the carotid body to the NTS (</w:t>
      </w:r>
      <w:r w:rsidR="007A6988">
        <w:t>Virués-Ortega et al., 2004; West, 2004</w:t>
      </w:r>
      <w:r w:rsidR="007A6988" w:rsidRPr="00D33BD2">
        <w:t>) and, hence, alter neurotransmitter activity in the</w:t>
      </w:r>
      <w:r w:rsidR="007A6988">
        <w:t xml:space="preserve"> brain</w:t>
      </w:r>
      <w:r w:rsidR="007A6988" w:rsidRPr="00D33BD2">
        <w:t xml:space="preserve">. </w:t>
      </w:r>
      <w:r w:rsidR="000F3125">
        <w:t>Finally</w:t>
      </w:r>
      <w:r w:rsidR="007A6988">
        <w:t xml:space="preserve">, we hypothesized that hypobaric hypoxia would predict poorer cognitive functioning than during normobaric conditions. </w:t>
      </w:r>
      <w:r w:rsidR="007A6988" w:rsidRPr="00D33BD2">
        <w:t xml:space="preserve">We also decided </w:t>
      </w:r>
      <w:r w:rsidR="007A6988" w:rsidRPr="00D33BD2">
        <w:lastRenderedPageBreak/>
        <w:t>to examine the possibility of an interaction effect between P</w:t>
      </w:r>
      <w:r w:rsidR="007A6988">
        <w:t>a</w:t>
      </w:r>
      <w:r w:rsidR="007A6988" w:rsidRPr="00D33BD2">
        <w:t>O</w:t>
      </w:r>
      <w:r w:rsidR="007A6988" w:rsidRPr="00D33BD2">
        <w:rPr>
          <w:vertAlign w:val="subscript"/>
        </w:rPr>
        <w:t>2</w:t>
      </w:r>
      <w:r w:rsidR="007A6988" w:rsidRPr="00D33BD2">
        <w:t xml:space="preserve"> level and </w:t>
      </w:r>
      <w:r w:rsidR="007A6988">
        <w:t xml:space="preserve">normobaric/hypobaric conditions. </w:t>
      </w:r>
      <w:r w:rsidR="007A6988">
        <w:rPr>
          <w:highlight w:val="yellow"/>
        </w:rPr>
        <w:t xml:space="preserve"> </w:t>
      </w:r>
    </w:p>
    <w:p w:rsidR="007A6988" w:rsidRPr="00716550" w:rsidRDefault="0092761B" w:rsidP="007A6988">
      <w:r w:rsidRPr="00716550">
        <w:t xml:space="preserve">2. </w:t>
      </w:r>
      <w:r w:rsidR="007A6988" w:rsidRPr="00716550">
        <w:t>Method</w:t>
      </w:r>
    </w:p>
    <w:p w:rsidR="007A6988" w:rsidRDefault="007A6988" w:rsidP="007A6988">
      <w:pPr>
        <w:autoSpaceDE w:val="0"/>
        <w:autoSpaceDN w:val="0"/>
        <w:adjustRightInd w:val="0"/>
      </w:pPr>
      <w:r w:rsidRPr="008F6899">
        <w:rPr>
          <w:b/>
          <w:lang w:eastAsia="en-GB"/>
        </w:rPr>
        <w:tab/>
      </w:r>
      <w:r w:rsidRPr="008F6899">
        <w:t xml:space="preserve">A </w:t>
      </w:r>
      <w:r w:rsidR="002F2B1B">
        <w:t xml:space="preserve">systematic </w:t>
      </w:r>
      <w:r w:rsidRPr="008F6899">
        <w:t>literature search</w:t>
      </w:r>
      <w:r>
        <w:t>,</w:t>
      </w:r>
      <w:r w:rsidRPr="008F6899">
        <w:t xml:space="preserve"> using the </w:t>
      </w:r>
      <w:r w:rsidR="002F2B1B">
        <w:t>following</w:t>
      </w:r>
      <w:r w:rsidRPr="008F6899">
        <w:t xml:space="preserve"> data bases</w:t>
      </w:r>
      <w:r w:rsidR="00716550">
        <w:t>,</w:t>
      </w:r>
      <w:r w:rsidRPr="008F6899">
        <w:t xml:space="preserve"> Pubmed, </w:t>
      </w:r>
      <w:r>
        <w:t xml:space="preserve">SCOPUS, </w:t>
      </w:r>
      <w:r w:rsidRPr="008F6899">
        <w:t>SportsDISCUS and Web of Knowledge</w:t>
      </w:r>
      <w:r>
        <w:t>,</w:t>
      </w:r>
      <w:r w:rsidRPr="008F6899">
        <w:t xml:space="preserve"> was undertaken. </w:t>
      </w:r>
      <w:r w:rsidR="00151B44">
        <w:t>Each database was searched from their earliest avail</w:t>
      </w:r>
      <w:r w:rsidR="00590482">
        <w:t>ab</w:t>
      </w:r>
      <w:r w:rsidR="00151B44">
        <w:t xml:space="preserve">le record </w:t>
      </w:r>
      <w:r w:rsidR="002F2B1B">
        <w:t xml:space="preserve">up to September 2016. </w:t>
      </w:r>
      <w:r w:rsidRPr="008F6899">
        <w:t xml:space="preserve">Key words used in the searches were combinations of </w:t>
      </w:r>
      <w:r>
        <w:t xml:space="preserve">“altitude”, “attention”, “central executive”, “cognition”, “hypobaric”, “hypoxia”, “learning”, “long-term memory”, “normobaric”, “perception”, “short-term memory” and “working memory”, </w:t>
      </w:r>
      <w:r w:rsidRPr="008F6899">
        <w:t>In addition, reference lists from empirical reports and reviews were examined</w:t>
      </w:r>
      <w:r w:rsidR="002F2B1B">
        <w:t xml:space="preserve"> and screened for eligibility</w:t>
      </w:r>
      <w:r w:rsidRPr="008F6899">
        <w:t xml:space="preserve">. Studies were included if they were performed on healthy </w:t>
      </w:r>
      <w:r w:rsidR="002F2B1B">
        <w:t>humans</w:t>
      </w:r>
      <w:r w:rsidRPr="008F6899">
        <w:t xml:space="preserve">; within-subject design was used; data were </w:t>
      </w:r>
      <w:r>
        <w:t>reported giving the PaO</w:t>
      </w:r>
      <w:r w:rsidRPr="002C37C0">
        <w:rPr>
          <w:vertAlign w:val="subscript"/>
        </w:rPr>
        <w:t>2</w:t>
      </w:r>
      <w:r>
        <w:t xml:space="preserve"> or that allowed the PaO</w:t>
      </w:r>
      <w:r w:rsidRPr="002C37C0">
        <w:rPr>
          <w:vertAlign w:val="subscript"/>
        </w:rPr>
        <w:t>2</w:t>
      </w:r>
      <w:r>
        <w:t xml:space="preserve"> to be estimated </w:t>
      </w:r>
      <w:r w:rsidRPr="003D7D51">
        <w:t xml:space="preserve">(e.g. arterial oxygen saturation and/or altitude); </w:t>
      </w:r>
      <w:r w:rsidR="00D11754">
        <w:t xml:space="preserve">and </w:t>
      </w:r>
      <w:r w:rsidRPr="008C695A">
        <w:t xml:space="preserve">the duration of being in a hypoxic state prior to cognitive testing was </w:t>
      </w:r>
      <w:r w:rsidR="00D11754" w:rsidRPr="008C695A">
        <w:t xml:space="preserve">≤ </w:t>
      </w:r>
      <w:r w:rsidR="00590482">
        <w:t>6</w:t>
      </w:r>
      <w:r w:rsidR="00D11754" w:rsidRPr="008C695A">
        <w:t xml:space="preserve"> days</w:t>
      </w:r>
      <w:r w:rsidRPr="008C695A">
        <w:t>. Studies in which another independent</w:t>
      </w:r>
      <w:r>
        <w:t xml:space="preserve"> variable was simultaneously administered to the participants (e.g. sleep deprivation) were not included although control conditions, which consisted of hypoxia alone, </w:t>
      </w:r>
      <w:r w:rsidR="002F2B1B">
        <w:t>were</w:t>
      </w:r>
      <w:r>
        <w:t xml:space="preserve"> included. </w:t>
      </w:r>
      <w:r w:rsidR="002F2B1B">
        <w:t>English language restrictions were applied.</w:t>
      </w:r>
    </w:p>
    <w:p w:rsidR="008C379C" w:rsidRPr="0092761B" w:rsidRDefault="0092761B" w:rsidP="008C379C">
      <w:pPr>
        <w:autoSpaceDE w:val="0"/>
        <w:autoSpaceDN w:val="0"/>
        <w:adjustRightInd w:val="0"/>
        <w:rPr>
          <w:szCs w:val="20"/>
          <w:lang w:val="en-GB"/>
        </w:rPr>
      </w:pPr>
      <w:r w:rsidRPr="0092761B">
        <w:rPr>
          <w:szCs w:val="20"/>
          <w:lang w:val="en-GB"/>
        </w:rPr>
        <w:t xml:space="preserve">2.1. </w:t>
      </w:r>
      <w:r w:rsidR="008C379C" w:rsidRPr="0092761B">
        <w:rPr>
          <w:szCs w:val="20"/>
          <w:lang w:val="en-GB"/>
        </w:rPr>
        <w:t xml:space="preserve">Selection of </w:t>
      </w:r>
      <w:r w:rsidR="00716550">
        <w:rPr>
          <w:szCs w:val="20"/>
          <w:lang w:val="en-GB"/>
        </w:rPr>
        <w:t>s</w:t>
      </w:r>
      <w:r w:rsidR="008C379C" w:rsidRPr="0092761B">
        <w:rPr>
          <w:szCs w:val="20"/>
          <w:lang w:val="en-GB"/>
        </w:rPr>
        <w:t>tudies</w:t>
      </w:r>
    </w:p>
    <w:p w:rsidR="008C379C" w:rsidRDefault="004F01E5" w:rsidP="004F01E5">
      <w:pPr>
        <w:autoSpaceDE w:val="0"/>
        <w:autoSpaceDN w:val="0"/>
        <w:adjustRightInd w:val="0"/>
        <w:jc w:val="both"/>
        <w:rPr>
          <w:szCs w:val="20"/>
          <w:lang w:val="en-GB"/>
        </w:rPr>
      </w:pPr>
      <w:r>
        <w:rPr>
          <w:szCs w:val="20"/>
          <w:lang w:val="en-GB"/>
        </w:rPr>
        <w:tab/>
      </w:r>
      <w:r w:rsidR="008C379C" w:rsidRPr="00436678">
        <w:rPr>
          <w:szCs w:val="20"/>
          <w:lang w:val="en-GB"/>
        </w:rPr>
        <w:t>T</w:t>
      </w:r>
      <w:r w:rsidR="008C379C">
        <w:rPr>
          <w:szCs w:val="20"/>
          <w:lang w:val="en-GB"/>
        </w:rPr>
        <w:t>hree</w:t>
      </w:r>
      <w:r w:rsidR="008C379C" w:rsidRPr="00436678">
        <w:rPr>
          <w:szCs w:val="20"/>
          <w:lang w:val="en-GB"/>
        </w:rPr>
        <w:t xml:space="preserve"> </w:t>
      </w:r>
      <w:r w:rsidR="00716550">
        <w:rPr>
          <w:szCs w:val="20"/>
          <w:lang w:val="en-GB"/>
        </w:rPr>
        <w:t xml:space="preserve">of the </w:t>
      </w:r>
      <w:r w:rsidR="008C379C" w:rsidRPr="00436678">
        <w:rPr>
          <w:szCs w:val="20"/>
          <w:lang w:val="en-GB"/>
        </w:rPr>
        <w:t xml:space="preserve">authors selected trials for inclusion. The titles and abstracts of publications obtained by the search strategy were screened. All trials classified as relevant by </w:t>
      </w:r>
      <w:r w:rsidR="008C379C">
        <w:rPr>
          <w:szCs w:val="20"/>
          <w:lang w:val="en-GB"/>
        </w:rPr>
        <w:t>any</w:t>
      </w:r>
      <w:r w:rsidR="008C379C" w:rsidRPr="00436678">
        <w:rPr>
          <w:szCs w:val="20"/>
          <w:lang w:val="en-GB"/>
        </w:rPr>
        <w:t xml:space="preserve"> of the authors were retrieved. Based on the information within the full reports, we used a standardized form to select the trials eligible for inclusion in the review. </w:t>
      </w:r>
    </w:p>
    <w:p w:rsidR="008C379C" w:rsidRPr="0092761B" w:rsidRDefault="0092761B" w:rsidP="008C379C">
      <w:pPr>
        <w:autoSpaceDE w:val="0"/>
        <w:autoSpaceDN w:val="0"/>
        <w:adjustRightInd w:val="0"/>
        <w:jc w:val="both"/>
        <w:rPr>
          <w:szCs w:val="20"/>
          <w:lang w:val="en-GB"/>
        </w:rPr>
      </w:pPr>
      <w:r>
        <w:rPr>
          <w:szCs w:val="20"/>
          <w:lang w:val="en-GB"/>
        </w:rPr>
        <w:t xml:space="preserve">2.2 </w:t>
      </w:r>
      <w:r w:rsidR="008C379C" w:rsidRPr="0092761B">
        <w:rPr>
          <w:szCs w:val="20"/>
          <w:lang w:val="en-GB"/>
        </w:rPr>
        <w:t xml:space="preserve">Data </w:t>
      </w:r>
      <w:r w:rsidR="00716550">
        <w:rPr>
          <w:szCs w:val="20"/>
          <w:lang w:val="en-GB"/>
        </w:rPr>
        <w:t>e</w:t>
      </w:r>
      <w:r w:rsidR="008C379C" w:rsidRPr="0092761B">
        <w:rPr>
          <w:szCs w:val="20"/>
          <w:lang w:val="en-GB"/>
        </w:rPr>
        <w:t xml:space="preserve">xtraction and </w:t>
      </w:r>
      <w:r w:rsidR="00716550">
        <w:rPr>
          <w:szCs w:val="20"/>
          <w:lang w:val="en-GB"/>
        </w:rPr>
        <w:t>m</w:t>
      </w:r>
      <w:r w:rsidR="008C379C" w:rsidRPr="0092761B">
        <w:rPr>
          <w:szCs w:val="20"/>
          <w:lang w:val="en-GB"/>
        </w:rPr>
        <w:t>anagement</w:t>
      </w:r>
    </w:p>
    <w:p w:rsidR="008C379C" w:rsidRPr="008F6899" w:rsidRDefault="004F01E5" w:rsidP="004F01E5">
      <w:pPr>
        <w:autoSpaceDE w:val="0"/>
        <w:autoSpaceDN w:val="0"/>
        <w:adjustRightInd w:val="0"/>
      </w:pPr>
      <w:r>
        <w:rPr>
          <w:szCs w:val="20"/>
          <w:lang w:val="en-GB"/>
        </w:rPr>
        <w:lastRenderedPageBreak/>
        <w:tab/>
      </w:r>
      <w:r w:rsidR="008C379C" w:rsidRPr="00333680">
        <w:rPr>
          <w:szCs w:val="20"/>
          <w:lang w:val="en-GB"/>
        </w:rPr>
        <w:t xml:space="preserve">Data were extracted </w:t>
      </w:r>
      <w:r w:rsidR="008C379C">
        <w:rPr>
          <w:szCs w:val="20"/>
          <w:lang w:val="en-GB"/>
        </w:rPr>
        <w:t xml:space="preserve">using a customized and predetermined form. </w:t>
      </w:r>
      <w:r w:rsidR="008C379C" w:rsidRPr="00333680">
        <w:rPr>
          <w:szCs w:val="20"/>
          <w:lang w:val="en-GB"/>
        </w:rPr>
        <w:t>This was used to extract relevant data on methodological</w:t>
      </w:r>
      <w:r w:rsidR="008C379C">
        <w:rPr>
          <w:szCs w:val="20"/>
          <w:lang w:val="en-GB"/>
        </w:rPr>
        <w:t xml:space="preserve"> </w:t>
      </w:r>
      <w:r w:rsidR="008C379C" w:rsidRPr="00333680">
        <w:rPr>
          <w:szCs w:val="20"/>
          <w:lang w:val="en-GB"/>
        </w:rPr>
        <w:t>design, eligibility criteria, interventions</w:t>
      </w:r>
      <w:r w:rsidR="008C379C">
        <w:rPr>
          <w:szCs w:val="20"/>
          <w:lang w:val="en-GB"/>
        </w:rPr>
        <w:t xml:space="preserve"> </w:t>
      </w:r>
      <w:r w:rsidR="008C379C" w:rsidRPr="00333680">
        <w:rPr>
          <w:szCs w:val="20"/>
          <w:lang w:val="en-GB"/>
        </w:rPr>
        <w:t xml:space="preserve">(including detailed characteristics of the </w:t>
      </w:r>
      <w:r w:rsidR="008C379C">
        <w:rPr>
          <w:szCs w:val="20"/>
          <w:lang w:val="en-GB"/>
        </w:rPr>
        <w:t xml:space="preserve">hypoxic exposure </w:t>
      </w:r>
      <w:r w:rsidR="008C379C" w:rsidRPr="00333680">
        <w:rPr>
          <w:szCs w:val="20"/>
          <w:lang w:val="en-GB"/>
        </w:rPr>
        <w:t>protocols), comparisons and outcome measures.</w:t>
      </w:r>
      <w:r w:rsidR="00590482">
        <w:rPr>
          <w:szCs w:val="20"/>
          <w:lang w:val="en-GB"/>
        </w:rPr>
        <w:t xml:space="preserve"> </w:t>
      </w:r>
      <w:r w:rsidR="008C379C" w:rsidRPr="00333680">
        <w:rPr>
          <w:szCs w:val="20"/>
          <w:lang w:val="en-GB"/>
        </w:rPr>
        <w:t>There</w:t>
      </w:r>
      <w:r w:rsidR="008C379C">
        <w:rPr>
          <w:szCs w:val="20"/>
          <w:lang w:val="en-GB"/>
        </w:rPr>
        <w:t xml:space="preserve"> </w:t>
      </w:r>
      <w:r w:rsidR="008C379C" w:rsidRPr="00333680">
        <w:rPr>
          <w:szCs w:val="20"/>
          <w:lang w:val="en-GB"/>
        </w:rPr>
        <w:t>was no blinding to study author, institution or</w:t>
      </w:r>
      <w:r w:rsidR="008C379C">
        <w:rPr>
          <w:szCs w:val="20"/>
          <w:lang w:val="en-GB"/>
        </w:rPr>
        <w:t xml:space="preserve"> </w:t>
      </w:r>
      <w:r w:rsidR="008C379C" w:rsidRPr="00333680">
        <w:rPr>
          <w:szCs w:val="20"/>
          <w:lang w:val="en-GB"/>
        </w:rPr>
        <w:t>journal at this stage.</w:t>
      </w:r>
    </w:p>
    <w:p w:rsidR="007A6988" w:rsidRPr="004F01E5" w:rsidRDefault="0092761B" w:rsidP="007A6988">
      <w:r w:rsidRPr="004F01E5">
        <w:rPr>
          <w:lang w:val="en-GB"/>
        </w:rPr>
        <w:t xml:space="preserve">2.3. </w:t>
      </w:r>
      <w:r w:rsidR="007A6988" w:rsidRPr="004F01E5">
        <w:rPr>
          <w:lang w:val="en-GB"/>
        </w:rPr>
        <w:t>Data analyses</w:t>
      </w:r>
    </w:p>
    <w:p w:rsidR="007A6988" w:rsidRDefault="007A6988" w:rsidP="007A6988">
      <w:r w:rsidRPr="004F01E5">
        <w:tab/>
        <w:t xml:space="preserve">A mixed effects model, with random effects to combine the studies within each subgroup of dependent variables (central executive tasks, perception/attention tasks and STM tasks) and fixed effects to combine subgroups to yield the </w:t>
      </w:r>
      <w:r w:rsidR="00DD2B3B">
        <w:t>main</w:t>
      </w:r>
      <w:r w:rsidRPr="004F01E5">
        <w:t xml:space="preserve"> effect, was carried out. Study to study variance was not assumed to be the same and computed within subgroups not pooled across them. The moderators, moderate versus low PaO</w:t>
      </w:r>
      <w:r w:rsidRPr="004F01E5">
        <w:rPr>
          <w:vertAlign w:val="subscript"/>
        </w:rPr>
        <w:t>2</w:t>
      </w:r>
      <w:r w:rsidRPr="004F01E5">
        <w:t xml:space="preserve"> level</w:t>
      </w:r>
      <w:r w:rsidR="00EB2362">
        <w:t xml:space="preserve"> and</w:t>
      </w:r>
      <w:r w:rsidRPr="004F01E5">
        <w:t xml:space="preserve"> normobaric versus hypobaric hypoxia</w:t>
      </w:r>
      <w:r w:rsidR="00EB2362">
        <w:t>,</w:t>
      </w:r>
      <w:r w:rsidRPr="004F01E5">
        <w:t xml:space="preserve"> and the interaction between the two, were examined using meta-regression analyses (Borenstein et al., 2009). Publication bias was </w:t>
      </w:r>
      <w:r w:rsidRPr="00EB2362">
        <w:t xml:space="preserve">examined using </w:t>
      </w:r>
      <w:r w:rsidR="002F02D6" w:rsidRPr="00EB2362">
        <w:t>Begg’s</w:t>
      </w:r>
      <w:r w:rsidR="002F02D6" w:rsidRPr="004F01E5">
        <w:t xml:space="preserve"> test (Begg &amp; Mazumdar, 1994).</w:t>
      </w:r>
    </w:p>
    <w:p w:rsidR="007A6988" w:rsidRPr="00716550" w:rsidRDefault="0092761B" w:rsidP="007A6988">
      <w:r w:rsidRPr="00716550">
        <w:t xml:space="preserve">3. </w:t>
      </w:r>
      <w:r w:rsidR="007A6988" w:rsidRPr="00716550">
        <w:t>Results</w:t>
      </w:r>
    </w:p>
    <w:p w:rsidR="002F2B1B" w:rsidRDefault="0092761B" w:rsidP="007A6988">
      <w:r>
        <w:t xml:space="preserve">3.1. </w:t>
      </w:r>
      <w:r w:rsidR="002F2B1B">
        <w:t>Included studies.</w:t>
      </w:r>
    </w:p>
    <w:p w:rsidR="007A6988" w:rsidRPr="00772142" w:rsidRDefault="007A6988" w:rsidP="007A6988">
      <w:pPr>
        <w:autoSpaceDE w:val="0"/>
        <w:autoSpaceDN w:val="0"/>
        <w:adjustRightInd w:val="0"/>
        <w:rPr>
          <w:color w:val="000000"/>
          <w:highlight w:val="yellow"/>
        </w:rPr>
      </w:pPr>
      <w:r w:rsidRPr="004F01E5">
        <w:rPr>
          <w:color w:val="000000"/>
        </w:rPr>
        <w:tab/>
      </w:r>
      <w:r w:rsidR="002F2B1B" w:rsidRPr="004F01E5">
        <w:rPr>
          <w:color w:val="000000"/>
        </w:rPr>
        <w:t>The characteristics of the included studies can be seen in Table 1.</w:t>
      </w:r>
      <w:r w:rsidR="004855E4" w:rsidRPr="004F01E5">
        <w:rPr>
          <w:color w:val="000000"/>
        </w:rPr>
        <w:t xml:space="preserve"> </w:t>
      </w:r>
      <w:r w:rsidRPr="004F01E5">
        <w:rPr>
          <w:color w:val="000000"/>
        </w:rPr>
        <w:t>The literature reviewed yielded 68 articles which examined hypoxia and cognition. Of these, 18 met the criteria for inclusion. Four of these articles reported two experiments using different participants in each experiment, therefore these were treated as separate studies, taking the total number of experiments examined to 22. Sixteen experiments included only one task type, while six included two task types. Mean effect sizes were calculated for central executive (k = 9), perception/attention (k = 14) and STM tasks (k = 6) for each study. In total</w:t>
      </w:r>
      <w:r w:rsidR="004F01E5">
        <w:rPr>
          <w:color w:val="000000"/>
        </w:rPr>
        <w:t>,</w:t>
      </w:r>
      <w:r w:rsidRPr="004F01E5">
        <w:rPr>
          <w:color w:val="000000"/>
        </w:rPr>
        <w:t xml:space="preserve"> there were 437 participants. Details of the designs of each experiment can be seen in Table 1.</w:t>
      </w:r>
    </w:p>
    <w:p w:rsidR="007A6988" w:rsidRDefault="007A6988" w:rsidP="007A6988">
      <w:pPr>
        <w:autoSpaceDE w:val="0"/>
        <w:autoSpaceDN w:val="0"/>
        <w:adjustRightInd w:val="0"/>
        <w:jc w:val="center"/>
        <w:rPr>
          <w:color w:val="000000"/>
        </w:rPr>
      </w:pPr>
      <w:r w:rsidRPr="004F01E5">
        <w:rPr>
          <w:color w:val="000000"/>
        </w:rPr>
        <w:lastRenderedPageBreak/>
        <w:t>Insert Table 1 about here</w:t>
      </w:r>
    </w:p>
    <w:p w:rsidR="007A6988" w:rsidRPr="00525945" w:rsidRDefault="007A6988" w:rsidP="007A6988">
      <w:pPr>
        <w:autoSpaceDE w:val="0"/>
        <w:autoSpaceDN w:val="0"/>
        <w:adjustRightInd w:val="0"/>
        <w:rPr>
          <w:color w:val="000000"/>
          <w:highlight w:val="cyan"/>
        </w:rPr>
      </w:pPr>
      <w:r>
        <w:rPr>
          <w:color w:val="000000"/>
        </w:rPr>
        <w:tab/>
      </w:r>
      <w:r w:rsidRPr="004F01E5">
        <w:rPr>
          <w:color w:val="000000"/>
        </w:rPr>
        <w:t>The</w:t>
      </w:r>
      <w:r w:rsidR="00A63F08">
        <w:rPr>
          <w:color w:val="000000"/>
        </w:rPr>
        <w:t xml:space="preserve"> main effect</w:t>
      </w:r>
      <w:r w:rsidRPr="004F01E5">
        <w:rPr>
          <w:color w:val="000000"/>
        </w:rPr>
        <w:t xml:space="preserve"> mean g was -0.49, 95% CI -0.64 to -0.34 (Z(28) = -4.07, p &lt; .001). </w:t>
      </w:r>
      <w:r w:rsidR="004855E4" w:rsidRPr="004F01E5">
        <w:rPr>
          <w:color w:val="000000"/>
        </w:rPr>
        <w:t>Table 1</w:t>
      </w:r>
      <w:r w:rsidRPr="004F01E5">
        <w:rPr>
          <w:color w:val="000000"/>
        </w:rPr>
        <w:t xml:space="preserve"> shows the mean effect sizes for central executive, perception/attention and STM tasks for each experiment. For central executive tasks, all effect sizes were negative. Mean g was -0.44, 95% CI -0.61 to -0.26 (Z(8) = 5.00, p &lt; .001). There were 10 perception/attention effects sizes that were negative and four positive</w:t>
      </w:r>
      <w:r w:rsidR="00AE3882">
        <w:rPr>
          <w:color w:val="000000"/>
        </w:rPr>
        <w:t xml:space="preserve"> but the m</w:t>
      </w:r>
      <w:r w:rsidRPr="004F01E5">
        <w:rPr>
          <w:color w:val="000000"/>
        </w:rPr>
        <w:t xml:space="preserve">ean g </w:t>
      </w:r>
      <w:r w:rsidR="00AE3882">
        <w:rPr>
          <w:color w:val="000000"/>
        </w:rPr>
        <w:t>(</w:t>
      </w:r>
      <w:r w:rsidRPr="004F01E5">
        <w:rPr>
          <w:color w:val="000000"/>
        </w:rPr>
        <w:t>-0.56, 95% CI -1.22 to 0.10</w:t>
      </w:r>
      <w:r w:rsidR="00AE3882">
        <w:rPr>
          <w:color w:val="000000"/>
        </w:rPr>
        <w:t xml:space="preserve">) was non-significant </w:t>
      </w:r>
      <w:r w:rsidRPr="004F01E5">
        <w:rPr>
          <w:color w:val="000000"/>
        </w:rPr>
        <w:t xml:space="preserve">(Z(13) = 1.67, p = .10). All but one of the STM effect sizes were negative. Mean g was -0.66, 95% CI -0.98 to -0.34 (Z(5) = 5.19, p &lt; .001). However, a </w:t>
      </w:r>
      <w:r w:rsidRPr="004F01E5">
        <w:t xml:space="preserve">subgroup of dependent variables mixed effects analysis showed that </w:t>
      </w:r>
      <w:r w:rsidRPr="004F01E5">
        <w:rPr>
          <w:color w:val="000000"/>
        </w:rPr>
        <w:t>there was no significant effect of task type on these results (</w:t>
      </w:r>
      <w:r w:rsidRPr="004F01E5">
        <w:t>Q(2) = 1.5</w:t>
      </w:r>
      <w:r w:rsidR="00F36BC3" w:rsidRPr="004F01E5">
        <w:t>6</w:t>
      </w:r>
      <w:r w:rsidRPr="004F01E5">
        <w:t>, p = 0.459). The meta-regression for the PaO</w:t>
      </w:r>
      <w:r w:rsidRPr="004F01E5">
        <w:rPr>
          <w:vertAlign w:val="subscript"/>
        </w:rPr>
        <w:t>2</w:t>
      </w:r>
      <w:r w:rsidRPr="004F01E5">
        <w:t xml:space="preserve"> variable, with low PaO</w:t>
      </w:r>
      <w:r w:rsidRPr="004F01E5">
        <w:rPr>
          <w:vertAlign w:val="subscript"/>
        </w:rPr>
        <w:t>2</w:t>
      </w:r>
      <w:r w:rsidRPr="004F01E5">
        <w:t xml:space="preserve"> as the reference category, showed that this was a significant, moderate moderator (R</w:t>
      </w:r>
      <w:r w:rsidRPr="004F01E5">
        <w:rPr>
          <w:vertAlign w:val="superscript"/>
        </w:rPr>
        <w:t>2</w:t>
      </w:r>
      <w:r w:rsidRPr="004F01E5">
        <w:t xml:space="preserve"> = .47, Q(1) = 14.90, p &lt; .001). The B coefficient (B = 0.81) demonstrates </w:t>
      </w:r>
      <w:r w:rsidR="00F36BC3" w:rsidRPr="004F01E5">
        <w:t>smaller, negative</w:t>
      </w:r>
      <w:r w:rsidRPr="004F01E5">
        <w:t xml:space="preserve"> effect sizes as PaO</w:t>
      </w:r>
      <w:r w:rsidRPr="004F01E5">
        <w:rPr>
          <w:vertAlign w:val="subscript"/>
        </w:rPr>
        <w:t>2</w:t>
      </w:r>
      <w:r w:rsidRPr="004F01E5">
        <w:t xml:space="preserve"> </w:t>
      </w:r>
      <w:r w:rsidR="00AE3882">
        <w:t>in</w:t>
      </w:r>
      <w:r w:rsidRPr="004F01E5">
        <w:t>creases from low to moderate levels. For the normobaric versus hypobaric variable, with normobaric hypoxia as the reference category, there was a borderline effect (R</w:t>
      </w:r>
      <w:r w:rsidRPr="004F01E5">
        <w:rPr>
          <w:vertAlign w:val="superscript"/>
        </w:rPr>
        <w:t>2</w:t>
      </w:r>
      <w:r w:rsidRPr="004F01E5">
        <w:t xml:space="preserve"> = .29, Q(1) = 3.99, p = .</w:t>
      </w:r>
      <w:r w:rsidR="00F36BC3" w:rsidRPr="004F01E5">
        <w:t>046</w:t>
      </w:r>
      <w:r w:rsidRPr="004F01E5">
        <w:t>). The B coefficient (B = 0.50) represents decreases in negativity of effect sizes from normobaric to hypobaric conditions. However, the interaction model showed that PaO</w:t>
      </w:r>
      <w:r w:rsidRPr="004F01E5">
        <w:rPr>
          <w:vertAlign w:val="subscript"/>
        </w:rPr>
        <w:t>2</w:t>
      </w:r>
      <w:r w:rsidRPr="004F01E5">
        <w:t xml:space="preserve"> was by far the better predictor of effect size (B = 0.75, p &lt; .0</w:t>
      </w:r>
      <w:r w:rsidR="00F36BC3" w:rsidRPr="004F01E5">
        <w:t>02</w:t>
      </w:r>
      <w:r w:rsidRPr="004F01E5">
        <w:t>), with the normobaric versus hypobaric variable adding nothing significant to the model (B = 0.14, p = .58</w:t>
      </w:r>
      <w:r w:rsidR="00F36BC3" w:rsidRPr="004F01E5">
        <w:t>1</w:t>
      </w:r>
      <w:r w:rsidRPr="004F01E5">
        <w:t xml:space="preserve">). The interaction model showed slightly </w:t>
      </w:r>
      <w:r w:rsidR="00F36BC3" w:rsidRPr="004F01E5">
        <w:t>less variation in effect sizes</w:t>
      </w:r>
      <w:r w:rsidRPr="004F01E5">
        <w:t xml:space="preserve"> (R</w:t>
      </w:r>
      <w:r w:rsidRPr="004F01E5">
        <w:rPr>
          <w:vertAlign w:val="superscript"/>
        </w:rPr>
        <w:t>2</w:t>
      </w:r>
      <w:r w:rsidRPr="004F01E5">
        <w:t xml:space="preserve"> = .45, Q(1) = 14.72, p &lt; .001) than that for PaO</w:t>
      </w:r>
      <w:r w:rsidRPr="004F01E5">
        <w:rPr>
          <w:vertAlign w:val="subscript"/>
        </w:rPr>
        <w:t>2</w:t>
      </w:r>
      <w:r w:rsidRPr="004F01E5">
        <w:t xml:space="preserve"> alone. </w:t>
      </w:r>
      <w:r w:rsidR="00354790" w:rsidRPr="004F01E5">
        <w:t>Examination of the funnel plot</w:t>
      </w:r>
      <w:r w:rsidR="000A382B" w:rsidRPr="004F01E5">
        <w:t>,</w:t>
      </w:r>
      <w:r w:rsidR="00354790" w:rsidRPr="004F01E5">
        <w:t xml:space="preserve"> </w:t>
      </w:r>
      <w:r w:rsidR="000A382B" w:rsidRPr="00AE3882">
        <w:t xml:space="preserve">using </w:t>
      </w:r>
      <w:r w:rsidR="002F02D6" w:rsidRPr="00AE3882">
        <w:t>Begg’s</w:t>
      </w:r>
      <w:r w:rsidR="002F02D6" w:rsidRPr="004F01E5">
        <w:t xml:space="preserve"> test</w:t>
      </w:r>
      <w:r w:rsidR="00212270">
        <w:t>,</w:t>
      </w:r>
      <w:r w:rsidR="002F02D6" w:rsidRPr="004F01E5">
        <w:t xml:space="preserve"> </w:t>
      </w:r>
      <w:r w:rsidR="00354790" w:rsidRPr="004F01E5">
        <w:t xml:space="preserve">demonstrated no </w:t>
      </w:r>
      <w:r w:rsidR="00FB1767" w:rsidRPr="004F01E5">
        <w:t xml:space="preserve">significant </w:t>
      </w:r>
      <w:r w:rsidRPr="004F01E5">
        <w:t>publication bias</w:t>
      </w:r>
      <w:r w:rsidR="002F02D6" w:rsidRPr="004F01E5">
        <w:t xml:space="preserve"> (Kendall’s τ = </w:t>
      </w:r>
      <w:r w:rsidR="000A382B" w:rsidRPr="004F01E5">
        <w:t>.</w:t>
      </w:r>
      <w:r w:rsidR="002F02D6" w:rsidRPr="004F01E5">
        <w:t xml:space="preserve">076, p = .28), although we should note that power of this test is only moderate </w:t>
      </w:r>
      <w:r w:rsidR="00AE3882">
        <w:t>when</w:t>
      </w:r>
      <w:r w:rsidR="002F02D6" w:rsidRPr="004F01E5">
        <w:t xml:space="preserve"> N= 22 (Begg &amp; Mazumdar, 1994).</w:t>
      </w:r>
    </w:p>
    <w:p w:rsidR="007A6988" w:rsidRPr="00212270" w:rsidRDefault="0092761B" w:rsidP="007A6988">
      <w:r w:rsidRPr="00212270">
        <w:t xml:space="preserve">4. </w:t>
      </w:r>
      <w:r w:rsidR="007A6988" w:rsidRPr="00212270">
        <w:t>Discussion</w:t>
      </w:r>
    </w:p>
    <w:p w:rsidR="007A6988" w:rsidRDefault="007A6988" w:rsidP="007A6988">
      <w:r w:rsidRPr="00881F1D">
        <w:lastRenderedPageBreak/>
        <w:tab/>
      </w:r>
      <w:r w:rsidR="00A842FA">
        <w:t>T</w:t>
      </w:r>
      <w:r w:rsidR="004855E4" w:rsidRPr="00DD2B3B">
        <w:t xml:space="preserve">his is the first review to systematically examine the effect of acute hypoxia on </w:t>
      </w:r>
      <w:r w:rsidR="00177DB0" w:rsidRPr="00DD2B3B">
        <w:t>central executive, perception/attention and ST</w:t>
      </w:r>
      <w:r w:rsidR="00DD2B3B" w:rsidRPr="00DD2B3B">
        <w:t>M</w:t>
      </w:r>
      <w:r w:rsidR="00177DB0" w:rsidRPr="00DD2B3B">
        <w:t xml:space="preserve"> ta</w:t>
      </w:r>
      <w:r w:rsidR="00DD2B3B" w:rsidRPr="00DD2B3B">
        <w:t>s</w:t>
      </w:r>
      <w:r w:rsidR="00177DB0" w:rsidRPr="00DD2B3B">
        <w:t>ks</w:t>
      </w:r>
      <w:r w:rsidR="00DD2B3B" w:rsidRPr="00DD2B3B">
        <w:t>,</w:t>
      </w:r>
      <w:r w:rsidR="00177DB0" w:rsidRPr="00DD2B3B">
        <w:t xml:space="preserve"> </w:t>
      </w:r>
      <w:r w:rsidR="004855E4" w:rsidRPr="00DD2B3B">
        <w:t xml:space="preserve">and the </w:t>
      </w:r>
      <w:r w:rsidR="004F01E5" w:rsidRPr="00DD2B3B">
        <w:t xml:space="preserve">effect of the </w:t>
      </w:r>
      <w:r w:rsidR="004855E4" w:rsidRPr="00DD2B3B">
        <w:t>moderating variables</w:t>
      </w:r>
      <w:r w:rsidR="00A63F08">
        <w:t>,</w:t>
      </w:r>
      <w:r w:rsidR="004F01E5" w:rsidRPr="00DD2B3B">
        <w:t xml:space="preserve"> low versus moderate P</w:t>
      </w:r>
      <w:r w:rsidR="00212270">
        <w:t>a</w:t>
      </w:r>
      <w:r w:rsidR="004F01E5" w:rsidRPr="00DD2B3B">
        <w:t>O</w:t>
      </w:r>
      <w:r w:rsidR="004F01E5" w:rsidRPr="00DD2B3B">
        <w:rPr>
          <w:vertAlign w:val="subscript"/>
        </w:rPr>
        <w:t>2</w:t>
      </w:r>
      <w:r w:rsidR="0073563C">
        <w:rPr>
          <w:vertAlign w:val="subscript"/>
        </w:rPr>
        <w:t xml:space="preserve"> </w:t>
      </w:r>
      <w:r w:rsidR="0073563C" w:rsidRPr="0073563C">
        <w:t>and</w:t>
      </w:r>
      <w:r w:rsidR="00A63F08" w:rsidRPr="0073563C">
        <w:t xml:space="preserve"> </w:t>
      </w:r>
      <w:r w:rsidR="004F01E5" w:rsidRPr="00DD2B3B">
        <w:t>normobaric versus hypobaric conditions</w:t>
      </w:r>
      <w:r w:rsidR="0073563C">
        <w:t>,</w:t>
      </w:r>
      <w:r w:rsidR="004F01E5" w:rsidRPr="00DD2B3B">
        <w:t xml:space="preserve"> and the inter</w:t>
      </w:r>
      <w:r w:rsidR="00DD2B3B">
        <w:t>a</w:t>
      </w:r>
      <w:r w:rsidR="004F01E5" w:rsidRPr="00DD2B3B">
        <w:t xml:space="preserve">ction between the </w:t>
      </w:r>
      <w:r w:rsidR="00177DB0" w:rsidRPr="00DD2B3B">
        <w:t>two vari</w:t>
      </w:r>
      <w:r w:rsidR="00DD2B3B">
        <w:t>ab</w:t>
      </w:r>
      <w:r w:rsidR="00177DB0" w:rsidRPr="00DD2B3B">
        <w:t>les</w:t>
      </w:r>
      <w:r w:rsidR="00177DB0">
        <w:t>.</w:t>
      </w:r>
      <w:r w:rsidR="004855E4" w:rsidRPr="004F01E5">
        <w:t xml:space="preserve"> </w:t>
      </w:r>
      <w:r w:rsidRPr="004F01E5">
        <w:t xml:space="preserve">The results of this meta-analysis supply only limited support for our hypotheses. </w:t>
      </w:r>
      <w:r w:rsidR="004855E4" w:rsidRPr="004F01E5">
        <w:t xml:space="preserve">Firstly, </w:t>
      </w:r>
      <w:r w:rsidR="0073563C">
        <w:t>as hypothesized, the main effect showed a</w:t>
      </w:r>
      <w:r w:rsidRPr="004F01E5">
        <w:t xml:space="preserve"> moderate, negative mean effect size</w:t>
      </w:r>
      <w:r w:rsidR="0073563C">
        <w:t xml:space="preserve"> </w:t>
      </w:r>
      <w:r w:rsidRPr="004F01E5">
        <w:t xml:space="preserve">and is evidence for a significant, inhibitory effect of acute hypoxia on cognition. </w:t>
      </w:r>
      <w:r w:rsidR="004855E4" w:rsidRPr="004F01E5">
        <w:t>Th</w:t>
      </w:r>
      <w:r w:rsidR="00212270">
        <w:t xml:space="preserve">is </w:t>
      </w:r>
      <w:r w:rsidR="004855E4" w:rsidRPr="004F01E5">
        <w:t>support</w:t>
      </w:r>
      <w:r w:rsidR="00212270">
        <w:t>s</w:t>
      </w:r>
      <w:r w:rsidR="004855E4" w:rsidRPr="004F01E5">
        <w:t xml:space="preserve"> </w:t>
      </w:r>
      <w:r w:rsidRPr="004F01E5">
        <w:t>the conclusions of the narrative reviewers (Taylor et al., 2016; Virués-Ortega et al., 2004)</w:t>
      </w:r>
      <w:r w:rsidR="005D6453" w:rsidRPr="004F01E5">
        <w:t>,</w:t>
      </w:r>
      <w:r w:rsidRPr="004F01E5">
        <w:t xml:space="preserve"> but the strength of the effect is greater than one might have expected from the probability-based results on which both sets of reviewers relied. </w:t>
      </w:r>
      <w:r w:rsidR="00A63F08" w:rsidRPr="004F01E5">
        <w:t xml:space="preserve">Counterintuitively, however, we failed to support our hypothesis that central executive tasks would </w:t>
      </w:r>
      <w:r w:rsidR="00A63F08">
        <w:t>show</w:t>
      </w:r>
      <w:r w:rsidR="00A63F08" w:rsidRPr="004F01E5">
        <w:t xml:space="preserve"> higher</w:t>
      </w:r>
      <w:r w:rsidR="0073563C">
        <w:t>,</w:t>
      </w:r>
      <w:r w:rsidR="00A63F08" w:rsidRPr="004F01E5">
        <w:t xml:space="preserve"> negative effect sizes compared to</w:t>
      </w:r>
      <w:r w:rsidR="00A63F08">
        <w:t xml:space="preserve"> the</w:t>
      </w:r>
      <w:r w:rsidR="00A63F08" w:rsidRPr="004F01E5">
        <w:t xml:space="preserve"> non-executive tasks, i.e. perception/attention and STM tasks. </w:t>
      </w:r>
      <w:r w:rsidR="00A63F08">
        <w:t>O</w:t>
      </w:r>
      <w:r w:rsidRPr="004F01E5">
        <w:t>ur hypothesis that low PaO</w:t>
      </w:r>
      <w:r w:rsidRPr="004F01E5">
        <w:rPr>
          <w:vertAlign w:val="subscript"/>
        </w:rPr>
        <w:t>2</w:t>
      </w:r>
      <w:r w:rsidRPr="004F01E5">
        <w:t xml:space="preserve"> would predict a larger, negative </w:t>
      </w:r>
      <w:r w:rsidR="005D6453" w:rsidRPr="004F01E5">
        <w:t xml:space="preserve">mean </w:t>
      </w:r>
      <w:r w:rsidRPr="004F01E5">
        <w:t xml:space="preserve">effect size than moderate hypoxia was supported. </w:t>
      </w:r>
      <w:r w:rsidR="004855E4" w:rsidRPr="004F01E5">
        <w:t xml:space="preserve">Finally, the findings </w:t>
      </w:r>
      <w:r w:rsidRPr="004F01E5">
        <w:t xml:space="preserve">examining the use of normobaric versus hypobaric conditions are </w:t>
      </w:r>
      <w:r w:rsidR="004855E4" w:rsidRPr="004F01E5">
        <w:t>less transparent</w:t>
      </w:r>
      <w:r w:rsidRPr="00AE3882">
        <w:t>. Normobaric conditions predict poorer performance, with a moderate R</w:t>
      </w:r>
      <w:r w:rsidRPr="00AE3882">
        <w:rPr>
          <w:vertAlign w:val="superscript"/>
        </w:rPr>
        <w:t xml:space="preserve">2 </w:t>
      </w:r>
      <w:r w:rsidRPr="00AE3882">
        <w:t xml:space="preserve">(.29), </w:t>
      </w:r>
      <w:r w:rsidR="00F36BC3" w:rsidRPr="00AE3882">
        <w:t xml:space="preserve">while the </w:t>
      </w:r>
      <w:r w:rsidRPr="00AE3882">
        <w:t>interaction with PaO</w:t>
      </w:r>
      <w:r w:rsidRPr="00AE3882">
        <w:rPr>
          <w:vertAlign w:val="subscript"/>
        </w:rPr>
        <w:t>2</w:t>
      </w:r>
      <w:r w:rsidRPr="004F01E5">
        <w:t xml:space="preserve"> </w:t>
      </w:r>
      <w:r w:rsidR="00F36BC3" w:rsidRPr="004F01E5">
        <w:t xml:space="preserve">accounted for much more of the </w:t>
      </w:r>
      <w:r w:rsidRPr="004F01E5">
        <w:t>variation (R</w:t>
      </w:r>
      <w:r w:rsidRPr="004F01E5">
        <w:rPr>
          <w:vertAlign w:val="superscript"/>
        </w:rPr>
        <w:t>2</w:t>
      </w:r>
      <w:r w:rsidRPr="004F01E5">
        <w:t xml:space="preserve"> = .45). </w:t>
      </w:r>
      <w:r w:rsidR="00F36BC3" w:rsidRPr="004F01E5">
        <w:t>This is only 2% lower than the variation accounted for by PaO</w:t>
      </w:r>
      <w:r w:rsidR="00F36BC3" w:rsidRPr="004F01E5">
        <w:rPr>
          <w:vertAlign w:val="subscript"/>
        </w:rPr>
        <w:t>2</w:t>
      </w:r>
      <w:r w:rsidR="00F36BC3" w:rsidRPr="004F01E5">
        <w:t xml:space="preserve"> alone, therefore showing that it is PaO</w:t>
      </w:r>
      <w:r w:rsidR="00F36BC3" w:rsidRPr="004F01E5">
        <w:rPr>
          <w:vertAlign w:val="subscript"/>
        </w:rPr>
        <w:t>2</w:t>
      </w:r>
      <w:r w:rsidR="00F36BC3" w:rsidRPr="004F01E5">
        <w:t xml:space="preserve"> that significantly accounts for the results.</w:t>
      </w:r>
      <w:r>
        <w:t xml:space="preserve"> </w:t>
      </w:r>
    </w:p>
    <w:p w:rsidR="007A6988" w:rsidRDefault="007A6988" w:rsidP="007A6988">
      <w:r>
        <w:tab/>
      </w:r>
      <w:r w:rsidRPr="009022AA">
        <w:t xml:space="preserve">That the </w:t>
      </w:r>
      <w:r w:rsidR="00A63F08" w:rsidRPr="009022AA">
        <w:t xml:space="preserve">main </w:t>
      </w:r>
      <w:r w:rsidRPr="009022AA">
        <w:t xml:space="preserve">mean effect size was only moderate is not surprising when one takes into account the fact that this included studies where cognition was tested at both moderate </w:t>
      </w:r>
      <w:r w:rsidR="00FE7B99" w:rsidRPr="009022AA">
        <w:t xml:space="preserve">(61 mmHg to 89 mmHg) </w:t>
      </w:r>
      <w:r w:rsidRPr="009022AA">
        <w:t xml:space="preserve">and low </w:t>
      </w:r>
      <w:r w:rsidR="00FE7B99" w:rsidRPr="009022AA">
        <w:t xml:space="preserve">(&lt; 60 mmHg) </w:t>
      </w:r>
      <w:r w:rsidRPr="009022AA">
        <w:t>levels of PaO</w:t>
      </w:r>
      <w:r w:rsidRPr="009022AA">
        <w:rPr>
          <w:vertAlign w:val="subscript"/>
        </w:rPr>
        <w:t>2</w:t>
      </w:r>
      <w:r w:rsidRPr="009022AA">
        <w:t xml:space="preserve">. The cut-off level for </w:t>
      </w:r>
      <w:r w:rsidR="00A63F08" w:rsidRPr="009022AA">
        <w:t>low</w:t>
      </w:r>
      <w:r w:rsidRPr="009022AA">
        <w:t xml:space="preserve"> PaO</w:t>
      </w:r>
      <w:r w:rsidRPr="009022AA">
        <w:rPr>
          <w:vertAlign w:val="subscript"/>
        </w:rPr>
        <w:t>2</w:t>
      </w:r>
      <w:r w:rsidRPr="009022AA">
        <w:t xml:space="preserve">, in this study, was set at a measure which is about the level at which physiological studies have shown </w:t>
      </w:r>
      <w:r w:rsidR="00A22D96" w:rsidRPr="009022AA">
        <w:t xml:space="preserve">the initiation of a </w:t>
      </w:r>
      <w:r w:rsidRPr="009022AA">
        <w:t>response by the carotid body to the lowering of PaO</w:t>
      </w:r>
      <w:r w:rsidRPr="009022AA">
        <w:rPr>
          <w:vertAlign w:val="subscript"/>
        </w:rPr>
        <w:t>2</w:t>
      </w:r>
      <w:r w:rsidRPr="009022AA">
        <w:t xml:space="preserve"> (Feldman et al., .2013; West, 2004). In</w:t>
      </w:r>
      <w:r w:rsidRPr="00A63F08">
        <w:t xml:space="preserve"> other words, </w:t>
      </w:r>
      <w:r w:rsidR="00AE3882">
        <w:t xml:space="preserve">in </w:t>
      </w:r>
      <w:r w:rsidRPr="00A63F08">
        <w:t>humans and</w:t>
      </w:r>
      <w:r w:rsidR="006449F5" w:rsidRPr="00A63F08">
        <w:t xml:space="preserve"> other</w:t>
      </w:r>
      <w:r w:rsidRPr="00A63F08">
        <w:t xml:space="preserve"> animals</w:t>
      </w:r>
      <w:r w:rsidR="00AE3882">
        <w:t>,</w:t>
      </w:r>
      <w:r w:rsidR="006449F5" w:rsidRPr="00A63F08">
        <w:t xml:space="preserve"> </w:t>
      </w:r>
      <w:r w:rsidR="00AE3882">
        <w:t xml:space="preserve">it is not until this threshold is </w:t>
      </w:r>
      <w:r w:rsidR="00AE3882">
        <w:lastRenderedPageBreak/>
        <w:t xml:space="preserve">reached that </w:t>
      </w:r>
      <w:r w:rsidR="001C2E8C">
        <w:t>the organism perceives the necessity for action to attempt to maintain homeostasis</w:t>
      </w:r>
      <w:r>
        <w:t xml:space="preserve">. Therefore, one would not expect any </w:t>
      </w:r>
      <w:r w:rsidR="00A842FA">
        <w:t xml:space="preserve">substantial </w:t>
      </w:r>
      <w:r>
        <w:t xml:space="preserve">negative effects on </w:t>
      </w:r>
      <w:r w:rsidRPr="00A63F08">
        <w:t>cognition</w:t>
      </w:r>
      <w:r w:rsidR="001C2E8C">
        <w:t xml:space="preserve"> until this level had been reached</w:t>
      </w:r>
      <w:r w:rsidRPr="00A63F08">
        <w:t>. This is supported by the meta-regression data for low and moderate PaO</w:t>
      </w:r>
      <w:r w:rsidRPr="00A63F08">
        <w:rPr>
          <w:vertAlign w:val="subscript"/>
        </w:rPr>
        <w:t xml:space="preserve">2 </w:t>
      </w:r>
      <w:r w:rsidRPr="00A63F08">
        <w:t>levels. The B coefficient (0.81) and moderate to high R</w:t>
      </w:r>
      <w:r w:rsidRPr="00A63F08">
        <w:rPr>
          <w:vertAlign w:val="superscript"/>
        </w:rPr>
        <w:t>2</w:t>
      </w:r>
      <w:r w:rsidRPr="00A63F08">
        <w:t xml:space="preserve"> (.47) show that PaO</w:t>
      </w:r>
      <w:r w:rsidRPr="00A63F08">
        <w:rPr>
          <w:vertAlign w:val="subscript"/>
        </w:rPr>
        <w:t>2</w:t>
      </w:r>
      <w:r w:rsidRPr="00A63F08">
        <w:t xml:space="preserve"> level is a strong predictor of </w:t>
      </w:r>
      <w:r w:rsidR="00A842FA">
        <w:t xml:space="preserve">deterioration in </w:t>
      </w:r>
      <w:r w:rsidRPr="00A63F08">
        <w:t>cognitive performance, with performance weaker at low levels of PaO</w:t>
      </w:r>
      <w:r w:rsidRPr="00A63F08">
        <w:rPr>
          <w:vertAlign w:val="subscript"/>
        </w:rPr>
        <w:t>2</w:t>
      </w:r>
      <w:r w:rsidRPr="00A63F08">
        <w:t>. This suggests that when PaO</w:t>
      </w:r>
      <w:r w:rsidRPr="00A63F08">
        <w:rPr>
          <w:vertAlign w:val="subscript"/>
        </w:rPr>
        <w:t>2</w:t>
      </w:r>
      <w:r w:rsidRPr="00A63F08">
        <w:t xml:space="preserve"> level</w:t>
      </w:r>
      <w:r>
        <w:t xml:space="preserve"> is low</w:t>
      </w:r>
      <w:r w:rsidR="006449F5">
        <w:t xml:space="preserve"> (</w:t>
      </w:r>
      <w:r w:rsidR="00212270">
        <w:t>&lt;</w:t>
      </w:r>
      <w:r w:rsidR="006449F5">
        <w:rPr>
          <w:rFonts w:ascii="Cambria Math" w:hAnsi="Cambria Math" w:cs="Cambria Math"/>
        </w:rPr>
        <w:t xml:space="preserve"> 60 mmHg)</w:t>
      </w:r>
      <w:r>
        <w:t>, increased CBF is unable to compensate for the lack of oxygen</w:t>
      </w:r>
      <w:r>
        <w:rPr>
          <w:vertAlign w:val="subscript"/>
        </w:rPr>
        <w:t xml:space="preserve"> </w:t>
      </w:r>
      <w:r w:rsidRPr="008A0F84">
        <w:t>sufficiently enough for cognitive perform</w:t>
      </w:r>
      <w:r>
        <w:t>an</w:t>
      </w:r>
      <w:r w:rsidRPr="008A0F84">
        <w:t>ce lev</w:t>
      </w:r>
      <w:r>
        <w:t>e</w:t>
      </w:r>
      <w:r w:rsidRPr="008A0F84">
        <w:t xml:space="preserve">ls to </w:t>
      </w:r>
      <w:r>
        <w:t>be</w:t>
      </w:r>
      <w:r w:rsidRPr="008A0F84">
        <w:t xml:space="preserve"> </w:t>
      </w:r>
      <w:r>
        <w:t xml:space="preserve">maintained. </w:t>
      </w:r>
      <w:r w:rsidR="006449F5">
        <w:t>However, s</w:t>
      </w:r>
      <w:r>
        <w:t xml:space="preserve">everal researchers (Lewis et al., 2014; Ogoh et al., 2013; Subudhi et al., 2014) have </w:t>
      </w:r>
      <w:r w:rsidR="006449F5">
        <w:t xml:space="preserve">demonstrated </w:t>
      </w:r>
      <w:r>
        <w:t xml:space="preserve">that </w:t>
      </w:r>
      <w:r w:rsidR="006449F5">
        <w:t xml:space="preserve">alterations in </w:t>
      </w:r>
      <w:r>
        <w:t>regional CBF (rCBF)</w:t>
      </w:r>
      <w:r w:rsidR="006449F5">
        <w:t xml:space="preserve"> are more important than those in global CBF (gCBF)</w:t>
      </w:r>
      <w:r w:rsidR="006F3905">
        <w:t>,</w:t>
      </w:r>
      <w:r w:rsidR="006449F5">
        <w:t xml:space="preserve"> with respect to cognition</w:t>
      </w:r>
      <w:r>
        <w:t xml:space="preserve">. </w:t>
      </w:r>
      <w:r w:rsidR="006449F5">
        <w:t>For example, e</w:t>
      </w:r>
      <w:r>
        <w:t xml:space="preserve">xamination of the effect of hypoxia on rCBF in internal carotid arteries (ICA) shows a different effect to that in vertebral arteries (VA). </w:t>
      </w:r>
      <w:r w:rsidR="000F3125" w:rsidRPr="00806387">
        <w:t>The</w:t>
      </w:r>
      <w:r w:rsidR="001C2E8C" w:rsidRPr="00806387">
        <w:t xml:space="preserve">se authors reported that there was </w:t>
      </w:r>
      <w:r w:rsidR="000F3125" w:rsidRPr="00806387">
        <w:t xml:space="preserve">increased </w:t>
      </w:r>
      <w:r w:rsidRPr="00806387">
        <w:t xml:space="preserve">rCBF </w:t>
      </w:r>
      <w:r w:rsidR="000F3125" w:rsidRPr="00806387">
        <w:t xml:space="preserve">in both ICA and VA, </w:t>
      </w:r>
      <w:r w:rsidRPr="00806387">
        <w:t>during acute hypoxia</w:t>
      </w:r>
      <w:r w:rsidR="000F3125" w:rsidRPr="00806387">
        <w:t>,</w:t>
      </w:r>
      <w:r w:rsidRPr="00806387">
        <w:t xml:space="preserve"> but that in VA was </w:t>
      </w:r>
      <w:r w:rsidR="000F3125" w:rsidRPr="00806387">
        <w:t>the larger</w:t>
      </w:r>
      <w:r w:rsidRPr="00806387">
        <w:t>.</w:t>
      </w:r>
      <w:r>
        <w:t xml:space="preserve"> VA serve the </w:t>
      </w:r>
      <w:r>
        <w:rPr>
          <w:lang w:eastAsia="en-GB"/>
        </w:rPr>
        <w:t>cerebellum, hypothalamus, thalamus, basal ganglia and brainstem, regions of the brain concerned with cardiorespiratory control (Binks et al., 2008; Lewis et al., 2014). However, ICA supply cerebral cortex regions involved in cognition (Binks et al., 2008). Thus it would appear that in the case of hypoxia, the organism places the emphasis on control of the cardiorespiratory system, which is vital for survival, rather than on areas of the brain involved in cognition.</w:t>
      </w:r>
      <w:r>
        <w:t xml:space="preserve"> However, it is important to note that at the levels of hypoxia covered in this analysis, the individual is still capable of cognition albeit of a lower quality. At very low levels of PaO</w:t>
      </w:r>
      <w:r w:rsidRPr="00B9415A">
        <w:rPr>
          <w:vertAlign w:val="subscript"/>
        </w:rPr>
        <w:t>2</w:t>
      </w:r>
      <w:r>
        <w:t xml:space="preserve">, this is not maintained (see Wagner, 2010). </w:t>
      </w:r>
    </w:p>
    <w:p w:rsidR="003B015F" w:rsidRPr="0092761B" w:rsidRDefault="007A6988" w:rsidP="003B015F">
      <w:r>
        <w:tab/>
      </w:r>
      <w:r w:rsidR="003B015F">
        <w:t>Despite the fact that Taylor et al. (2016) and Virués-Ortega et al. (2004) showed trends towards central executive</w:t>
      </w:r>
      <w:r w:rsidR="00E50A8E">
        <w:t xml:space="preserve"> tasks being more negatively affect</w:t>
      </w:r>
      <w:r w:rsidR="00A22D96">
        <w:t>ed</w:t>
      </w:r>
      <w:r w:rsidR="00E50A8E">
        <w:t xml:space="preserve"> by hypoxia than perception/attention and STM</w:t>
      </w:r>
      <w:r w:rsidR="003B015F">
        <w:t xml:space="preserve"> tasks</w:t>
      </w:r>
      <w:r w:rsidR="006F7E27">
        <w:t>,</w:t>
      </w:r>
      <w:r w:rsidR="003B015F">
        <w:t xml:space="preserve"> and that animal research with a multitude of stressors </w:t>
      </w:r>
      <w:r w:rsidR="00E50A8E">
        <w:t>has</w:t>
      </w:r>
      <w:r w:rsidR="003B015F">
        <w:t xml:space="preserve"> </w:t>
      </w:r>
      <w:r w:rsidR="003B015F">
        <w:lastRenderedPageBreak/>
        <w:t xml:space="preserve">also </w:t>
      </w:r>
      <w:r w:rsidR="00E50A8E">
        <w:t>demonstrated</w:t>
      </w:r>
      <w:r w:rsidR="003B015F">
        <w:t xml:space="preserve"> </w:t>
      </w:r>
      <w:r w:rsidR="00E50A8E">
        <w:t>this</w:t>
      </w:r>
      <w:r w:rsidR="003B015F">
        <w:t xml:space="preserve"> (Arnsten, 2009; 2011), we failed to show any </w:t>
      </w:r>
      <w:r w:rsidR="00E50A8E">
        <w:t>significant</w:t>
      </w:r>
      <w:r w:rsidR="003B015F">
        <w:t xml:space="preserve"> differences in mean effect sizes</w:t>
      </w:r>
      <w:r w:rsidR="006F7E27">
        <w:t xml:space="preserve"> between task</w:t>
      </w:r>
      <w:r w:rsidR="0073563C">
        <w:t xml:space="preserve"> type</w:t>
      </w:r>
      <w:r w:rsidR="006F7E27">
        <w:t>s</w:t>
      </w:r>
      <w:r w:rsidR="003B015F">
        <w:t xml:space="preserve">. </w:t>
      </w:r>
      <w:r w:rsidR="00E50A8E">
        <w:t>Before examining these results in more detail</w:t>
      </w:r>
      <w:r w:rsidR="00A22D96">
        <w:t>,</w:t>
      </w:r>
      <w:r w:rsidR="00E50A8E">
        <w:t xml:space="preserve"> we will outline the differences between the tasks. </w:t>
      </w:r>
      <w:r w:rsidR="003B015F" w:rsidRPr="0092761B">
        <w:rPr>
          <w:lang w:eastAsia="en-GB"/>
        </w:rPr>
        <w:t>Central executive tasks are part of what Baddeley (1986) termed w</w:t>
      </w:r>
      <w:r w:rsidR="003B015F" w:rsidRPr="0092761B">
        <w:t xml:space="preserve">orking memory. According to Baddeley, working memory consists of three separate but inter-dependent parts, the central executive mechanism, and two STM systems, the phonological loop and the visuospatial sketch pad. The phonological loop is responsible for the encoding of acoustic and verbal information. The visuospatial sketchpad has the same role as the phonological loop except that it processes visual and visuospatial information. The role of the central executive is to integrate the perceptual input and compare the present situation (held in STM) with recalled information from long-term memory. Miyake et al. (2000) described the central executive process as involving several functions, which include shifting between tasks or mental sets; updating and monitoring working memory representations, which involves the removal of redundant information and replacing it with new, relevant information; inhibition of prepotent responses; planning; and the coordination of multiple tasks. Leh et al. (2010) provided other examples, e.g. abstract thinking, cognitive flexibility and selecting relevant sensory information. Positron Emission Tomography and functional Magnetic Resonance Imaging research has shown that central executive tasks primarily activate the prefrontal cortex (PFC) but also draw on information recalled from other parts of the brain (see Barbas, 2000; Leh et al., 2010, for reviews). </w:t>
      </w:r>
    </w:p>
    <w:p w:rsidR="00133230" w:rsidRDefault="003B015F" w:rsidP="003B015F">
      <w:r w:rsidRPr="0092761B">
        <w:tab/>
        <w:t xml:space="preserve">Perception/attention tasks are as those tasks which require focusing on and/or identifying relevant stimuli then carrying out a comparatively simple, pre-determined response (McMorris, 2016). These are tasks such as simple and choice reaction time, visual search and coincidence anticipation. In general, the first stage of such tasks requires activation of the specific sensory </w:t>
      </w:r>
      <w:r w:rsidRPr="0092761B">
        <w:lastRenderedPageBreak/>
        <w:t>region or regions involved. Information extracted from the sensory cortices is passed to the sensory association areas and the PFC where it is integrated and interpreted. The level of integration and interpretation varies between tasks but these tasks are generally thought of as being more simple than working memory tasks. In this study, when we refer to STM tasks, we are describing tasks which require simply acquiring the information and immediately recalling it. They are processed similar</w:t>
      </w:r>
      <w:r w:rsidR="00212270">
        <w:t>ly</w:t>
      </w:r>
      <w:r w:rsidRPr="0092761B">
        <w:t xml:space="preserve"> to perceptual ability tasks. When STM is part of working memory and plays an important role in central executive task performance, the PFC and the the dorsal frontoparietal attention network are activated (Braunlich et al., 2015). In this study, such tasks have been determined as being central executive tasks.</w:t>
      </w:r>
      <w:r>
        <w:t xml:space="preserve">  </w:t>
      </w:r>
    </w:p>
    <w:p w:rsidR="000C3F6A" w:rsidRDefault="00E50A8E" w:rsidP="007A6988">
      <w:r>
        <w:tab/>
        <w:t xml:space="preserve">Our reasons for expecting differences in effects of hypoxia on the different task types was </w:t>
      </w:r>
      <w:r w:rsidR="005B3CC9">
        <w:t>n</w:t>
      </w:r>
      <w:r>
        <w:t xml:space="preserve">ot based </w:t>
      </w:r>
      <w:r w:rsidR="005B3CC9">
        <w:t>solely</w:t>
      </w:r>
      <w:r>
        <w:t xml:space="preserve"> on empirical </w:t>
      </w:r>
      <w:r w:rsidR="005B3CC9">
        <w:t>data</w:t>
      </w:r>
      <w:r>
        <w:t xml:space="preserve"> and narrative reviews but also had a </w:t>
      </w:r>
      <w:r w:rsidR="005B3CC9">
        <w:t>theoretical</w:t>
      </w:r>
      <w:r>
        <w:t xml:space="preserve"> base. </w:t>
      </w:r>
      <w:r w:rsidR="005B3CC9">
        <w:t xml:space="preserve">During stress, these tasks are greatly affected by the activity </w:t>
      </w:r>
      <w:r w:rsidR="007A6988">
        <w:t>of the neurotransmitters dopamine (DA), NE and 5-hydroxytryptamine (5-HT</w:t>
      </w:r>
      <w:r w:rsidR="000C3F6A">
        <w:t>: also known as serotonin</w:t>
      </w:r>
      <w:r w:rsidR="007A6988">
        <w:t>), the peptide corticotropin releasing factor (CRF), and the hormones adrenocorticotrophin hormone (ACTH)</w:t>
      </w:r>
      <w:r w:rsidR="007A6988" w:rsidRPr="00EB5225">
        <w:t xml:space="preserve"> </w:t>
      </w:r>
      <w:r w:rsidR="007A6988">
        <w:t>and cortisol</w:t>
      </w:r>
      <w:r w:rsidR="005B3CC9">
        <w:t>. Moreover, a</w:t>
      </w:r>
      <w:r w:rsidR="007A6988">
        <w:t xml:space="preserve">nimal studies have </w:t>
      </w:r>
      <w:r w:rsidR="007A6988" w:rsidRPr="006C3464">
        <w:t>shown that during hypoxia, feedback from chemoreceptors in the carotid body stimulate catecholaminergic and serotonergic neurons in the NTS (Chen et al., 2000; Wang &amp; Fitzgerald, 2002), while CRF, ACTH and cortisol are synthesized and released from the hypothalamic-pituitary-adrenal</w:t>
      </w:r>
      <w:r w:rsidR="007A6988" w:rsidRPr="00EB5225">
        <w:t xml:space="preserve"> </w:t>
      </w:r>
      <w:r w:rsidR="007A6988">
        <w:t>(HPA) axis</w:t>
      </w:r>
      <w:r w:rsidR="007A6988" w:rsidRPr="00EB5225">
        <w:t>, modulated by the action of N</w:t>
      </w:r>
      <w:r w:rsidR="007A6988">
        <w:t>E</w:t>
      </w:r>
      <w:r w:rsidR="007A6988" w:rsidRPr="00EB5225">
        <w:t xml:space="preserve"> and its receptors in the paraventricular nucleus of the </w:t>
      </w:r>
      <w:r w:rsidR="007A6988" w:rsidRPr="0094380C">
        <w:t>hypothalamus (Chen et al., 2004).</w:t>
      </w:r>
      <w:r w:rsidR="004C4636">
        <w:t xml:space="preserve"> </w:t>
      </w:r>
      <w:r w:rsidR="007A6988">
        <w:t>Research with animals and humans has shown that during high levels of stress</w:t>
      </w:r>
      <w:r w:rsidR="004C4636">
        <w:t xml:space="preserve"> of any kind</w:t>
      </w:r>
      <w:r w:rsidR="007A6988">
        <w:t xml:space="preserve">, NE in the LC is </w:t>
      </w:r>
      <w:r w:rsidR="007A6988" w:rsidRPr="00827F5B">
        <w:t>synthesi</w:t>
      </w:r>
      <w:r w:rsidR="007A6988">
        <w:t xml:space="preserve">zed </w:t>
      </w:r>
      <w:r w:rsidR="007A6988" w:rsidRPr="00827F5B">
        <w:t>and release</w:t>
      </w:r>
      <w:r w:rsidR="007A6988">
        <w:t>d</w:t>
      </w:r>
      <w:r w:rsidR="007A6988" w:rsidRPr="00827F5B">
        <w:t xml:space="preserve"> to other parts of the brain</w:t>
      </w:r>
      <w:r w:rsidR="007A6988">
        <w:t xml:space="preserve">. Moreover, </w:t>
      </w:r>
      <w:r w:rsidR="007A6988" w:rsidRPr="00827F5B">
        <w:t>LC neurons also project to the ventral tegmental area (VTA), where they activate α</w:t>
      </w:r>
      <w:r w:rsidR="007A6988" w:rsidRPr="00827F5B">
        <w:rPr>
          <w:vertAlign w:val="subscript"/>
        </w:rPr>
        <w:t>1</w:t>
      </w:r>
      <w:r w:rsidR="007A6988" w:rsidRPr="00827F5B">
        <w:t>-adrenoceptors, which induce enhanced glutamate release thus potentiating the firing of DA neurons</w:t>
      </w:r>
      <w:r w:rsidR="007A6988">
        <w:t xml:space="preserve"> (</w:t>
      </w:r>
      <w:r w:rsidR="007A6988" w:rsidRPr="00827F5B">
        <w:rPr>
          <w:bCs/>
        </w:rPr>
        <w:t xml:space="preserve">Mejías-Aponte </w:t>
      </w:r>
      <w:r w:rsidR="007A6988">
        <w:rPr>
          <w:bCs/>
        </w:rPr>
        <w:t>et al., 2009</w:t>
      </w:r>
      <w:r w:rsidR="007A6988">
        <w:t>)</w:t>
      </w:r>
      <w:r w:rsidR="007A6988" w:rsidRPr="00827F5B">
        <w:t>.</w:t>
      </w:r>
      <w:r w:rsidR="007A6988">
        <w:t xml:space="preserve"> </w:t>
      </w:r>
      <w:r w:rsidR="007A6988" w:rsidRPr="00C03110">
        <w:t xml:space="preserve">High </w:t>
      </w:r>
      <w:r w:rsidR="007A6988" w:rsidRPr="00C03110">
        <w:lastRenderedPageBreak/>
        <w:t>concentrations of N</w:t>
      </w:r>
      <w:r w:rsidR="007A6988">
        <w:t>E</w:t>
      </w:r>
      <w:r w:rsidR="007A6988" w:rsidRPr="00C03110">
        <w:t xml:space="preserve"> activate the low affinity α</w:t>
      </w:r>
      <w:r w:rsidR="007A6988" w:rsidRPr="00C03110">
        <w:rPr>
          <w:vertAlign w:val="subscript"/>
        </w:rPr>
        <w:t>1</w:t>
      </w:r>
      <w:r w:rsidR="007A6988" w:rsidRPr="00C03110">
        <w:t xml:space="preserve">- and β-adrenoceptors </w:t>
      </w:r>
      <w:r w:rsidR="007A6988">
        <w:t>(Arnsten, 2011)</w:t>
      </w:r>
      <w:r w:rsidR="007A6988" w:rsidRPr="00C03110">
        <w:t xml:space="preserve"> in the PFC. Furthermore, within the PFC, glucocorticoids further stimulate activation of α</w:t>
      </w:r>
      <w:r w:rsidR="007A6988" w:rsidRPr="00C03110">
        <w:rPr>
          <w:vertAlign w:val="subscript"/>
        </w:rPr>
        <w:t>1</w:t>
      </w:r>
      <w:r w:rsidR="007A6988" w:rsidRPr="00C03110">
        <w:t>-adrenoceptors and D</w:t>
      </w:r>
      <w:r w:rsidR="007A6988" w:rsidRPr="00C03110">
        <w:rPr>
          <w:vertAlign w:val="subscript"/>
        </w:rPr>
        <w:t>1</w:t>
      </w:r>
      <w:r w:rsidR="007A6988" w:rsidRPr="00C03110">
        <w:t xml:space="preserve">-receptors </w:t>
      </w:r>
      <w:r w:rsidR="007A6988">
        <w:t>(Shansky &amp; Lipps, 2013)</w:t>
      </w:r>
      <w:r w:rsidR="007A6988" w:rsidRPr="00C03110">
        <w:t>. The activation of α</w:t>
      </w:r>
      <w:r w:rsidR="007A6988" w:rsidRPr="00C03110">
        <w:rPr>
          <w:vertAlign w:val="subscript"/>
        </w:rPr>
        <w:t>1</w:t>
      </w:r>
      <w:r w:rsidR="007A6988" w:rsidRPr="00C03110">
        <w:t>-adrenoceptors reduces neuronal firing, while increased stimulation of D</w:t>
      </w:r>
      <w:r w:rsidR="007A6988" w:rsidRPr="00C03110">
        <w:rPr>
          <w:vertAlign w:val="subscript"/>
        </w:rPr>
        <w:t>1</w:t>
      </w:r>
      <w:r w:rsidR="007A6988" w:rsidRPr="00C03110">
        <w:t>-receptors and β-adrenoceptors induces even greater activity of the second messenger, c</w:t>
      </w:r>
      <w:r w:rsidR="007A6988">
        <w:t>yclic adenosine monophosphate</w:t>
      </w:r>
      <w:r w:rsidR="007A6988" w:rsidRPr="00C03110">
        <w:t xml:space="preserve">, which dampens all neuronal activity, thus weakening the signal to ‘noise’ ratio </w:t>
      </w:r>
      <w:r w:rsidR="007A6988">
        <w:t>(Arnsten, 2011)</w:t>
      </w:r>
      <w:r w:rsidR="007A6988" w:rsidRPr="00C03110">
        <w:t>. Hence, we expect</w:t>
      </w:r>
      <w:r w:rsidR="007A6988">
        <w:t>ed</w:t>
      </w:r>
      <w:r w:rsidR="007A6988" w:rsidRPr="00C03110">
        <w:t xml:space="preserve"> to see cognitive performance of central executive tasks inhibited, as they require activation of the PFC. </w:t>
      </w:r>
    </w:p>
    <w:p w:rsidR="006F3905" w:rsidRDefault="000C3F6A" w:rsidP="007A6988">
      <w:r>
        <w:tab/>
      </w:r>
      <w:r w:rsidR="007A6988" w:rsidRPr="00C03110">
        <w:t>Stress research with animals has shown that the situation with regard to non-executive tasks, which rely on activation of the sensory cortices</w:t>
      </w:r>
      <w:r w:rsidR="007A6988">
        <w:t xml:space="preserve"> and their association areas</w:t>
      </w:r>
      <w:r w:rsidR="007A6988" w:rsidRPr="00C03110">
        <w:t>, is different. High concentrations of N</w:t>
      </w:r>
      <w:r w:rsidR="007A6988">
        <w:t>E</w:t>
      </w:r>
      <w:r w:rsidR="007A6988" w:rsidRPr="00C03110">
        <w:t xml:space="preserve"> activating α</w:t>
      </w:r>
      <w:r w:rsidR="007A6988" w:rsidRPr="00C03110">
        <w:rPr>
          <w:vertAlign w:val="subscript"/>
        </w:rPr>
        <w:t>1</w:t>
      </w:r>
      <w:r w:rsidR="007A6988" w:rsidRPr="00C03110">
        <w:t xml:space="preserve">- and β-adrenoceptors can positively affect signal detection </w:t>
      </w:r>
      <w:r w:rsidR="007A6988">
        <w:t>(Waterhouse et al., 1980; 1981)</w:t>
      </w:r>
      <w:r w:rsidR="007A6988" w:rsidRPr="00C03110">
        <w:t>. Moreover, research has also shown that th</w:t>
      </w:r>
      <w:r w:rsidR="007A6988">
        <w:t>is can be increased</w:t>
      </w:r>
      <w:r w:rsidR="007A6988" w:rsidRPr="00C03110">
        <w:t xml:space="preserve"> by CRF and </w:t>
      </w:r>
      <w:r w:rsidR="007A6988">
        <w:t xml:space="preserve">5-HT stimulation of the </w:t>
      </w:r>
      <w:r w:rsidR="007A6988" w:rsidRPr="00C03110">
        <w:t>LC-N</w:t>
      </w:r>
      <w:r w:rsidR="007A6988">
        <w:t>E</w:t>
      </w:r>
      <w:r w:rsidR="007A6988" w:rsidRPr="00C03110">
        <w:t xml:space="preserve"> system. CRF causes tonic firing of LC-N</w:t>
      </w:r>
      <w:r w:rsidR="007A6988">
        <w:t>E</w:t>
      </w:r>
      <w:r w:rsidR="007A6988" w:rsidRPr="00C03110">
        <w:t xml:space="preserve"> neurons, which results in suppression of somatosensory signal transmission within the somatosensory thalamus and cortex </w:t>
      </w:r>
      <w:r w:rsidR="007A6988">
        <w:t>(</w:t>
      </w:r>
      <w:r w:rsidR="007A6988" w:rsidRPr="00827F5B">
        <w:t>Devilbiss</w:t>
      </w:r>
      <w:r w:rsidR="007A6988" w:rsidRPr="00C03110">
        <w:t xml:space="preserve"> </w:t>
      </w:r>
      <w:r w:rsidR="007A6988">
        <w:t>et al., 2012)</w:t>
      </w:r>
      <w:r w:rsidR="007A6988" w:rsidRPr="00C03110">
        <w:t xml:space="preserve">. This appears to reduce detectability of low-intensity stimuli without affecting high-intensity stimuli </w:t>
      </w:r>
      <w:r w:rsidR="007A6988">
        <w:t>(</w:t>
      </w:r>
      <w:r w:rsidR="007A6988" w:rsidRPr="00827F5B">
        <w:rPr>
          <w:bCs/>
        </w:rPr>
        <w:t xml:space="preserve">Devilbiss </w:t>
      </w:r>
      <w:r w:rsidR="007A6988">
        <w:rPr>
          <w:bCs/>
        </w:rPr>
        <w:t>&amp;</w:t>
      </w:r>
      <w:r w:rsidR="007A6988" w:rsidRPr="00827F5B">
        <w:rPr>
          <w:bCs/>
        </w:rPr>
        <w:t xml:space="preserve"> Waterhouse </w:t>
      </w:r>
      <w:r w:rsidR="007A6988">
        <w:rPr>
          <w:bCs/>
        </w:rPr>
        <w:t>2002; Moore, 2004)</w:t>
      </w:r>
      <w:r w:rsidR="007A6988" w:rsidRPr="00C03110">
        <w:t>. Arnsten (</w:t>
      </w:r>
      <w:r w:rsidR="007A6988">
        <w:t>2009</w:t>
      </w:r>
      <w:r w:rsidR="007A6988" w:rsidRPr="00C03110">
        <w:t>) saw this as a defense mechanism by which the organism increase</w:t>
      </w:r>
      <w:r>
        <w:t>s</w:t>
      </w:r>
      <w:r w:rsidR="007A6988" w:rsidRPr="00C03110">
        <w:t xml:space="preserve"> its ability to detect high priority</w:t>
      </w:r>
      <w:r w:rsidR="007A6988">
        <w:t>,</w:t>
      </w:r>
      <w:r w:rsidR="007A6988" w:rsidRPr="00C03110">
        <w:t xml:space="preserve"> dangerous stimuli and allow</w:t>
      </w:r>
      <w:r w:rsidR="007A6988">
        <w:t>s</w:t>
      </w:r>
      <w:r w:rsidR="007A6988" w:rsidRPr="00C03110">
        <w:t xml:space="preserve"> it to ignore non</w:t>
      </w:r>
      <w:r w:rsidR="007A6988">
        <w:t>-</w:t>
      </w:r>
      <w:r w:rsidR="007A6988" w:rsidRPr="00C03110">
        <w:t>threatening stimuli.</w:t>
      </w:r>
      <w:r w:rsidR="007A6988">
        <w:t xml:space="preserve"> Therefore, we thought that it was possible that such tasks, particularly perception/attention tasks</w:t>
      </w:r>
      <w:r w:rsidR="006F3905">
        <w:t>,</w:t>
      </w:r>
      <w:r w:rsidR="007A6988">
        <w:t xml:space="preserve"> might be facilitated by low oxygen levels</w:t>
      </w:r>
      <w:r w:rsidR="004A1A27">
        <w:t xml:space="preserve"> or, at least, unaffected</w:t>
      </w:r>
      <w:r w:rsidR="007A6988">
        <w:t>.</w:t>
      </w:r>
      <w:r w:rsidR="006F3905">
        <w:t xml:space="preserve"> </w:t>
      </w:r>
      <w:r w:rsidR="005B3CC9">
        <w:t>However, o</w:t>
      </w:r>
      <w:r w:rsidR="007A6988" w:rsidRPr="00E937EB">
        <w:t>ur results fail</w:t>
      </w:r>
      <w:r w:rsidR="007A6988">
        <w:t>ed</w:t>
      </w:r>
      <w:r w:rsidR="007A6988" w:rsidRPr="00E937EB">
        <w:t xml:space="preserve"> to support </w:t>
      </w:r>
      <w:r w:rsidR="006F3905">
        <w:t>this</w:t>
      </w:r>
      <w:r w:rsidR="006F7E27">
        <w:t>, with no significant differences between tasks.</w:t>
      </w:r>
    </w:p>
    <w:p w:rsidR="007A6988" w:rsidRDefault="006F3905" w:rsidP="006F3905">
      <w:r>
        <w:tab/>
        <w:t xml:space="preserve">The rationale that </w:t>
      </w:r>
      <w:r w:rsidR="007A6988" w:rsidRPr="00E937EB">
        <w:t>hypoxia</w:t>
      </w:r>
      <w:r w:rsidR="004C4636">
        <w:t xml:space="preserve"> </w:t>
      </w:r>
      <w:r w:rsidR="004C4636" w:rsidRPr="00E937EB">
        <w:t>would result in facilitation of non-executive tasks</w:t>
      </w:r>
      <w:r>
        <w:t xml:space="preserve"> </w:t>
      </w:r>
      <w:r w:rsidR="00D97439" w:rsidRPr="00D97439">
        <w:t xml:space="preserve">was </w:t>
      </w:r>
      <w:r w:rsidR="004C4636" w:rsidRPr="00D97439">
        <w:t xml:space="preserve">based on the fact that animal research has shown that hypoxia induces the release of </w:t>
      </w:r>
      <w:r w:rsidR="007A6988" w:rsidRPr="00D97439">
        <w:t xml:space="preserve">DA, NE, </w:t>
      </w:r>
      <w:r w:rsidR="007A6988" w:rsidRPr="00D97439">
        <w:lastRenderedPageBreak/>
        <w:t xml:space="preserve">glucocorticoids and 5-HT </w:t>
      </w:r>
      <w:r w:rsidR="00D97439" w:rsidRPr="00D97439">
        <w:t>in the brain (Chen et al., 2000;</w:t>
      </w:r>
      <w:r>
        <w:t xml:space="preserve"> </w:t>
      </w:r>
      <w:r w:rsidR="00D97439" w:rsidRPr="00D97439">
        <w:t xml:space="preserve">Erickson &amp; Millhorn, 1984), which </w:t>
      </w:r>
      <w:r>
        <w:t>should</w:t>
      </w:r>
      <w:r w:rsidR="007A6988" w:rsidRPr="00D97439">
        <w:t xml:space="preserve"> result in facilitation of non-executive tasks</w:t>
      </w:r>
      <w:r w:rsidR="006F7E27">
        <w:t xml:space="preserve"> in the manner explained in the previous paragraph</w:t>
      </w:r>
      <w:r w:rsidR="007A6988" w:rsidRPr="00D97439">
        <w:t xml:space="preserve">. </w:t>
      </w:r>
      <w:r>
        <w:t>However, a</w:t>
      </w:r>
      <w:r w:rsidR="007A6988" w:rsidRPr="00D97439">
        <w:t>ll</w:t>
      </w:r>
      <w:r w:rsidR="007A6988" w:rsidRPr="002F337C">
        <w:t xml:space="preserve"> task types were inhibited</w:t>
      </w:r>
      <w:r w:rsidR="007A6988">
        <w:t>, with no significant differences between them</w:t>
      </w:r>
      <w:r w:rsidR="007A6988" w:rsidRPr="002F337C">
        <w:t>.</w:t>
      </w:r>
      <w:r w:rsidR="007A6988" w:rsidRPr="00E937EB">
        <w:t xml:space="preserve"> </w:t>
      </w:r>
      <w:r w:rsidR="00FF421D">
        <w:t>Our findings are probably best explained by the work of Gibson and colleagues (</w:t>
      </w:r>
      <w:r w:rsidR="00FF421D" w:rsidRPr="00BD18BD">
        <w:t>Gibson et al., 1981; Gibson &amp; Peterson, 1982</w:t>
      </w:r>
      <w:r w:rsidR="00FF421D">
        <w:t xml:space="preserve">). </w:t>
      </w:r>
      <w:r w:rsidR="004A1A27">
        <w:t>They claimed that a</w:t>
      </w:r>
      <w:r w:rsidR="007A6988" w:rsidRPr="00E937EB">
        <w:t>lthough</w:t>
      </w:r>
      <w:r w:rsidR="007A6988">
        <w:t xml:space="preserve"> animal and human studies have shown that during hypoxia, </w:t>
      </w:r>
      <w:r w:rsidR="007A6988" w:rsidRPr="002845F9">
        <w:t xml:space="preserve">brain concentrations of DA and NE </w:t>
      </w:r>
      <w:r w:rsidR="00D1692D">
        <w:t>are not reduced</w:t>
      </w:r>
      <w:r w:rsidR="007A6988" w:rsidRPr="002845F9">
        <w:t xml:space="preserve">, turnover most likely </w:t>
      </w:r>
      <w:r w:rsidR="00D1692D">
        <w:t>i</w:t>
      </w:r>
      <w:r w:rsidR="007A6988" w:rsidRPr="002845F9">
        <w:t xml:space="preserve">s. The fall in turnover appears to be due to the requirement for oxygen during the synthesis, release and metabolism of the catecholamine and serotonin </w:t>
      </w:r>
      <w:r w:rsidR="007A6988" w:rsidRPr="00BD18BD">
        <w:t>neurotransmitters (Davis &amp; Carlsson, 1973; Gibson et al., 1981; Gibson &amp; Peterson, 1982; Shukitt-Hale et al., 1993). As a re</w:t>
      </w:r>
      <w:r w:rsidR="007A6988">
        <w:t>sult, during low levels of oxygen</w:t>
      </w:r>
      <w:r w:rsidR="007A6988" w:rsidRPr="00E937EB">
        <w:t>,</w:t>
      </w:r>
      <w:r w:rsidR="007A6988">
        <w:t xml:space="preserve"> poor performance of all cognitive tasks is due to a lack of activity by DA, NE and 5-HT. This would have the same effect as low catecholamines and 5-HT concentrations in the brain </w:t>
      </w:r>
      <w:r w:rsidR="007A6988" w:rsidRPr="00117419">
        <w:t>which</w:t>
      </w:r>
      <w:r w:rsidR="000C3F6A">
        <w:t>, in line with inverted-U theory (Yerkes &amp; Dodson, 1908),</w:t>
      </w:r>
      <w:r w:rsidR="007A6988" w:rsidRPr="00117419">
        <w:t xml:space="preserve"> </w:t>
      </w:r>
      <w:r w:rsidR="000C3F6A">
        <w:t>is</w:t>
      </w:r>
      <w:r w:rsidR="007A6988" w:rsidRPr="00117419">
        <w:t xml:space="preserve"> thought to inhibit performance</w:t>
      </w:r>
      <w:r w:rsidR="007A6988">
        <w:t xml:space="preserve"> of all types of task (Cooper, 1973; Decamp &amp; Schneider, 2009; Kumar et al., 2011). When neurotransmitter concentrations are low, </w:t>
      </w:r>
      <w:r w:rsidR="007A6988" w:rsidRPr="000C5875">
        <w:t>the appropriate sequence of neuronal activation cannot be obtained as a result of neurons being at such a low level of excitation that they cannot be stimulated to an adequate level of summation.</w:t>
      </w:r>
    </w:p>
    <w:p w:rsidR="007A6988" w:rsidRPr="000C5875" w:rsidRDefault="007A6988" w:rsidP="007A6988">
      <w:pPr>
        <w:rPr>
          <w:highlight w:val="cyan"/>
        </w:rPr>
      </w:pPr>
      <w:r w:rsidRPr="00FF421D">
        <w:tab/>
      </w:r>
      <w:r w:rsidR="00D1692D" w:rsidRPr="00FF421D">
        <w:t xml:space="preserve">The current findings regarding </w:t>
      </w:r>
      <w:r w:rsidRPr="00FF421D">
        <w:t xml:space="preserve">the use of normobaric versus hypobaric hypoxic conditions are </w:t>
      </w:r>
      <w:r w:rsidR="00A97253" w:rsidRPr="00FF421D">
        <w:t>inconclusive</w:t>
      </w:r>
      <w:r w:rsidRPr="00FF421D">
        <w:t xml:space="preserve">. There was a </w:t>
      </w:r>
      <w:r w:rsidR="00A97253" w:rsidRPr="00FF421D">
        <w:t xml:space="preserve">trend toward a </w:t>
      </w:r>
      <w:r w:rsidRPr="00FF421D">
        <w:t>significant regression (p = .0</w:t>
      </w:r>
      <w:r w:rsidR="00FF421D">
        <w:t>46</w:t>
      </w:r>
      <w:r w:rsidRPr="00FF421D">
        <w:t>), and low R</w:t>
      </w:r>
      <w:r w:rsidRPr="00FF421D">
        <w:rPr>
          <w:vertAlign w:val="superscript"/>
        </w:rPr>
        <w:t>2</w:t>
      </w:r>
      <w:r w:rsidRPr="00FF421D">
        <w:t xml:space="preserve"> (.29) and B (0.50), which </w:t>
      </w:r>
      <w:r w:rsidR="00A97253" w:rsidRPr="00FF421D">
        <w:t xml:space="preserve">suggests that </w:t>
      </w:r>
      <w:r w:rsidRPr="00FF421D">
        <w:t xml:space="preserve">normobaric hypoxia </w:t>
      </w:r>
      <w:r w:rsidR="00A97253" w:rsidRPr="00FF421D">
        <w:t>may be associated with greater reductions in cognitive function</w:t>
      </w:r>
      <w:r w:rsidRPr="00FF421D">
        <w:t>. However, when the interaction between PaO</w:t>
      </w:r>
      <w:r w:rsidRPr="00FF421D">
        <w:rPr>
          <w:vertAlign w:val="subscript"/>
        </w:rPr>
        <w:t>2</w:t>
      </w:r>
      <w:r w:rsidRPr="00FF421D">
        <w:t xml:space="preserve"> level and normobaric versus hypobaric conditions was examined, the latter had no significant moderating effect on the outcome.</w:t>
      </w:r>
      <w:r w:rsidR="000C3F6A" w:rsidRPr="00FF421D">
        <w:t xml:space="preserve"> </w:t>
      </w:r>
      <w:r w:rsidR="00D702BF" w:rsidRPr="00FF421D">
        <w:t xml:space="preserve">This is </w:t>
      </w:r>
      <w:r w:rsidR="00B2129B">
        <w:t xml:space="preserve">despite the fact that </w:t>
      </w:r>
      <w:r w:rsidR="00D702BF" w:rsidRPr="00FF421D">
        <w:t>l</w:t>
      </w:r>
      <w:r w:rsidRPr="00FF421D">
        <w:t>evels of NO</w:t>
      </w:r>
      <w:r w:rsidR="000C3F6A" w:rsidRPr="00FF421D">
        <w:t xml:space="preserve"> have</w:t>
      </w:r>
      <w:r w:rsidRPr="00FF421D">
        <w:t xml:space="preserve"> been shown to increase vasodilation during hypoxia (Umbrello et al., 2012)</w:t>
      </w:r>
      <w:r w:rsidR="000C3F6A" w:rsidRPr="00FF421D">
        <w:t xml:space="preserve"> and these are</w:t>
      </w:r>
      <w:r w:rsidRPr="00FF421D">
        <w:t xml:space="preserve"> lower in hypobaric conditions, </w:t>
      </w:r>
      <w:r w:rsidRPr="00FF421D">
        <w:lastRenderedPageBreak/>
        <w:t xml:space="preserve">resulting in greater oxidative stress than in the normobaric condition (Faiss et al., 2013; Hemmingsson &amp; Linnarsson, 2009). However, our data would strongly suggest that </w:t>
      </w:r>
      <w:r w:rsidR="00204BE3" w:rsidRPr="00FF421D">
        <w:t>when determining the effect of hypoxia on cognition</w:t>
      </w:r>
      <w:r w:rsidR="00204BE3">
        <w:t>,</w:t>
      </w:r>
      <w:r w:rsidR="00204BE3" w:rsidRPr="00FF421D">
        <w:t xml:space="preserve"> </w:t>
      </w:r>
      <w:r w:rsidRPr="00FF421D">
        <w:t>PaO</w:t>
      </w:r>
      <w:r w:rsidRPr="00FF421D">
        <w:rPr>
          <w:vertAlign w:val="subscript"/>
        </w:rPr>
        <w:t>2</w:t>
      </w:r>
      <w:r w:rsidRPr="00FF421D">
        <w:t xml:space="preserve"> level is the key factor</w:t>
      </w:r>
      <w:r w:rsidR="00D702BF" w:rsidRPr="00FF421D">
        <w:t>, regardless of whether it is in hypobaric or normobaric conditions</w:t>
      </w:r>
      <w:r w:rsidRPr="00FF421D">
        <w:t xml:space="preserve">. </w:t>
      </w:r>
    </w:p>
    <w:p w:rsidR="007A6988" w:rsidRPr="0092761B" w:rsidRDefault="0092761B" w:rsidP="007A6988">
      <w:r>
        <w:t>4.</w:t>
      </w:r>
      <w:r w:rsidR="00A842FA">
        <w:t>1</w:t>
      </w:r>
      <w:r>
        <w:t xml:space="preserve">. </w:t>
      </w:r>
      <w:r w:rsidR="007A6988" w:rsidRPr="0092761B">
        <w:t>Limitations</w:t>
      </w:r>
    </w:p>
    <w:p w:rsidR="007A6988" w:rsidRPr="00BD155F" w:rsidRDefault="007A6988" w:rsidP="007A6988">
      <w:r w:rsidRPr="00BD155F">
        <w:tab/>
      </w:r>
      <w:r w:rsidR="00A97253">
        <w:t>The conclusions of the current review are only applicable w</w:t>
      </w:r>
      <w:r>
        <w:t>hen</w:t>
      </w:r>
      <w:r w:rsidRPr="00BD155F">
        <w:t xml:space="preserve"> </w:t>
      </w:r>
      <w:r>
        <w:t>PaO</w:t>
      </w:r>
      <w:r w:rsidRPr="00316DB0">
        <w:rPr>
          <w:vertAlign w:val="subscript"/>
        </w:rPr>
        <w:t>2</w:t>
      </w:r>
      <w:r>
        <w:t xml:space="preserve"> levels range from 89 mmHg to 35 mmHg and </w:t>
      </w:r>
      <w:r w:rsidRPr="00E97894">
        <w:t>for a duration of 10 mins to 5 days.</w:t>
      </w:r>
      <w:r>
        <w:t xml:space="preserve"> When PaO</w:t>
      </w:r>
      <w:r w:rsidRPr="00316DB0">
        <w:rPr>
          <w:vertAlign w:val="subscript"/>
        </w:rPr>
        <w:t>2</w:t>
      </w:r>
      <w:r>
        <w:t xml:space="preserve"> is at very low levels, e.g. those found near the summit of Mount Everest (PaO</w:t>
      </w:r>
      <w:r w:rsidRPr="0082363B">
        <w:rPr>
          <w:vertAlign w:val="subscript"/>
        </w:rPr>
        <w:t>2</w:t>
      </w:r>
      <w:r>
        <w:t xml:space="preserve"> &lt; 30 mmHg; West, 2004), cognition becomes severely inhibited (Wagner, 2010). </w:t>
      </w:r>
      <w:r w:rsidR="00A97253">
        <w:t xml:space="preserve">Currently, there is significant debate regarding the effects of acclimatization on cognition (Malle et al., 2016; Rimoldi et al., 2016) and we considered this topic outside the scope of the current review. </w:t>
      </w:r>
      <w:r w:rsidR="00D702BF">
        <w:t>We should note however that t</w:t>
      </w:r>
      <w:r w:rsidR="00A97253">
        <w:t>he effects of acclimatization may be associated to the action of the transcription factor, hypoxia-inducible factor (HIF), which binds with hypoxia response element (HRE), to upregulate production of erythropoietin, angiogenic factors and glucose transporters (Bruick, 2003)</w:t>
      </w:r>
      <w:r w:rsidR="00D702BF">
        <w:t>,</w:t>
      </w:r>
      <w:r w:rsidR="00A97253">
        <w:t xml:space="preserve"> which may help consolidate cognition</w:t>
      </w:r>
      <w:r w:rsidR="00D702BF">
        <w:t>.</w:t>
      </w:r>
    </w:p>
    <w:p w:rsidR="007A6988" w:rsidRDefault="007A6988" w:rsidP="007A6988">
      <w:r w:rsidRPr="00BD155F">
        <w:tab/>
      </w:r>
      <w:r>
        <w:t xml:space="preserve">With regard to the cognitive tasks used in </w:t>
      </w:r>
      <w:r w:rsidR="00034CCC">
        <w:t>t</w:t>
      </w:r>
      <w:r w:rsidR="00A97253">
        <w:t>he studies included in the current review, we feel it is imperative to highlight tha</w:t>
      </w:r>
      <w:r w:rsidR="00034CCC">
        <w:t xml:space="preserve">t </w:t>
      </w:r>
      <w:r>
        <w:t xml:space="preserve">there were no long-term </w:t>
      </w:r>
      <w:r w:rsidRPr="00987C94">
        <w:t xml:space="preserve">memory tasks. </w:t>
      </w:r>
      <w:r w:rsidR="00987C94" w:rsidRPr="00987C94">
        <w:t>H</w:t>
      </w:r>
      <w:r w:rsidRPr="00987C94">
        <w:t xml:space="preserve">ypoxia has been shown to induce the release of brain derived neurotrophic factor, important for long-term potentiation and memory formation, </w:t>
      </w:r>
      <w:r w:rsidR="00987C94" w:rsidRPr="00987C94">
        <w:t xml:space="preserve">therefore </w:t>
      </w:r>
      <w:r w:rsidRPr="00987C94">
        <w:t xml:space="preserve">one might expect a positive effect. </w:t>
      </w:r>
      <w:r w:rsidR="00987C94" w:rsidRPr="00987C94">
        <w:t>However, this appears to be dependent on activation of DA receptors (Wang et al., 2006) and</w:t>
      </w:r>
      <w:r w:rsidR="002B1715">
        <w:t>,</w:t>
      </w:r>
      <w:r w:rsidR="00987C94" w:rsidRPr="00987C94">
        <w:t xml:space="preserve"> as</w:t>
      </w:r>
      <w:r w:rsidR="00987C94">
        <w:t xml:space="preserve"> we have seen</w:t>
      </w:r>
      <w:r w:rsidR="002B1715">
        <w:t>,</w:t>
      </w:r>
      <w:r w:rsidR="00987C94">
        <w:t xml:space="preserve"> the activity of DA is inhibited by acute hypoxia. Similarly</w:t>
      </w:r>
      <w:r w:rsidRPr="00B651CF">
        <w:t>, hypoxia also induces release of acetylcholine (Ach) in the NTS via the carotid body-glossypharyngeal nerve pathway</w:t>
      </w:r>
      <w:r>
        <w:t xml:space="preserve"> (</w:t>
      </w:r>
      <w:r w:rsidRPr="00D90BCA">
        <w:t>Guyenet et al., 2013</w:t>
      </w:r>
      <w:r>
        <w:t>)</w:t>
      </w:r>
      <w:r w:rsidRPr="00B651CF">
        <w:t>. Ach</w:t>
      </w:r>
      <w:r>
        <w:t xml:space="preserve"> has been shown to play a major role in developing long-term memory (Blake et </w:t>
      </w:r>
      <w:r>
        <w:lastRenderedPageBreak/>
        <w:t xml:space="preserve">al., 2014; Parent &amp; Baxter, 2004). However, Gibson and Peterson (1981) showed that Ach synthesis, release and metabolism was inhibited by low levels of oxygen. </w:t>
      </w:r>
      <w:r w:rsidR="00987C94">
        <w:t xml:space="preserve">Despite this, </w:t>
      </w:r>
      <w:r>
        <w:t xml:space="preserve">research </w:t>
      </w:r>
      <w:r w:rsidR="00987C94">
        <w:t xml:space="preserve">into the effects of hypoxia on long-term memory </w:t>
      </w:r>
      <w:r>
        <w:t>is still very much required.</w:t>
      </w:r>
    </w:p>
    <w:p w:rsidR="007A6988" w:rsidRPr="00512C20" w:rsidRDefault="007A6988" w:rsidP="007A6988">
      <w:r w:rsidRPr="00512C20">
        <w:tab/>
      </w:r>
      <w:r>
        <w:t xml:space="preserve">Unfortunately, </w:t>
      </w:r>
      <w:r w:rsidR="00034CCC">
        <w:t>this review and meta-analysis is</w:t>
      </w:r>
      <w:r>
        <w:t xml:space="preserve"> </w:t>
      </w:r>
      <w:r w:rsidR="00034CCC">
        <w:t>limited by the number of and quality of the included studies</w:t>
      </w:r>
      <w:r w:rsidR="00D702BF">
        <w:t>,</w:t>
      </w:r>
      <w:r w:rsidR="00034CCC">
        <w:t xml:space="preserve"> </w:t>
      </w:r>
      <w:r w:rsidR="00D702BF">
        <w:t xml:space="preserve">and </w:t>
      </w:r>
      <w:r>
        <w:t xml:space="preserve">also suffers from the limited number </w:t>
      </w:r>
      <w:r w:rsidRPr="009022AA">
        <w:t xml:space="preserve">of studies. </w:t>
      </w:r>
      <w:r w:rsidR="00E97894" w:rsidRPr="009022AA">
        <w:t>The small number of studies limited the number of potential modulators that we could examine. For example, the range of time of measuring cognition post-initial exposure to hypoxia ranged from 10 mins to 5 days. This may have had an effect on performance. M</w:t>
      </w:r>
      <w:r w:rsidRPr="009022AA">
        <w:t>oreover, no</w:t>
      </w:r>
      <w:r w:rsidR="00034CCC" w:rsidRPr="009022AA">
        <w:t>ne of the</w:t>
      </w:r>
      <w:r w:rsidR="00034CCC">
        <w:t xml:space="preserve"> included studies incorporated the assessment of </w:t>
      </w:r>
      <w:r w:rsidRPr="00C46E2D">
        <w:t>neurochemical measurements</w:t>
      </w:r>
      <w:r w:rsidR="00034CCC">
        <w:t xml:space="preserve"> to support their findings.</w:t>
      </w:r>
      <w:r>
        <w:t xml:space="preserve"> </w:t>
      </w:r>
    </w:p>
    <w:p w:rsidR="007A6988" w:rsidRPr="00204BE3" w:rsidRDefault="0092761B" w:rsidP="007A6988">
      <w:r w:rsidRPr="00204BE3">
        <w:t xml:space="preserve">5. </w:t>
      </w:r>
      <w:r w:rsidR="007A6988" w:rsidRPr="00204BE3">
        <w:t>Conclusion</w:t>
      </w:r>
    </w:p>
    <w:p w:rsidR="00034CCC" w:rsidRDefault="007A6988" w:rsidP="007A6988">
      <w:pPr>
        <w:rPr>
          <w:lang w:eastAsia="en-GB"/>
        </w:rPr>
      </w:pPr>
      <w:r>
        <w:tab/>
      </w:r>
      <w:r w:rsidR="00034CCC">
        <w:t xml:space="preserve">In conclusion, the key findings to emerge from this this review are </w:t>
      </w:r>
      <w:r w:rsidR="00D702BF">
        <w:t>a</w:t>
      </w:r>
      <w:r w:rsidR="00034CCC">
        <w:t xml:space="preserve">) hypoxia has a negative effect on cognition, </w:t>
      </w:r>
      <w:r w:rsidR="00D702BF">
        <w:t>b</w:t>
      </w:r>
      <w:r w:rsidR="00034CCC">
        <w:t xml:space="preserve">) this is regardless of whether the task is central executive or a non-executive perception/attention or STM task, and </w:t>
      </w:r>
      <w:r w:rsidR="00D702BF">
        <w:t>c</w:t>
      </w:r>
      <w:r w:rsidR="00034CCC">
        <w:t xml:space="preserve">) it is likely that </w:t>
      </w:r>
      <w:r w:rsidR="00034CCC" w:rsidRPr="003463EF">
        <w:t>P</w:t>
      </w:r>
      <w:r w:rsidR="00034CCC">
        <w:t>a</w:t>
      </w:r>
      <w:r w:rsidR="00034CCC" w:rsidRPr="003463EF">
        <w:t>O</w:t>
      </w:r>
      <w:r w:rsidR="00034CCC" w:rsidRPr="00D702BF">
        <w:rPr>
          <w:vertAlign w:val="subscript"/>
        </w:rPr>
        <w:t>2</w:t>
      </w:r>
      <w:r w:rsidR="00034CCC" w:rsidRPr="003463EF">
        <w:t xml:space="preserve"> level</w:t>
      </w:r>
      <w:r w:rsidR="00034CCC">
        <w:t>,</w:t>
      </w:r>
      <w:r w:rsidR="00034CCC" w:rsidRPr="003463EF">
        <w:t xml:space="preserve"> and </w:t>
      </w:r>
      <w:r w:rsidR="00034CCC">
        <w:t xml:space="preserve">not whether the exposure is </w:t>
      </w:r>
      <w:r w:rsidR="00D702BF">
        <w:t xml:space="preserve">in </w:t>
      </w:r>
      <w:r w:rsidR="00034CCC">
        <w:t xml:space="preserve">hypobaric hypoxic </w:t>
      </w:r>
      <w:r w:rsidR="00034CCC" w:rsidRPr="00D702BF">
        <w:rPr>
          <w:rStyle w:val="Emphasis"/>
          <w:i w:val="0"/>
        </w:rPr>
        <w:t>or</w:t>
      </w:r>
      <w:r w:rsidR="00034CCC" w:rsidRPr="00D702BF">
        <w:rPr>
          <w:i/>
        </w:rPr>
        <w:t xml:space="preserve"> </w:t>
      </w:r>
      <w:r w:rsidR="00034CCC">
        <w:t>normobaric hypoxic</w:t>
      </w:r>
      <w:r w:rsidR="00D702BF">
        <w:t xml:space="preserve"> conditions</w:t>
      </w:r>
      <w:r w:rsidR="00034CCC">
        <w:t>, is the key predictor of cognitive performance.</w:t>
      </w:r>
    </w:p>
    <w:p w:rsidR="00034CCC" w:rsidRDefault="00034CCC" w:rsidP="007A6988">
      <w:pPr>
        <w:rPr>
          <w:lang w:eastAsia="en-GB"/>
        </w:rPr>
      </w:pPr>
    </w:p>
    <w:p w:rsidR="00034CCC" w:rsidRPr="00204BE3" w:rsidRDefault="0092761B" w:rsidP="007A6988">
      <w:r w:rsidRPr="00204BE3">
        <w:t>6. References</w:t>
      </w:r>
    </w:p>
    <w:p w:rsidR="0092761B" w:rsidRDefault="00886659" w:rsidP="007A6988">
      <w:r>
        <w:t>* Included in meta-analyses</w:t>
      </w:r>
    </w:p>
    <w:p w:rsidR="00886659" w:rsidRDefault="00886659" w:rsidP="00886659"/>
    <w:p w:rsidR="00886659" w:rsidRPr="005E28B4" w:rsidRDefault="00886659" w:rsidP="00594CFB">
      <w:pPr>
        <w:pStyle w:val="ListParagraph"/>
        <w:numPr>
          <w:ilvl w:val="0"/>
          <w:numId w:val="1"/>
        </w:numPr>
      </w:pPr>
      <w:r w:rsidRPr="005E28B4">
        <w:t>Abbott</w:t>
      </w:r>
      <w:r>
        <w:t>,</w:t>
      </w:r>
      <w:r w:rsidRPr="005E28B4">
        <w:t xml:space="preserve"> S</w:t>
      </w:r>
      <w:r>
        <w:t>.</w:t>
      </w:r>
      <w:r w:rsidRPr="005E28B4">
        <w:t>B,</w:t>
      </w:r>
      <w:r>
        <w:t>,</w:t>
      </w:r>
      <w:r w:rsidRPr="005E28B4">
        <w:t xml:space="preserve"> Kanbar</w:t>
      </w:r>
      <w:r>
        <w:t>,</w:t>
      </w:r>
      <w:r w:rsidRPr="005E28B4">
        <w:t xml:space="preserve"> R</w:t>
      </w:r>
      <w:r>
        <w:t>.</w:t>
      </w:r>
      <w:r w:rsidRPr="005E28B4">
        <w:t>, Bochorishvili</w:t>
      </w:r>
      <w:r>
        <w:t>,</w:t>
      </w:r>
      <w:r w:rsidRPr="005E28B4">
        <w:t xml:space="preserve"> G</w:t>
      </w:r>
      <w:r>
        <w:t>.</w:t>
      </w:r>
      <w:r w:rsidRPr="005E28B4">
        <w:t>, Coates</w:t>
      </w:r>
      <w:r>
        <w:t>,</w:t>
      </w:r>
      <w:r w:rsidRPr="005E28B4">
        <w:t xml:space="preserve"> M</w:t>
      </w:r>
      <w:r>
        <w:t>.</w:t>
      </w:r>
      <w:r w:rsidRPr="005E28B4">
        <w:t>B</w:t>
      </w:r>
      <w:r>
        <w:t>.</w:t>
      </w:r>
      <w:r w:rsidRPr="005E28B4">
        <w:t>, Stornetta</w:t>
      </w:r>
      <w:r>
        <w:t>,</w:t>
      </w:r>
      <w:r w:rsidRPr="005E28B4">
        <w:t xml:space="preserve"> R</w:t>
      </w:r>
      <w:r>
        <w:t>.</w:t>
      </w:r>
      <w:r w:rsidRPr="005E28B4">
        <w:t>L</w:t>
      </w:r>
      <w:r>
        <w:t>.</w:t>
      </w:r>
      <w:r w:rsidRPr="005E28B4">
        <w:t>, Guyenet</w:t>
      </w:r>
      <w:r>
        <w:t>,</w:t>
      </w:r>
      <w:r w:rsidRPr="005E28B4">
        <w:t xml:space="preserve"> P</w:t>
      </w:r>
      <w:r>
        <w:t>.</w:t>
      </w:r>
      <w:r w:rsidRPr="005E28B4">
        <w:t>G.</w:t>
      </w:r>
      <w:r>
        <w:t xml:space="preserve">, 2012. </w:t>
      </w:r>
      <w:r w:rsidRPr="005E28B4">
        <w:t>C1 neurons excite locus coeruleus and A5 noradrenergic neurons along with sympathetic outflow in rats</w:t>
      </w:r>
      <w:r>
        <w:t>.</w:t>
      </w:r>
      <w:r w:rsidRPr="005E28B4">
        <w:t xml:space="preserve"> J</w:t>
      </w:r>
      <w:r>
        <w:t>.</w:t>
      </w:r>
      <w:r w:rsidRPr="005E28B4">
        <w:t xml:space="preserve"> Physiol</w:t>
      </w:r>
      <w:r>
        <w:t xml:space="preserve">. </w:t>
      </w:r>
      <w:r w:rsidRPr="005E28B4">
        <w:t>590</w:t>
      </w:r>
      <w:r>
        <w:t xml:space="preserve">, </w:t>
      </w:r>
      <w:r w:rsidRPr="005E28B4">
        <w:t>2897–915.</w:t>
      </w:r>
    </w:p>
    <w:p w:rsidR="00886659" w:rsidRPr="00594CFB" w:rsidRDefault="00886659" w:rsidP="00594CFB">
      <w:pPr>
        <w:pStyle w:val="ListParagraph"/>
        <w:numPr>
          <w:ilvl w:val="0"/>
          <w:numId w:val="1"/>
        </w:numPr>
        <w:rPr>
          <w:color w:val="000000"/>
        </w:rPr>
      </w:pPr>
      <w:r w:rsidRPr="00594CFB">
        <w:rPr>
          <w:color w:val="000000"/>
        </w:rPr>
        <w:lastRenderedPageBreak/>
        <w:t>*</w:t>
      </w:r>
      <w:r w:rsidRPr="008D61DF">
        <w:t>Ando, S., Hatamoto, Y., Sudo, M., Kiyonaga, A., Tanaka, H., Higaki,, Y., 2013. The effects of exercise under hypoxia on cognitive function. PLoS ONE 8(5): e63630</w:t>
      </w:r>
      <w:r>
        <w:t>.</w:t>
      </w:r>
      <w:r w:rsidRPr="008D61DF">
        <w:t xml:space="preserve"> doi:10.1371/journal.pone.0063630</w:t>
      </w:r>
    </w:p>
    <w:p w:rsidR="00886659" w:rsidRPr="005E28B4" w:rsidRDefault="00886659" w:rsidP="00594CFB">
      <w:pPr>
        <w:pStyle w:val="ListParagraph"/>
        <w:numPr>
          <w:ilvl w:val="0"/>
          <w:numId w:val="1"/>
        </w:numPr>
        <w:autoSpaceDE w:val="0"/>
        <w:autoSpaceDN w:val="0"/>
        <w:adjustRightInd w:val="0"/>
      </w:pPr>
      <w:r w:rsidRPr="005E28B4">
        <w:t>Arnsten,</w:t>
      </w:r>
      <w:r>
        <w:t xml:space="preserve"> </w:t>
      </w:r>
      <w:r w:rsidRPr="005E28B4">
        <w:t>A.F.T.</w:t>
      </w:r>
      <w:r>
        <w:t>, 2009.</w:t>
      </w:r>
      <w:r w:rsidRPr="005E28B4">
        <w:t xml:space="preserve"> Stress signalling pathways that impair prefrontal cortex structure and function, Nat. Rev. Neurosci. 10</w:t>
      </w:r>
      <w:r>
        <w:t>,</w:t>
      </w:r>
      <w:r w:rsidRPr="005E28B4">
        <w:t xml:space="preserve"> 410–422.</w:t>
      </w:r>
    </w:p>
    <w:p w:rsidR="00886659" w:rsidRPr="00886659" w:rsidRDefault="00886659" w:rsidP="00594CFB">
      <w:pPr>
        <w:pStyle w:val="ListParagraph"/>
        <w:numPr>
          <w:ilvl w:val="0"/>
          <w:numId w:val="1"/>
        </w:numPr>
        <w:autoSpaceDE w:val="0"/>
        <w:autoSpaceDN w:val="0"/>
        <w:adjustRightInd w:val="0"/>
      </w:pPr>
      <w:r w:rsidRPr="00886659">
        <w:t xml:space="preserve">Arnsten, A.F.T., 2011. Catecholamine influences on dorsolateral prefrontal cortical networks, Biol. Psychiatry. 69, e89–e99, </w:t>
      </w:r>
      <w:hyperlink r:id="rId7" w:history="1">
        <w:r w:rsidRPr="00594CFB">
          <w:rPr>
            <w:rStyle w:val="Hyperlink"/>
            <w:color w:val="auto"/>
            <w:u w:val="none"/>
          </w:rPr>
          <w:t>http://dx.doi.org/10.1016/j.biopsych</w:t>
        </w:r>
      </w:hyperlink>
      <w:r w:rsidRPr="00886659">
        <w:t>. 2011.01.027</w:t>
      </w:r>
    </w:p>
    <w:p w:rsidR="00886659" w:rsidRPr="005E28B4" w:rsidRDefault="00886659" w:rsidP="00594CFB">
      <w:pPr>
        <w:pStyle w:val="Title1"/>
        <w:numPr>
          <w:ilvl w:val="0"/>
          <w:numId w:val="1"/>
        </w:numPr>
        <w:shd w:val="clear" w:color="auto" w:fill="FFFFFF"/>
        <w:spacing w:before="0" w:beforeAutospacing="0" w:after="0" w:afterAutospacing="0" w:line="480" w:lineRule="auto"/>
      </w:pPr>
      <w:r w:rsidRPr="00886659">
        <w:t xml:space="preserve">*Asmaro, D., Mayall, J., Ferguson, S., 2013. </w:t>
      </w:r>
      <w:hyperlink r:id="rId8" w:history="1">
        <w:r w:rsidRPr="00886659">
          <w:rPr>
            <w:rStyle w:val="Hyperlink"/>
            <w:bCs/>
            <w:color w:val="auto"/>
            <w:u w:val="none"/>
          </w:rPr>
          <w:t xml:space="preserve">Cognition </w:t>
        </w:r>
        <w:r w:rsidRPr="00886659">
          <w:rPr>
            <w:rStyle w:val="Hyperlink"/>
            <w:color w:val="auto"/>
            <w:u w:val="none"/>
          </w:rPr>
          <w:t>at altitude: impairment in executive and memory processes under hypoxic conditions.</w:t>
        </w:r>
      </w:hyperlink>
      <w:r w:rsidRPr="00886659">
        <w:rPr>
          <w:rStyle w:val="Hyperlink"/>
          <w:color w:val="auto"/>
          <w:u w:val="none"/>
        </w:rPr>
        <w:t xml:space="preserve"> </w:t>
      </w:r>
      <w:hyperlink r:id="rId9" w:tooltip="Aviation, space, and environmental medicine." w:history="1">
        <w:r w:rsidRPr="00886659">
          <w:rPr>
            <w:rStyle w:val="Hyperlink"/>
            <w:color w:val="auto"/>
            <w:u w:val="none"/>
            <w:shd w:val="clear" w:color="auto" w:fill="FFFFFF"/>
          </w:rPr>
          <w:t>Aviat. Space Environ. Med.</w:t>
        </w:r>
      </w:hyperlink>
      <w:r w:rsidRPr="00886659">
        <w:rPr>
          <w:shd w:val="clear" w:color="auto" w:fill="FFFFFF"/>
        </w:rPr>
        <w:t xml:space="preserve"> 11</w:t>
      </w:r>
      <w:r>
        <w:rPr>
          <w:shd w:val="clear" w:color="auto" w:fill="FFFFFF"/>
        </w:rPr>
        <w:t xml:space="preserve">, </w:t>
      </w:r>
      <w:r w:rsidRPr="005E28B4">
        <w:rPr>
          <w:shd w:val="clear" w:color="auto" w:fill="FFFFFF"/>
        </w:rPr>
        <w:t>59-65</w:t>
      </w:r>
      <w:r>
        <w:rPr>
          <w:shd w:val="clear" w:color="auto" w:fill="FFFFFF"/>
        </w:rPr>
        <w:t>.</w:t>
      </w:r>
      <w:r w:rsidRPr="005E28B4">
        <w:rPr>
          <w:shd w:val="clear" w:color="auto" w:fill="FFFFFF"/>
        </w:rPr>
        <w:t xml:space="preserve"> </w:t>
      </w:r>
    </w:p>
    <w:p w:rsidR="00886659" w:rsidRPr="005E28B4" w:rsidRDefault="00886659" w:rsidP="00594CFB">
      <w:pPr>
        <w:pStyle w:val="ListParagraph"/>
        <w:numPr>
          <w:ilvl w:val="0"/>
          <w:numId w:val="1"/>
        </w:numPr>
        <w:rPr>
          <w:lang w:eastAsia="en-GB"/>
        </w:rPr>
      </w:pPr>
      <w:r w:rsidRPr="001A1184">
        <w:t>Baddeley, A.D. 1986. Working Memory, Oxford University Press, New York.</w:t>
      </w:r>
    </w:p>
    <w:p w:rsidR="00886659" w:rsidRDefault="00886659" w:rsidP="00594CFB">
      <w:pPr>
        <w:pStyle w:val="ListParagraph"/>
        <w:numPr>
          <w:ilvl w:val="0"/>
          <w:numId w:val="1"/>
        </w:numPr>
        <w:autoSpaceDE w:val="0"/>
        <w:autoSpaceDN w:val="0"/>
        <w:adjustRightInd w:val="0"/>
      </w:pPr>
      <w:r w:rsidRPr="005E28B4">
        <w:t>Barbas, H.</w:t>
      </w:r>
      <w:r>
        <w:t xml:space="preserve">, 2000. </w:t>
      </w:r>
      <w:r w:rsidRPr="005E28B4">
        <w:t>Connections underlying the synthesis of cognition, memory, and emotion in primate prefrontal cortices, Brain Res. Bull. 52</w:t>
      </w:r>
      <w:r>
        <w:t>,</w:t>
      </w:r>
      <w:r w:rsidRPr="005E28B4">
        <w:t xml:space="preserve"> 319–330.</w:t>
      </w:r>
    </w:p>
    <w:p w:rsidR="00886659" w:rsidRPr="005E28B4" w:rsidRDefault="00886659" w:rsidP="00594CFB">
      <w:pPr>
        <w:pStyle w:val="ListParagraph"/>
        <w:numPr>
          <w:ilvl w:val="0"/>
          <w:numId w:val="1"/>
        </w:numPr>
        <w:autoSpaceDE w:val="0"/>
        <w:autoSpaceDN w:val="0"/>
        <w:adjustRightInd w:val="0"/>
      </w:pPr>
      <w:r w:rsidRPr="008D61DF">
        <w:t>Begg, C.B., Mazumdar, M., 1994. Operating characteristics of a rank correlation test for publication bias. Biometrics. 50, 1088-1101.</w:t>
      </w:r>
    </w:p>
    <w:p w:rsidR="00886659" w:rsidRPr="005E28B4" w:rsidRDefault="00886659" w:rsidP="00594CFB">
      <w:pPr>
        <w:pStyle w:val="ListParagraph"/>
        <w:numPr>
          <w:ilvl w:val="0"/>
          <w:numId w:val="1"/>
        </w:numPr>
      </w:pPr>
      <w:r w:rsidRPr="005E28B4">
        <w:t xml:space="preserve">Binks, A.P., </w:t>
      </w:r>
      <w:r w:rsidRPr="00594CFB">
        <w:rPr>
          <w:bCs/>
        </w:rPr>
        <w:t xml:space="preserve">Cunningham, V.J., Adams, L. Banzett, R.B, 2008. </w:t>
      </w:r>
      <w:r w:rsidRPr="005E28B4">
        <w:t xml:space="preserve">Gray matter blood flow change is unevenly distributed during moderate isocapnic hypoxia in humans. </w:t>
      </w:r>
      <w:r>
        <w:t xml:space="preserve">J. </w:t>
      </w:r>
      <w:r w:rsidRPr="00594CFB">
        <w:rPr>
          <w:iCs/>
        </w:rPr>
        <w:t>Appl. Physiol.</w:t>
      </w:r>
      <w:r w:rsidRPr="00594CFB">
        <w:rPr>
          <w:i/>
          <w:iCs/>
        </w:rPr>
        <w:t xml:space="preserve"> </w:t>
      </w:r>
      <w:r w:rsidRPr="005E28B4">
        <w:t>104</w:t>
      </w:r>
      <w:r>
        <w:t>,</w:t>
      </w:r>
      <w:r w:rsidRPr="005E28B4">
        <w:t xml:space="preserve"> 212–217,</w:t>
      </w:r>
    </w:p>
    <w:p w:rsidR="00886659" w:rsidRPr="005E28B4" w:rsidRDefault="00886659" w:rsidP="00594CFB">
      <w:pPr>
        <w:pStyle w:val="ListParagraph"/>
        <w:numPr>
          <w:ilvl w:val="0"/>
          <w:numId w:val="1"/>
        </w:numPr>
      </w:pPr>
      <w:r w:rsidRPr="005E28B4">
        <w:t>Blake, M.G.</w:t>
      </w:r>
      <w:r>
        <w:t>,</w:t>
      </w:r>
      <w:r w:rsidRPr="005E28B4">
        <w:t xml:space="preserve"> Krawczyk, M.C.</w:t>
      </w:r>
      <w:r>
        <w:t>,</w:t>
      </w:r>
      <w:r w:rsidRPr="005E28B4">
        <w:t xml:space="preserve"> Baratti, C.M.</w:t>
      </w:r>
      <w:r>
        <w:t>,</w:t>
      </w:r>
      <w:r w:rsidRPr="005E28B4">
        <w:t xml:space="preserve"> Boccia</w:t>
      </w:r>
      <w:r>
        <w:t>,</w:t>
      </w:r>
      <w:r w:rsidRPr="005E28B4">
        <w:t xml:space="preserve"> M.M.</w:t>
      </w:r>
      <w:r>
        <w:t>, 2014.</w:t>
      </w:r>
      <w:r w:rsidRPr="005E28B4">
        <w:t xml:space="preserve"> Neuropharmacology of memory consolidation and reconsolidation: Insights on central cholinergic mechanisms</w:t>
      </w:r>
      <w:r>
        <w:t>.</w:t>
      </w:r>
      <w:r w:rsidRPr="005E28B4">
        <w:t xml:space="preserve"> J</w:t>
      </w:r>
      <w:r>
        <w:t>.</w:t>
      </w:r>
      <w:r w:rsidRPr="005E28B4">
        <w:t xml:space="preserve"> Physiol</w:t>
      </w:r>
      <w:r>
        <w:t xml:space="preserve">. </w:t>
      </w:r>
      <w:r w:rsidRPr="005E28B4">
        <w:t>108</w:t>
      </w:r>
      <w:r>
        <w:t>,</w:t>
      </w:r>
      <w:r w:rsidRPr="005E28B4">
        <w:t xml:space="preserve"> 286–291</w:t>
      </w:r>
      <w:r>
        <w:t>.</w:t>
      </w:r>
    </w:p>
    <w:p w:rsidR="00886659" w:rsidRPr="00886659" w:rsidRDefault="00886659" w:rsidP="00594CFB">
      <w:pPr>
        <w:pStyle w:val="Title1"/>
        <w:numPr>
          <w:ilvl w:val="0"/>
          <w:numId w:val="1"/>
        </w:numPr>
        <w:shd w:val="clear" w:color="auto" w:fill="FFFFFF"/>
        <w:spacing w:before="0" w:beforeAutospacing="0" w:after="0" w:afterAutospacing="0" w:line="480" w:lineRule="auto"/>
      </w:pPr>
      <w:r w:rsidRPr="005E28B4">
        <w:rPr>
          <w:rStyle w:val="Hyperlink"/>
        </w:rPr>
        <w:lastRenderedPageBreak/>
        <w:t>*</w:t>
      </w:r>
      <w:r w:rsidRPr="005E28B4">
        <w:t>Bonnon</w:t>
      </w:r>
      <w:r>
        <w:t>,</w:t>
      </w:r>
      <w:r w:rsidRPr="005E28B4">
        <w:t xml:space="preserve"> M</w:t>
      </w:r>
      <w:r>
        <w:t>.</w:t>
      </w:r>
      <w:r w:rsidRPr="005E28B4">
        <w:t>, Noël-Jorand</w:t>
      </w:r>
      <w:r>
        <w:t>,</w:t>
      </w:r>
      <w:r w:rsidRPr="005E28B4">
        <w:t xml:space="preserve"> MC</w:t>
      </w:r>
      <w:r>
        <w:t>.</w:t>
      </w:r>
      <w:r w:rsidRPr="005E28B4">
        <w:t>, Therme</w:t>
      </w:r>
      <w:r>
        <w:t>,</w:t>
      </w:r>
      <w:r w:rsidRPr="005E28B4">
        <w:t xml:space="preserve"> </w:t>
      </w:r>
      <w:r w:rsidRPr="00886659">
        <w:t xml:space="preserve">P., 1999. </w:t>
      </w:r>
      <w:hyperlink r:id="rId10" w:history="1">
        <w:r w:rsidRPr="00886659">
          <w:rPr>
            <w:rStyle w:val="Hyperlink"/>
            <w:color w:val="auto"/>
            <w:u w:val="none"/>
          </w:rPr>
          <w:t xml:space="preserve">Criteria for psychological adaptation to high-altitude </w:t>
        </w:r>
        <w:r w:rsidRPr="00886659">
          <w:rPr>
            <w:rStyle w:val="Hyperlink"/>
            <w:bCs/>
            <w:color w:val="auto"/>
            <w:u w:val="none"/>
          </w:rPr>
          <w:t>hypoxia</w:t>
        </w:r>
        <w:r w:rsidRPr="00886659">
          <w:rPr>
            <w:rStyle w:val="Hyperlink"/>
            <w:color w:val="auto"/>
            <w:u w:val="none"/>
          </w:rPr>
          <w:t>.</w:t>
        </w:r>
      </w:hyperlink>
      <w:r w:rsidRPr="00886659">
        <w:rPr>
          <w:rStyle w:val="Hyperlink"/>
          <w:color w:val="auto"/>
          <w:u w:val="none"/>
        </w:rPr>
        <w:t xml:space="preserve"> </w:t>
      </w:r>
      <w:hyperlink r:id="rId11" w:tooltip="Perceptual and motor skills." w:history="1">
        <w:r w:rsidRPr="00886659">
          <w:rPr>
            <w:rStyle w:val="Hyperlink"/>
            <w:color w:val="auto"/>
            <w:u w:val="none"/>
            <w:shd w:val="clear" w:color="auto" w:fill="FFFFFF"/>
          </w:rPr>
          <w:t>Percept. Mot. Skills.</w:t>
        </w:r>
      </w:hyperlink>
      <w:r w:rsidRPr="00886659">
        <w:rPr>
          <w:rStyle w:val="Hyperlink"/>
          <w:color w:val="auto"/>
          <w:u w:val="none"/>
          <w:shd w:val="clear" w:color="auto" w:fill="FFFFFF"/>
        </w:rPr>
        <w:t xml:space="preserve"> </w:t>
      </w:r>
      <w:r w:rsidRPr="00886659">
        <w:rPr>
          <w:shd w:val="clear" w:color="auto" w:fill="FFFFFF"/>
        </w:rPr>
        <w:t xml:space="preserve">89, 3-18. </w:t>
      </w:r>
    </w:p>
    <w:p w:rsidR="00886659" w:rsidRPr="005E28B4" w:rsidRDefault="00886659" w:rsidP="00594CFB">
      <w:pPr>
        <w:pStyle w:val="ListParagraph"/>
        <w:numPr>
          <w:ilvl w:val="0"/>
          <w:numId w:val="1"/>
        </w:numPr>
        <w:autoSpaceDE w:val="0"/>
        <w:autoSpaceDN w:val="0"/>
        <w:adjustRightInd w:val="0"/>
      </w:pPr>
      <w:r w:rsidRPr="005E28B4">
        <w:t>Borenstein, M., Hedges, L.V., Higgins, J.P.T., Rothstein, H.R.</w:t>
      </w:r>
      <w:r>
        <w:t xml:space="preserve">, </w:t>
      </w:r>
      <w:r w:rsidRPr="005E28B4">
        <w:t>2009. Introduction</w:t>
      </w:r>
      <w:r>
        <w:t xml:space="preserve"> </w:t>
      </w:r>
      <w:r w:rsidRPr="005E28B4">
        <w:t xml:space="preserve">to </w:t>
      </w:r>
      <w:r>
        <w:t>M</w:t>
      </w:r>
      <w:r w:rsidRPr="005E28B4">
        <w:t>eta-</w:t>
      </w:r>
      <w:r>
        <w:t>A</w:t>
      </w:r>
      <w:r w:rsidRPr="005E28B4">
        <w:t>nalysis. John Wiley and Sons</w:t>
      </w:r>
      <w:r>
        <w:t>, Chichester</w:t>
      </w:r>
      <w:r w:rsidRPr="005E28B4">
        <w:t>.</w:t>
      </w:r>
    </w:p>
    <w:p w:rsidR="00886659" w:rsidRPr="005E28B4" w:rsidRDefault="00886659" w:rsidP="00594CFB">
      <w:pPr>
        <w:pStyle w:val="ListParagraph"/>
        <w:numPr>
          <w:ilvl w:val="0"/>
          <w:numId w:val="1"/>
        </w:numPr>
        <w:autoSpaceDE w:val="0"/>
        <w:autoSpaceDN w:val="0"/>
        <w:adjustRightInd w:val="0"/>
      </w:pPr>
      <w:r w:rsidRPr="005E28B4">
        <w:t>Braunlich, K.</w:t>
      </w:r>
      <w:r>
        <w:t>,</w:t>
      </w:r>
      <w:r w:rsidRPr="005E28B4">
        <w:t xml:space="preserve"> Gomez-Lavin, J.</w:t>
      </w:r>
      <w:r>
        <w:t>,</w:t>
      </w:r>
      <w:r w:rsidRPr="005E28B4">
        <w:t xml:space="preserve"> Seger, C.A.</w:t>
      </w:r>
      <w:r>
        <w:t xml:space="preserve">, 2015. </w:t>
      </w:r>
      <w:r w:rsidRPr="005E28B4">
        <w:t>Frontoparietal networks involved in categorization and item working memory, NeuroImage</w:t>
      </w:r>
      <w:r>
        <w:t>.</w:t>
      </w:r>
      <w:r w:rsidRPr="005E28B4">
        <w:t xml:space="preserve"> 107</w:t>
      </w:r>
      <w:r>
        <w:t>,</w:t>
      </w:r>
      <w:r w:rsidRPr="005E28B4">
        <w:t xml:space="preserve"> 146–162</w:t>
      </w:r>
    </w:p>
    <w:p w:rsidR="00886659" w:rsidRPr="005E28B4" w:rsidRDefault="00886659" w:rsidP="00594CFB">
      <w:pPr>
        <w:pStyle w:val="ListParagraph"/>
        <w:numPr>
          <w:ilvl w:val="0"/>
          <w:numId w:val="1"/>
        </w:numPr>
      </w:pPr>
      <w:r w:rsidRPr="005E28B4">
        <w:t>Bruick, R.K.</w:t>
      </w:r>
      <w:r>
        <w:t xml:space="preserve">, </w:t>
      </w:r>
      <w:r w:rsidRPr="005E28B4">
        <w:t xml:space="preserve">2003. </w:t>
      </w:r>
      <w:r w:rsidRPr="00594CFB">
        <w:rPr>
          <w:bCs/>
        </w:rPr>
        <w:t>Oxygen sensing in the hypoxic response pathway: regulation of the hypoxia-inducible transcription factor. Genes Dev. 17, 2614–2623.</w:t>
      </w:r>
    </w:p>
    <w:p w:rsidR="00886659" w:rsidRPr="005E28B4" w:rsidRDefault="00886659" w:rsidP="00594CFB">
      <w:pPr>
        <w:pStyle w:val="ListParagraph"/>
        <w:numPr>
          <w:ilvl w:val="0"/>
          <w:numId w:val="1"/>
        </w:numPr>
      </w:pPr>
      <w:r w:rsidRPr="005E28B4">
        <w:t>Chen, J., He, L., Dinger, B.</w:t>
      </w:r>
      <w:r>
        <w:t>,</w:t>
      </w:r>
      <w:r w:rsidRPr="005E28B4">
        <w:t xml:space="preserve"> Fidone, S.</w:t>
      </w:r>
      <w:r>
        <w:t xml:space="preserve">, </w:t>
      </w:r>
      <w:r w:rsidRPr="005E28B4">
        <w:t xml:space="preserve">2000. Stimulus-specific signaling pathways in rabbit carotid body chemoreceptors. </w:t>
      </w:r>
      <w:r w:rsidRPr="00594CFB">
        <w:rPr>
          <w:iCs/>
        </w:rPr>
        <w:t>Neurosci.</w:t>
      </w:r>
      <w:r w:rsidRPr="005E28B4">
        <w:t xml:space="preserve"> 95, 283–291.</w:t>
      </w:r>
    </w:p>
    <w:p w:rsidR="00886659" w:rsidRPr="005E28B4" w:rsidRDefault="00886659" w:rsidP="00594CFB">
      <w:pPr>
        <w:pStyle w:val="ListParagraph"/>
        <w:numPr>
          <w:ilvl w:val="0"/>
          <w:numId w:val="1"/>
        </w:numPr>
      </w:pPr>
      <w:r w:rsidRPr="005E28B4">
        <w:t>Chen, X-Q., Du, J-Z., Wang, Y.S.</w:t>
      </w:r>
      <w:r>
        <w:t xml:space="preserve">, </w:t>
      </w:r>
      <w:r w:rsidRPr="005E28B4">
        <w:t>2004. Regulation of hypoxia-induced release of corticotropin-releasing factor in the rat hypothalamus by norepinephrine. Reg</w:t>
      </w:r>
      <w:r>
        <w:t>ul.</w:t>
      </w:r>
      <w:r w:rsidRPr="005E28B4">
        <w:t xml:space="preserve"> Peptides</w:t>
      </w:r>
      <w:r>
        <w:t>.</w:t>
      </w:r>
      <w:r w:rsidRPr="005E28B4">
        <w:t xml:space="preserve"> 119</w:t>
      </w:r>
      <w:r>
        <w:t>,</w:t>
      </w:r>
      <w:r w:rsidRPr="005E28B4">
        <w:t xml:space="preserve"> 221– 228</w:t>
      </w:r>
      <w:r>
        <w:t>.</w:t>
      </w:r>
    </w:p>
    <w:p w:rsidR="00886659" w:rsidRDefault="00886659" w:rsidP="00594CFB">
      <w:pPr>
        <w:pStyle w:val="ListParagraph"/>
        <w:numPr>
          <w:ilvl w:val="0"/>
          <w:numId w:val="1"/>
        </w:numPr>
      </w:pPr>
      <w:r w:rsidRPr="005E28B4">
        <w:t>Cian, C.</w:t>
      </w:r>
      <w:r>
        <w:t>,</w:t>
      </w:r>
      <w:r w:rsidRPr="005E28B4">
        <w:t xml:space="preserve"> Barraud, P.A.</w:t>
      </w:r>
      <w:r>
        <w:t>,</w:t>
      </w:r>
      <w:r w:rsidRPr="005E28B4">
        <w:t xml:space="preserve"> Melin, B.</w:t>
      </w:r>
      <w:r>
        <w:t>,</w:t>
      </w:r>
      <w:r w:rsidRPr="005E28B4">
        <w:t xml:space="preserve"> Raphel C.</w:t>
      </w:r>
      <w:r>
        <w:t xml:space="preserve">, 2001. </w:t>
      </w:r>
      <w:r w:rsidRPr="005E28B4">
        <w:t>Effects of fluid ingestion on cognitive function after heat stress or exercise-induced dehydration</w:t>
      </w:r>
      <w:r>
        <w:t>.</w:t>
      </w:r>
      <w:r w:rsidRPr="005E28B4">
        <w:t xml:space="preserve"> Int</w:t>
      </w:r>
      <w:r>
        <w:t>.</w:t>
      </w:r>
      <w:r w:rsidRPr="005E28B4">
        <w:t xml:space="preserve"> J</w:t>
      </w:r>
      <w:r>
        <w:t>.</w:t>
      </w:r>
      <w:r w:rsidRPr="005E28B4">
        <w:t xml:space="preserve"> Psychophysiol</w:t>
      </w:r>
      <w:r>
        <w:t>.</w:t>
      </w:r>
      <w:r w:rsidRPr="005E28B4">
        <w:t xml:space="preserve"> 42</w:t>
      </w:r>
      <w:r>
        <w:t xml:space="preserve">, </w:t>
      </w:r>
      <w:r w:rsidRPr="005E28B4">
        <w:t>243</w:t>
      </w:r>
      <w:r>
        <w:t>-</w:t>
      </w:r>
      <w:r w:rsidRPr="005E28B4">
        <w:t>251</w:t>
      </w:r>
      <w:r>
        <w:t>.</w:t>
      </w:r>
    </w:p>
    <w:p w:rsidR="00886659" w:rsidRPr="005E28B4" w:rsidRDefault="00886659" w:rsidP="00594CFB">
      <w:pPr>
        <w:pStyle w:val="ListParagraph"/>
        <w:numPr>
          <w:ilvl w:val="0"/>
          <w:numId w:val="1"/>
        </w:numPr>
      </w:pPr>
      <w:r w:rsidRPr="00594CFB">
        <w:rPr>
          <w:color w:val="222222"/>
        </w:rPr>
        <w:t>Conkin, J. 2011. PH</w:t>
      </w:r>
      <w:r w:rsidRPr="00594CFB">
        <w:rPr>
          <w:color w:val="222222"/>
          <w:vertAlign w:val="subscript"/>
        </w:rPr>
        <w:t>2</w:t>
      </w:r>
      <w:r w:rsidRPr="00594CFB">
        <w:rPr>
          <w:color w:val="222222"/>
        </w:rPr>
        <w:t xml:space="preserve">O and simulated hypobaric hypoxia. </w:t>
      </w:r>
      <w:r w:rsidRPr="00594CFB">
        <w:rPr>
          <w:iCs/>
          <w:color w:val="222222"/>
        </w:rPr>
        <w:t>Aviat. Space Environ. Med.</w:t>
      </w:r>
      <w:r w:rsidRPr="00594CFB">
        <w:rPr>
          <w:color w:val="222222"/>
        </w:rPr>
        <w:t xml:space="preserve"> </w:t>
      </w:r>
      <w:r w:rsidRPr="00594CFB">
        <w:rPr>
          <w:iCs/>
          <w:color w:val="222222"/>
        </w:rPr>
        <w:t>82</w:t>
      </w:r>
      <w:r w:rsidRPr="00594CFB">
        <w:rPr>
          <w:color w:val="222222"/>
        </w:rPr>
        <w:t>, 1157-1158.</w:t>
      </w:r>
    </w:p>
    <w:p w:rsidR="00886659" w:rsidRPr="005E28B4" w:rsidRDefault="00886659" w:rsidP="00594CFB">
      <w:pPr>
        <w:pStyle w:val="ListParagraph"/>
        <w:numPr>
          <w:ilvl w:val="0"/>
          <w:numId w:val="1"/>
        </w:numPr>
      </w:pPr>
      <w:r w:rsidRPr="005E28B4">
        <w:t>Cooper, C.J.</w:t>
      </w:r>
      <w:r>
        <w:t xml:space="preserve">, </w:t>
      </w:r>
      <w:r w:rsidRPr="005E28B4">
        <w:t xml:space="preserve">1973. Anatomical and physiological mechanisms of arousal with specific reference to the effects of exercise. </w:t>
      </w:r>
      <w:r w:rsidRPr="00A7221C">
        <w:t>Ergonomics</w:t>
      </w:r>
      <w:r>
        <w:t>.</w:t>
      </w:r>
      <w:r w:rsidRPr="00A7221C">
        <w:t xml:space="preserve"> 16,</w:t>
      </w:r>
      <w:r w:rsidRPr="005E28B4">
        <w:t xml:space="preserve"> 601-609.</w:t>
      </w:r>
    </w:p>
    <w:p w:rsidR="00886659" w:rsidRPr="005E28B4" w:rsidRDefault="00886659" w:rsidP="00594CFB">
      <w:pPr>
        <w:pStyle w:val="ListParagraph"/>
        <w:numPr>
          <w:ilvl w:val="0"/>
          <w:numId w:val="1"/>
        </w:numPr>
      </w:pPr>
      <w:r w:rsidRPr="008D61DF">
        <w:t>Coppel, J., Hennis, P., Kawai, E. G., Grocott, M.P.W., 2015. The physiological effects of hypobaric hypoxia versus normobaric hypoxia: a systematic review of crossover trials. Ext. Physiol. Med. 4:2. doi 10.1186/s13728-014-0021-6.</w:t>
      </w:r>
    </w:p>
    <w:p w:rsidR="00886659" w:rsidRPr="005E28B4" w:rsidRDefault="00886659" w:rsidP="00594CFB">
      <w:pPr>
        <w:pStyle w:val="ListParagraph"/>
        <w:numPr>
          <w:ilvl w:val="0"/>
          <w:numId w:val="1"/>
        </w:numPr>
      </w:pPr>
      <w:r w:rsidRPr="005E28B4">
        <w:lastRenderedPageBreak/>
        <w:t xml:space="preserve">Davis, </w:t>
      </w:r>
      <w:r w:rsidRPr="00886659">
        <w:t xml:space="preserve">J.N., Carlsson, A., 1973. The </w:t>
      </w:r>
      <w:r w:rsidRPr="00594CFB">
        <w:rPr>
          <w:bCs/>
        </w:rPr>
        <w:t xml:space="preserve">effect </w:t>
      </w:r>
      <w:r w:rsidRPr="005E28B4">
        <w:t xml:space="preserve">of </w:t>
      </w:r>
      <w:r w:rsidRPr="00594CFB">
        <w:rPr>
          <w:bCs/>
        </w:rPr>
        <w:t xml:space="preserve">hypoxia on monoamine </w:t>
      </w:r>
      <w:r w:rsidRPr="005E28B4">
        <w:t xml:space="preserve">synthesis, </w:t>
      </w:r>
      <w:r w:rsidRPr="00594CFB">
        <w:rPr>
          <w:bCs/>
        </w:rPr>
        <w:t xml:space="preserve">levels and metabolism </w:t>
      </w:r>
      <w:r w:rsidRPr="005E28B4">
        <w:t xml:space="preserve">in </w:t>
      </w:r>
      <w:r w:rsidRPr="00594CFB">
        <w:rPr>
          <w:bCs/>
        </w:rPr>
        <w:t xml:space="preserve">rat </w:t>
      </w:r>
      <w:r w:rsidRPr="005E28B4">
        <w:t xml:space="preserve">brain </w:t>
      </w:r>
      <w:r w:rsidRPr="00594CFB">
        <w:rPr>
          <w:bCs/>
        </w:rPr>
        <w:t>J. Neurochem. 21, 783-790.</w:t>
      </w:r>
    </w:p>
    <w:p w:rsidR="00886659" w:rsidRPr="00594CFB" w:rsidRDefault="008350A5" w:rsidP="00594CFB">
      <w:pPr>
        <w:pStyle w:val="ListParagraph"/>
        <w:numPr>
          <w:ilvl w:val="0"/>
          <w:numId w:val="1"/>
        </w:numPr>
        <w:shd w:val="clear" w:color="auto" w:fill="FFFFFF"/>
        <w:rPr>
          <w:rFonts w:ascii="Arial" w:hAnsi="Arial" w:cs="Arial"/>
          <w:color w:val="000000"/>
          <w:sz w:val="22"/>
          <w:szCs w:val="22"/>
        </w:rPr>
      </w:pPr>
      <w:hyperlink r:id="rId12" w:history="1">
        <w:r w:rsidR="00886659" w:rsidRPr="00886659">
          <w:rPr>
            <w:rStyle w:val="highlight"/>
          </w:rPr>
          <w:t>Decamp, E</w:t>
        </w:r>
      </w:hyperlink>
      <w:r w:rsidR="00886659" w:rsidRPr="00886659">
        <w:rPr>
          <w:rStyle w:val="highlight"/>
        </w:rPr>
        <w:t>.</w:t>
      </w:r>
      <w:r w:rsidR="00886659" w:rsidRPr="00886659">
        <w:t xml:space="preserve">, </w:t>
      </w:r>
      <w:hyperlink r:id="rId13" w:history="1">
        <w:r w:rsidR="00886659" w:rsidRPr="00594CFB">
          <w:rPr>
            <w:rStyle w:val="Hyperlink"/>
            <w:color w:val="auto"/>
            <w:u w:val="none"/>
          </w:rPr>
          <w:t>Schneider, J.S</w:t>
        </w:r>
      </w:hyperlink>
      <w:r w:rsidR="00886659" w:rsidRPr="00594CFB">
        <w:rPr>
          <w:rStyle w:val="Hyperlink"/>
          <w:color w:val="auto"/>
          <w:u w:val="none"/>
        </w:rPr>
        <w:t xml:space="preserve">., 2009. </w:t>
      </w:r>
      <w:r w:rsidR="00886659" w:rsidRPr="00886659">
        <w:t xml:space="preserve">Interaction between nicotinic and dopaminergic therapies on </w:t>
      </w:r>
      <w:r w:rsidR="00886659" w:rsidRPr="00886659">
        <w:rPr>
          <w:rStyle w:val="highlight"/>
        </w:rPr>
        <w:t xml:space="preserve">cognition </w:t>
      </w:r>
      <w:r w:rsidR="00886659" w:rsidRPr="00886659">
        <w:t xml:space="preserve">in a chronic Parkinson model. </w:t>
      </w:r>
      <w:hyperlink r:id="rId14" w:tooltip="Brain research." w:history="1">
        <w:r w:rsidR="00886659" w:rsidRPr="00594CFB">
          <w:rPr>
            <w:rStyle w:val="Hyperlink"/>
            <w:color w:val="auto"/>
            <w:u w:val="none"/>
          </w:rPr>
          <w:t>Brain Res.</w:t>
        </w:r>
      </w:hyperlink>
      <w:r w:rsidR="00886659" w:rsidRPr="00886659">
        <w:t xml:space="preserve"> 1262, 109-114</w:t>
      </w:r>
      <w:r w:rsidR="00886659" w:rsidRPr="005E28B4">
        <w:t xml:space="preserve">. </w:t>
      </w:r>
    </w:p>
    <w:p w:rsidR="00886659" w:rsidRPr="005E28B4" w:rsidRDefault="00886659" w:rsidP="00594CFB">
      <w:pPr>
        <w:pStyle w:val="ListParagraph"/>
        <w:numPr>
          <w:ilvl w:val="0"/>
          <w:numId w:val="1"/>
        </w:numPr>
        <w:autoSpaceDE w:val="0"/>
        <w:autoSpaceDN w:val="0"/>
        <w:adjustRightInd w:val="0"/>
      </w:pPr>
      <w:r w:rsidRPr="005E28B4">
        <w:t>Devilbiss, D.M.</w:t>
      </w:r>
      <w:r>
        <w:t>,</w:t>
      </w:r>
      <w:r w:rsidRPr="005E28B4">
        <w:t xml:space="preserve"> Waterhouse, B.D.</w:t>
      </w:r>
      <w:r>
        <w:t>, 2002.</w:t>
      </w:r>
      <w:r w:rsidRPr="005E28B4">
        <w:t xml:space="preserve"> Determination and quantification of pharmacological, physiological, or behavioral manipulations on ensembles of simultaneously recorded neurons in functionally related neural circuits, J. Neurosci. Methods</w:t>
      </w:r>
      <w:r>
        <w:t>.</w:t>
      </w:r>
      <w:r w:rsidRPr="005E28B4">
        <w:t xml:space="preserve"> 121</w:t>
      </w:r>
      <w:r>
        <w:t>,</w:t>
      </w:r>
      <w:r w:rsidRPr="005E28B4">
        <w:t xml:space="preserve"> 181–198</w:t>
      </w:r>
      <w:r>
        <w:t>.</w:t>
      </w:r>
    </w:p>
    <w:p w:rsidR="00886659" w:rsidRDefault="00886659" w:rsidP="00594CFB">
      <w:pPr>
        <w:pStyle w:val="ListParagraph"/>
        <w:numPr>
          <w:ilvl w:val="0"/>
          <w:numId w:val="1"/>
        </w:numPr>
        <w:autoSpaceDE w:val="0"/>
        <w:autoSpaceDN w:val="0"/>
        <w:adjustRightInd w:val="0"/>
      </w:pPr>
      <w:r w:rsidRPr="005E28B4">
        <w:t>Devilbiss, D.M.</w:t>
      </w:r>
      <w:r>
        <w:t>,</w:t>
      </w:r>
      <w:r w:rsidRPr="005E28B4">
        <w:t xml:space="preserve"> Waterhouse, B.D.</w:t>
      </w:r>
      <w:r>
        <w:t>,</w:t>
      </w:r>
      <w:r w:rsidRPr="005E28B4">
        <w:t xml:space="preserve"> Berridge, C.W.</w:t>
      </w:r>
      <w:r>
        <w:t>,</w:t>
      </w:r>
      <w:r w:rsidRPr="005E28B4">
        <w:t xml:space="preserve"> Valentino, R.</w:t>
      </w:r>
      <w:r>
        <w:t xml:space="preserve">, 2012. </w:t>
      </w:r>
      <w:r w:rsidRPr="005E28B4">
        <w:t>Corticotropin-releasing factor acting at the locus coeruleus disrupts thalamic and cortical sensory-evoked responses, Neuropsychopharmacol</w:t>
      </w:r>
      <w:r>
        <w:t>.</w:t>
      </w:r>
      <w:r w:rsidRPr="005E28B4">
        <w:t xml:space="preserve"> 37</w:t>
      </w:r>
      <w:r>
        <w:t>,</w:t>
      </w:r>
      <w:r w:rsidRPr="005E28B4">
        <w:t xml:space="preserve"> 2020–2030</w:t>
      </w:r>
      <w:r>
        <w:t>.</w:t>
      </w:r>
    </w:p>
    <w:p w:rsidR="00886659" w:rsidRPr="005E28B4" w:rsidRDefault="00886659" w:rsidP="00594CFB">
      <w:pPr>
        <w:pStyle w:val="ListParagraph"/>
        <w:numPr>
          <w:ilvl w:val="0"/>
          <w:numId w:val="1"/>
        </w:numPr>
      </w:pPr>
      <w:r w:rsidRPr="005E28B4">
        <w:t>Erickson, J.T</w:t>
      </w:r>
      <w:r>
        <w:t>,</w:t>
      </w:r>
      <w:r w:rsidRPr="005E28B4">
        <w:t xml:space="preserve"> Millhorn, D.E.</w:t>
      </w:r>
      <w:r>
        <w:t xml:space="preserve">, </w:t>
      </w:r>
      <w:r w:rsidRPr="005E28B4">
        <w:t xml:space="preserve">1994. </w:t>
      </w:r>
      <w:r w:rsidRPr="00594CFB">
        <w:rPr>
          <w:bCs/>
        </w:rPr>
        <w:t>Hypoxia and electrical stimulation of the carotid sinus nerve induce Fos-like immunoreactivity within catecholaminergic and serotoninergic neurons of the rat brainstem. J. Comp. Neurol. 348, 161-182.</w:t>
      </w:r>
    </w:p>
    <w:p w:rsidR="00886659" w:rsidRPr="00594CFB" w:rsidRDefault="008350A5" w:rsidP="00594CFB">
      <w:pPr>
        <w:pStyle w:val="ListParagraph"/>
        <w:numPr>
          <w:ilvl w:val="0"/>
          <w:numId w:val="1"/>
        </w:numPr>
        <w:shd w:val="clear" w:color="auto" w:fill="FFFFFF"/>
        <w:rPr>
          <w:rFonts w:ascii="Arial" w:hAnsi="Arial" w:cs="Arial"/>
          <w:color w:val="000000"/>
          <w:sz w:val="22"/>
          <w:szCs w:val="22"/>
        </w:rPr>
      </w:pPr>
      <w:hyperlink r:id="rId15" w:history="1">
        <w:r w:rsidR="00886659" w:rsidRPr="00886659">
          <w:rPr>
            <w:rStyle w:val="highlight"/>
          </w:rPr>
          <w:t xml:space="preserve">Faiss, </w:t>
        </w:r>
        <w:r w:rsidR="00886659" w:rsidRPr="00594CFB">
          <w:rPr>
            <w:rStyle w:val="Hyperlink"/>
            <w:color w:val="auto"/>
            <w:u w:val="none"/>
          </w:rPr>
          <w:t>R</w:t>
        </w:r>
      </w:hyperlink>
      <w:r w:rsidR="00886659" w:rsidRPr="00594CFB">
        <w:rPr>
          <w:rStyle w:val="Hyperlink"/>
          <w:color w:val="auto"/>
          <w:u w:val="none"/>
        </w:rPr>
        <w:t>.</w:t>
      </w:r>
      <w:r w:rsidR="00886659" w:rsidRPr="00886659">
        <w:t xml:space="preserve">, </w:t>
      </w:r>
      <w:hyperlink r:id="rId16" w:history="1">
        <w:r w:rsidR="00886659" w:rsidRPr="00594CFB">
          <w:rPr>
            <w:rStyle w:val="Hyperlink"/>
            <w:color w:val="auto"/>
            <w:u w:val="none"/>
          </w:rPr>
          <w:t>Pialoux, V</w:t>
        </w:r>
      </w:hyperlink>
      <w:r w:rsidR="00886659" w:rsidRPr="00594CFB">
        <w:rPr>
          <w:rStyle w:val="Hyperlink"/>
          <w:color w:val="auto"/>
          <w:u w:val="none"/>
        </w:rPr>
        <w:t>.</w:t>
      </w:r>
      <w:r w:rsidR="00886659" w:rsidRPr="00886659">
        <w:t xml:space="preserve">, </w:t>
      </w:r>
      <w:hyperlink r:id="rId17" w:history="1">
        <w:r w:rsidR="00886659" w:rsidRPr="00594CFB">
          <w:rPr>
            <w:rStyle w:val="Hyperlink"/>
            <w:color w:val="auto"/>
            <w:u w:val="none"/>
          </w:rPr>
          <w:t>Sartori, C</w:t>
        </w:r>
      </w:hyperlink>
      <w:r w:rsidR="00886659" w:rsidRPr="00594CFB">
        <w:rPr>
          <w:rStyle w:val="Hyperlink"/>
          <w:color w:val="auto"/>
          <w:u w:val="none"/>
        </w:rPr>
        <w:t>.</w:t>
      </w:r>
      <w:r w:rsidR="00886659" w:rsidRPr="00886659">
        <w:t xml:space="preserve">, </w:t>
      </w:r>
      <w:hyperlink r:id="rId18" w:history="1">
        <w:r w:rsidR="00886659" w:rsidRPr="00594CFB">
          <w:rPr>
            <w:rStyle w:val="Hyperlink"/>
            <w:color w:val="auto"/>
            <w:u w:val="none"/>
          </w:rPr>
          <w:t>Faes, C</w:t>
        </w:r>
      </w:hyperlink>
      <w:r w:rsidR="00886659" w:rsidRPr="00594CFB">
        <w:rPr>
          <w:rStyle w:val="Hyperlink"/>
          <w:color w:val="auto"/>
          <w:u w:val="none"/>
        </w:rPr>
        <w:t>.</w:t>
      </w:r>
      <w:r w:rsidR="00886659" w:rsidRPr="00886659">
        <w:t xml:space="preserve">, </w:t>
      </w:r>
      <w:hyperlink r:id="rId19" w:history="1">
        <w:r w:rsidR="00886659" w:rsidRPr="00594CFB">
          <w:rPr>
            <w:rStyle w:val="Hyperlink"/>
            <w:color w:val="auto"/>
            <w:u w:val="none"/>
          </w:rPr>
          <w:t>Dériaz, O</w:t>
        </w:r>
      </w:hyperlink>
      <w:r w:rsidR="00886659" w:rsidRPr="00594CFB">
        <w:rPr>
          <w:rStyle w:val="Hyperlink"/>
          <w:color w:val="auto"/>
          <w:u w:val="none"/>
        </w:rPr>
        <w:t>.</w:t>
      </w:r>
      <w:r w:rsidR="00886659" w:rsidRPr="00886659">
        <w:t xml:space="preserve">, </w:t>
      </w:r>
      <w:hyperlink r:id="rId20" w:history="1">
        <w:r w:rsidR="00886659" w:rsidRPr="00594CFB">
          <w:rPr>
            <w:rStyle w:val="Hyperlink"/>
            <w:color w:val="auto"/>
            <w:u w:val="none"/>
          </w:rPr>
          <w:t>Millet, G.P</w:t>
        </w:r>
      </w:hyperlink>
      <w:r w:rsidR="00886659" w:rsidRPr="00594CFB">
        <w:rPr>
          <w:rStyle w:val="Hyperlink"/>
          <w:color w:val="auto"/>
          <w:u w:val="none"/>
        </w:rPr>
        <w:t xml:space="preserve">., 2013. </w:t>
      </w:r>
      <w:r w:rsidR="00886659" w:rsidRPr="00886659">
        <w:t xml:space="preserve">Ventilation, oxidative stress, and </w:t>
      </w:r>
      <w:r w:rsidR="00886659" w:rsidRPr="00886659">
        <w:rPr>
          <w:rStyle w:val="highlight"/>
        </w:rPr>
        <w:t xml:space="preserve">nitric oxide </w:t>
      </w:r>
      <w:r w:rsidR="00886659" w:rsidRPr="00886659">
        <w:t xml:space="preserve">in hypobaric versus normobaric hypoxia. </w:t>
      </w:r>
      <w:hyperlink r:id="rId21" w:tooltip="Medicine and science in sports and exercise." w:history="1">
        <w:r w:rsidR="00886659" w:rsidRPr="00594CFB">
          <w:rPr>
            <w:rStyle w:val="Hyperlink"/>
            <w:color w:val="auto"/>
            <w:u w:val="none"/>
          </w:rPr>
          <w:t>Med. Sci. Sports Exerc.</w:t>
        </w:r>
      </w:hyperlink>
      <w:r w:rsidR="00886659" w:rsidRPr="00886659">
        <w:t xml:space="preserve"> 45, </w:t>
      </w:r>
      <w:r w:rsidR="00886659" w:rsidRPr="005E28B4">
        <w:t xml:space="preserve">253-60. </w:t>
      </w:r>
    </w:p>
    <w:p w:rsidR="00886659" w:rsidRPr="005E28B4" w:rsidRDefault="00886659" w:rsidP="00594CFB">
      <w:pPr>
        <w:pStyle w:val="ListParagraph"/>
        <w:numPr>
          <w:ilvl w:val="0"/>
          <w:numId w:val="1"/>
        </w:numPr>
      </w:pPr>
      <w:r w:rsidRPr="008D61DF">
        <w:t>Feldman, J.L., McCrimmon, D.R., Morrison, S.F., 2013. Neural control of respiratory and cardiovascular functions, In: Squire, L.R., Berg, D., Bloom, F.E., du Lac, S., Ghosh, A., Spitzer, N.C. (Eds), Fundamental Neuroscience, 4</w:t>
      </w:r>
      <w:r w:rsidRPr="00594CFB">
        <w:rPr>
          <w:vertAlign w:val="superscript"/>
        </w:rPr>
        <w:t>th</w:t>
      </w:r>
      <w:r w:rsidRPr="008D61DF">
        <w:t xml:space="preserve"> edition, Elsevier Academic Press, New York, pp. 749-766.</w:t>
      </w:r>
      <w:r w:rsidRPr="005E28B4">
        <w:t xml:space="preserve"> </w:t>
      </w:r>
    </w:p>
    <w:p w:rsidR="00886659" w:rsidRPr="005E28B4" w:rsidRDefault="00886659" w:rsidP="00594CFB">
      <w:pPr>
        <w:pStyle w:val="Title1"/>
        <w:numPr>
          <w:ilvl w:val="0"/>
          <w:numId w:val="1"/>
        </w:numPr>
        <w:shd w:val="clear" w:color="auto" w:fill="FFFFFF"/>
        <w:spacing w:before="0" w:beforeAutospacing="0" w:after="0" w:afterAutospacing="0" w:line="480" w:lineRule="auto"/>
        <w:rPr>
          <w:color w:val="000000"/>
        </w:rPr>
      </w:pPr>
      <w:r w:rsidRPr="005E28B4">
        <w:rPr>
          <w:rStyle w:val="Hyperlink"/>
        </w:rPr>
        <w:lastRenderedPageBreak/>
        <w:t>*</w:t>
      </w:r>
      <w:r w:rsidRPr="005E28B4">
        <w:t>Fowler</w:t>
      </w:r>
      <w:r>
        <w:t>,</w:t>
      </w:r>
      <w:r w:rsidRPr="005E28B4">
        <w:t xml:space="preserve"> B</w:t>
      </w:r>
      <w:r>
        <w:t>.</w:t>
      </w:r>
      <w:r w:rsidRPr="005E28B4">
        <w:t>, Prlic</w:t>
      </w:r>
      <w:r>
        <w:t>,</w:t>
      </w:r>
      <w:r w:rsidRPr="005E28B4">
        <w:t xml:space="preserve"> H</w:t>
      </w:r>
      <w:r>
        <w:t>.</w:t>
      </w:r>
      <w:r w:rsidRPr="005E28B4">
        <w:t xml:space="preserve">, </w:t>
      </w:r>
      <w:r w:rsidRPr="00886659">
        <w:t xml:space="preserve">Brabant, M., 1994. </w:t>
      </w:r>
      <w:hyperlink r:id="rId22" w:history="1">
        <w:r w:rsidRPr="00886659">
          <w:rPr>
            <w:rStyle w:val="Hyperlink"/>
            <w:color w:val="auto"/>
            <w:u w:val="none"/>
          </w:rPr>
          <w:t xml:space="preserve">Acute </w:t>
        </w:r>
        <w:r w:rsidRPr="00886659">
          <w:rPr>
            <w:rStyle w:val="Hyperlink"/>
            <w:bCs/>
            <w:color w:val="auto"/>
            <w:u w:val="none"/>
          </w:rPr>
          <w:t>hypoxia</w:t>
        </w:r>
        <w:r w:rsidRPr="00886659">
          <w:rPr>
            <w:rStyle w:val="apple-converted-space"/>
          </w:rPr>
          <w:t xml:space="preserve"> </w:t>
        </w:r>
        <w:r w:rsidRPr="00886659">
          <w:rPr>
            <w:rStyle w:val="Hyperlink"/>
            <w:color w:val="auto"/>
            <w:u w:val="none"/>
          </w:rPr>
          <w:t>fails to influence two aspects of short-term memory: implications for the source of cognitive deficits.</w:t>
        </w:r>
      </w:hyperlink>
      <w:r w:rsidRPr="00886659">
        <w:rPr>
          <w:rStyle w:val="Hyperlink"/>
          <w:color w:val="auto"/>
          <w:u w:val="none"/>
        </w:rPr>
        <w:t xml:space="preserve"> </w:t>
      </w:r>
      <w:hyperlink r:id="rId23" w:tooltip="Aviation, space, and environmental medicine." w:history="1">
        <w:r w:rsidRPr="00886659">
          <w:rPr>
            <w:rStyle w:val="Hyperlink"/>
            <w:color w:val="auto"/>
            <w:u w:val="none"/>
            <w:shd w:val="clear" w:color="auto" w:fill="FFFFFF"/>
          </w:rPr>
          <w:t>Aviat. Space Environ. Med.</w:t>
        </w:r>
      </w:hyperlink>
      <w:r w:rsidRPr="00886659">
        <w:rPr>
          <w:rStyle w:val="Hyperlink"/>
          <w:color w:val="auto"/>
          <w:u w:val="none"/>
          <w:shd w:val="clear" w:color="auto" w:fill="FFFFFF"/>
        </w:rPr>
        <w:t xml:space="preserve"> </w:t>
      </w:r>
      <w:r w:rsidRPr="00886659">
        <w:rPr>
          <w:shd w:val="clear" w:color="auto" w:fill="FFFFFF"/>
        </w:rPr>
        <w:t xml:space="preserve">65, </w:t>
      </w:r>
      <w:r w:rsidRPr="005E28B4">
        <w:rPr>
          <w:shd w:val="clear" w:color="auto" w:fill="FFFFFF"/>
        </w:rPr>
        <w:t>641-</w:t>
      </w:r>
      <w:r>
        <w:rPr>
          <w:shd w:val="clear" w:color="auto" w:fill="FFFFFF"/>
        </w:rPr>
        <w:t>64</w:t>
      </w:r>
      <w:r w:rsidRPr="005E28B4">
        <w:rPr>
          <w:shd w:val="clear" w:color="auto" w:fill="FFFFFF"/>
        </w:rPr>
        <w:t>5</w:t>
      </w:r>
      <w:r>
        <w:rPr>
          <w:shd w:val="clear" w:color="auto" w:fill="FFFFFF"/>
        </w:rPr>
        <w:t>.</w:t>
      </w:r>
      <w:r w:rsidRPr="005E28B4">
        <w:rPr>
          <w:shd w:val="clear" w:color="auto" w:fill="FFFFFF"/>
        </w:rPr>
        <w:t xml:space="preserve"> </w:t>
      </w:r>
    </w:p>
    <w:p w:rsidR="00886659" w:rsidRPr="005E28B4" w:rsidRDefault="00886659" w:rsidP="00594CFB">
      <w:pPr>
        <w:pStyle w:val="ListParagraph"/>
        <w:numPr>
          <w:ilvl w:val="0"/>
          <w:numId w:val="1"/>
        </w:numPr>
      </w:pPr>
      <w:r w:rsidRPr="005E28B4">
        <w:t>Gibson, G.E.</w:t>
      </w:r>
      <w:r>
        <w:t>,</w:t>
      </w:r>
      <w:r w:rsidRPr="005E28B4">
        <w:t xml:space="preserve"> Peterson, C.</w:t>
      </w:r>
      <w:r>
        <w:t xml:space="preserve">, </w:t>
      </w:r>
      <w:r w:rsidRPr="005E28B4">
        <w:t xml:space="preserve">1982. </w:t>
      </w:r>
      <w:r w:rsidRPr="00594CFB">
        <w:rPr>
          <w:bCs/>
        </w:rPr>
        <w:t xml:space="preserve">Decreases in the release of acetylcholine </w:t>
      </w:r>
      <w:r w:rsidRPr="00594CFB">
        <w:rPr>
          <w:bCs/>
          <w:i/>
          <w:iCs/>
        </w:rPr>
        <w:t xml:space="preserve">in vitro </w:t>
      </w:r>
      <w:r w:rsidRPr="00594CFB">
        <w:rPr>
          <w:bCs/>
        </w:rPr>
        <w:t xml:space="preserve">with low oxygen. </w:t>
      </w:r>
      <w:r w:rsidRPr="005E28B4">
        <w:t>Biochem</w:t>
      </w:r>
      <w:r>
        <w:t>.</w:t>
      </w:r>
      <w:r w:rsidRPr="005E28B4">
        <w:t xml:space="preserve"> Pharmacol</w:t>
      </w:r>
      <w:r>
        <w:t>.</w:t>
      </w:r>
      <w:r w:rsidRPr="005E28B4">
        <w:t xml:space="preserve"> </w:t>
      </w:r>
      <w:r w:rsidRPr="00594CFB">
        <w:rPr>
          <w:bCs/>
        </w:rPr>
        <w:t>31, 111-115,</w:t>
      </w:r>
    </w:p>
    <w:p w:rsidR="00886659" w:rsidRPr="005E28B4" w:rsidRDefault="00886659" w:rsidP="00594CFB">
      <w:pPr>
        <w:pStyle w:val="ListParagraph"/>
        <w:numPr>
          <w:ilvl w:val="0"/>
          <w:numId w:val="1"/>
        </w:numPr>
      </w:pPr>
      <w:r w:rsidRPr="005E28B4">
        <w:t xml:space="preserve">Gibson, G.E., Pulsinelli, W., </w:t>
      </w:r>
      <w:r w:rsidRPr="00594CFB">
        <w:rPr>
          <w:bCs/>
        </w:rPr>
        <w:t xml:space="preserve">Blass, J.P., </w:t>
      </w:r>
      <w:r w:rsidRPr="005E28B4">
        <w:t>Duffy, T.E.</w:t>
      </w:r>
      <w:r>
        <w:t xml:space="preserve">, </w:t>
      </w:r>
      <w:r w:rsidRPr="005E28B4">
        <w:t xml:space="preserve">1981. </w:t>
      </w:r>
      <w:r w:rsidRPr="00594CFB">
        <w:rPr>
          <w:bCs/>
        </w:rPr>
        <w:t>Brain dysfunction in mild to moderate hypoxia. Am. J. Med. 70, 1247-1254.</w:t>
      </w:r>
    </w:p>
    <w:p w:rsidR="00886659" w:rsidRDefault="00886659" w:rsidP="00594CFB">
      <w:pPr>
        <w:pStyle w:val="ListParagraph"/>
        <w:numPr>
          <w:ilvl w:val="0"/>
          <w:numId w:val="1"/>
        </w:numPr>
      </w:pPr>
      <w:r w:rsidRPr="005E28B4">
        <w:t xml:space="preserve">Guyenet, </w:t>
      </w:r>
      <w:r w:rsidRPr="00594CFB">
        <w:rPr>
          <w:bCs/>
        </w:rPr>
        <w:t xml:space="preserve">P.G., Stornetta, R.L., Bochorishvili, G., DePuy, S.D., Burke, P.G.R., Abbott, S.B.G., 2013. </w:t>
      </w:r>
      <w:r w:rsidRPr="005E28B4">
        <w:t xml:space="preserve">C1 neurons: the body’s EMTs. </w:t>
      </w:r>
      <w:r w:rsidRPr="00594CFB">
        <w:rPr>
          <w:iCs/>
        </w:rPr>
        <w:t>Am. J. Physiol. Regul. Integr. Comp. Physiol.</w:t>
      </w:r>
      <w:r w:rsidRPr="00594CFB">
        <w:rPr>
          <w:i/>
          <w:iCs/>
        </w:rPr>
        <w:t xml:space="preserve"> </w:t>
      </w:r>
      <w:r w:rsidRPr="005E28B4">
        <w:t>305</w:t>
      </w:r>
      <w:r>
        <w:t>,</w:t>
      </w:r>
      <w:r w:rsidRPr="005E28B4">
        <w:t xml:space="preserve"> R187–R204.</w:t>
      </w:r>
    </w:p>
    <w:p w:rsidR="00886659" w:rsidRPr="005E28B4" w:rsidRDefault="00886659" w:rsidP="00594CFB">
      <w:pPr>
        <w:pStyle w:val="ListParagraph"/>
        <w:numPr>
          <w:ilvl w:val="0"/>
          <w:numId w:val="1"/>
        </w:numPr>
      </w:pPr>
      <w:r w:rsidRPr="00594CFB">
        <w:rPr>
          <w:color w:val="222222"/>
        </w:rPr>
        <w:t xml:space="preserve">Hannon, J.P., Shields, J.L., Harris, C.W. 1969. Effects of altitude acclimatization on blood composition of women. </w:t>
      </w:r>
      <w:r w:rsidRPr="00594CFB">
        <w:rPr>
          <w:iCs/>
          <w:color w:val="222222"/>
        </w:rPr>
        <w:t>J. Appl. Physiol.</w:t>
      </w:r>
      <w:r w:rsidRPr="00594CFB">
        <w:rPr>
          <w:color w:val="222222"/>
        </w:rPr>
        <w:t xml:space="preserve"> </w:t>
      </w:r>
      <w:r w:rsidRPr="00594CFB">
        <w:rPr>
          <w:iCs/>
          <w:color w:val="222222"/>
        </w:rPr>
        <w:t>26</w:t>
      </w:r>
      <w:r w:rsidRPr="00594CFB">
        <w:rPr>
          <w:color w:val="222222"/>
        </w:rPr>
        <w:t>, 540-547.</w:t>
      </w:r>
    </w:p>
    <w:p w:rsidR="00886659" w:rsidRPr="005E28B4" w:rsidRDefault="00886659" w:rsidP="00594CFB">
      <w:pPr>
        <w:pStyle w:val="ListParagraph"/>
        <w:numPr>
          <w:ilvl w:val="0"/>
          <w:numId w:val="1"/>
        </w:numPr>
      </w:pPr>
      <w:r w:rsidRPr="00594CFB">
        <w:rPr>
          <w:color w:val="000000"/>
        </w:rPr>
        <w:t xml:space="preserve">*Hayashi, R., </w:t>
      </w:r>
      <w:r w:rsidRPr="005E28B4">
        <w:t>Matsuzawab, Y., Kubob, K.</w:t>
      </w:r>
      <w:r>
        <w:t>.</w:t>
      </w:r>
      <w:r w:rsidRPr="005E28B4">
        <w:t xml:space="preserve"> Toshio Kobayashi, T.</w:t>
      </w:r>
      <w:r>
        <w:t xml:space="preserve">, </w:t>
      </w:r>
      <w:r w:rsidRPr="005E28B4">
        <w:t>2005. Effects of simulated high altitude on event-related potential (P300) and auditory brain-stem responses. Clin</w:t>
      </w:r>
      <w:r>
        <w:t>.</w:t>
      </w:r>
      <w:r w:rsidRPr="005E28B4">
        <w:t xml:space="preserve"> Neurophysiol</w:t>
      </w:r>
      <w:r>
        <w:t>.</w:t>
      </w:r>
      <w:r w:rsidRPr="005E28B4">
        <w:t xml:space="preserve"> 116, 1471–1476</w:t>
      </w:r>
      <w:r>
        <w:t>.</w:t>
      </w:r>
    </w:p>
    <w:p w:rsidR="00886659" w:rsidRDefault="008350A5" w:rsidP="00594CFB">
      <w:pPr>
        <w:pStyle w:val="ListParagraph"/>
        <w:numPr>
          <w:ilvl w:val="0"/>
          <w:numId w:val="1"/>
        </w:numPr>
        <w:shd w:val="clear" w:color="auto" w:fill="FFFFFF"/>
      </w:pPr>
      <w:hyperlink r:id="rId24" w:history="1">
        <w:r w:rsidR="00886659" w:rsidRPr="00886659">
          <w:rPr>
            <w:rStyle w:val="highlight"/>
          </w:rPr>
          <w:t xml:space="preserve">Hemmingsson, </w:t>
        </w:r>
        <w:r w:rsidR="00886659" w:rsidRPr="00594CFB">
          <w:rPr>
            <w:rStyle w:val="Hyperlink"/>
            <w:color w:val="auto"/>
            <w:u w:val="none"/>
          </w:rPr>
          <w:t>T</w:t>
        </w:r>
      </w:hyperlink>
      <w:r w:rsidR="00886659" w:rsidRPr="00594CFB">
        <w:rPr>
          <w:rStyle w:val="Hyperlink"/>
          <w:color w:val="auto"/>
          <w:u w:val="none"/>
        </w:rPr>
        <w:t>.</w:t>
      </w:r>
      <w:r w:rsidR="00886659" w:rsidRPr="00886659">
        <w:t xml:space="preserve">, </w:t>
      </w:r>
      <w:hyperlink r:id="rId25" w:history="1">
        <w:r w:rsidR="00886659" w:rsidRPr="00594CFB">
          <w:rPr>
            <w:rStyle w:val="Hyperlink"/>
            <w:color w:val="auto"/>
            <w:u w:val="none"/>
          </w:rPr>
          <w:t>Linnarsson, D</w:t>
        </w:r>
      </w:hyperlink>
      <w:r w:rsidR="00886659" w:rsidRPr="00594CFB">
        <w:rPr>
          <w:rStyle w:val="Hyperlink"/>
          <w:color w:val="auto"/>
          <w:u w:val="none"/>
        </w:rPr>
        <w:t xml:space="preserve">., 2009. </w:t>
      </w:r>
      <w:r w:rsidR="00886659" w:rsidRPr="00886659">
        <w:t xml:space="preserve">Lower exhaled </w:t>
      </w:r>
      <w:r w:rsidR="00886659" w:rsidRPr="00886659">
        <w:rPr>
          <w:rStyle w:val="highlight"/>
        </w:rPr>
        <w:t xml:space="preserve">nitric oxide </w:t>
      </w:r>
      <w:r w:rsidR="00886659" w:rsidRPr="00886659">
        <w:t xml:space="preserve">in hypobaric than in normobaric acute hypoxia. </w:t>
      </w:r>
      <w:hyperlink r:id="rId26" w:tooltip="Respiratory physiology &amp; neurobiology." w:history="1">
        <w:r w:rsidR="00886659" w:rsidRPr="00594CFB">
          <w:rPr>
            <w:rStyle w:val="Hyperlink"/>
            <w:color w:val="auto"/>
            <w:u w:val="none"/>
          </w:rPr>
          <w:t>Respir. Physiol. Neurobiol.</w:t>
        </w:r>
      </w:hyperlink>
      <w:r w:rsidR="00886659" w:rsidRPr="00886659">
        <w:t xml:space="preserve"> 169, 74-77</w:t>
      </w:r>
      <w:r w:rsidR="00886659" w:rsidRPr="005E28B4">
        <w:t xml:space="preserve">. </w:t>
      </w:r>
    </w:p>
    <w:p w:rsidR="00886659" w:rsidRPr="00594CFB" w:rsidRDefault="00886659" w:rsidP="00594CFB">
      <w:pPr>
        <w:pStyle w:val="ListParagraph"/>
        <w:numPr>
          <w:ilvl w:val="0"/>
          <w:numId w:val="1"/>
        </w:numPr>
        <w:shd w:val="clear" w:color="auto" w:fill="FFFFFF"/>
        <w:rPr>
          <w:rFonts w:ascii="Arial" w:hAnsi="Arial" w:cs="Arial"/>
          <w:color w:val="000000"/>
          <w:sz w:val="22"/>
          <w:szCs w:val="22"/>
        </w:rPr>
      </w:pPr>
      <w:r w:rsidRPr="00594CFB">
        <w:rPr>
          <w:color w:val="222222"/>
        </w:rPr>
        <w:t>Kahler, R.L., Goldblatt, A., Braunwald, E. 1962. The effects of acute hypoxia on the systemic venous and arterial systems and on myocardial contractile force. J. Clin. Invest. 41, 1553-1563.</w:t>
      </w:r>
    </w:p>
    <w:p w:rsidR="00886659" w:rsidRPr="00594CFB" w:rsidRDefault="008350A5" w:rsidP="00594CFB">
      <w:pPr>
        <w:pStyle w:val="ListParagraph"/>
        <w:numPr>
          <w:ilvl w:val="0"/>
          <w:numId w:val="1"/>
        </w:numPr>
        <w:rPr>
          <w:rFonts w:ascii="Arial" w:hAnsi="Arial" w:cs="Arial"/>
          <w:sz w:val="22"/>
          <w:szCs w:val="22"/>
        </w:rPr>
      </w:pPr>
      <w:hyperlink r:id="rId27" w:history="1">
        <w:r w:rsidR="00886659" w:rsidRPr="00886659">
          <w:rPr>
            <w:rStyle w:val="highlight"/>
          </w:rPr>
          <w:t xml:space="preserve">King, </w:t>
        </w:r>
        <w:r w:rsidR="00886659" w:rsidRPr="00594CFB">
          <w:rPr>
            <w:rStyle w:val="Hyperlink"/>
            <w:color w:val="auto"/>
            <w:u w:val="none"/>
          </w:rPr>
          <w:t>T.L</w:t>
        </w:r>
      </w:hyperlink>
      <w:r w:rsidR="00886659" w:rsidRPr="00594CFB">
        <w:rPr>
          <w:rStyle w:val="Hyperlink"/>
          <w:color w:val="auto"/>
          <w:u w:val="none"/>
        </w:rPr>
        <w:t>.</w:t>
      </w:r>
      <w:r w:rsidR="00886659" w:rsidRPr="00886659">
        <w:t xml:space="preserve">, </w:t>
      </w:r>
      <w:hyperlink r:id="rId28" w:history="1">
        <w:r w:rsidR="00886659" w:rsidRPr="00594CFB">
          <w:rPr>
            <w:rStyle w:val="Hyperlink"/>
            <w:color w:val="auto"/>
            <w:u w:val="none"/>
          </w:rPr>
          <w:t>Kline, D.D</w:t>
        </w:r>
      </w:hyperlink>
      <w:r w:rsidR="00886659" w:rsidRPr="00594CFB">
        <w:rPr>
          <w:rStyle w:val="Hyperlink"/>
          <w:color w:val="auto"/>
          <w:u w:val="none"/>
        </w:rPr>
        <w:t>.</w:t>
      </w:r>
      <w:r w:rsidR="00886659" w:rsidRPr="00886659">
        <w:t xml:space="preserve">, </w:t>
      </w:r>
      <w:hyperlink r:id="rId29" w:history="1">
        <w:r w:rsidR="00886659" w:rsidRPr="00594CFB">
          <w:rPr>
            <w:rStyle w:val="Hyperlink"/>
            <w:color w:val="auto"/>
            <w:u w:val="none"/>
          </w:rPr>
          <w:t>Ruyle, B.C</w:t>
        </w:r>
      </w:hyperlink>
      <w:r w:rsidR="00886659" w:rsidRPr="00594CFB">
        <w:rPr>
          <w:rStyle w:val="Hyperlink"/>
          <w:color w:val="auto"/>
          <w:u w:val="none"/>
        </w:rPr>
        <w:t>.</w:t>
      </w:r>
      <w:r w:rsidR="00886659" w:rsidRPr="00886659">
        <w:t xml:space="preserve">, </w:t>
      </w:r>
      <w:hyperlink r:id="rId30" w:history="1">
        <w:r w:rsidR="00886659" w:rsidRPr="00594CFB">
          <w:rPr>
            <w:rStyle w:val="Hyperlink"/>
            <w:color w:val="auto"/>
            <w:u w:val="none"/>
          </w:rPr>
          <w:t>Heesch, C.M</w:t>
        </w:r>
      </w:hyperlink>
      <w:r w:rsidR="00886659" w:rsidRPr="00594CFB">
        <w:rPr>
          <w:rStyle w:val="Hyperlink"/>
          <w:color w:val="auto"/>
          <w:u w:val="none"/>
        </w:rPr>
        <w:t>.</w:t>
      </w:r>
      <w:r w:rsidR="00886659" w:rsidRPr="00886659">
        <w:t xml:space="preserve">, </w:t>
      </w:r>
      <w:hyperlink r:id="rId31" w:history="1">
        <w:r w:rsidR="00886659" w:rsidRPr="00594CFB">
          <w:rPr>
            <w:rStyle w:val="Hyperlink"/>
            <w:color w:val="auto"/>
            <w:u w:val="none"/>
          </w:rPr>
          <w:t>Hasser, E.M</w:t>
        </w:r>
      </w:hyperlink>
      <w:r w:rsidR="00886659" w:rsidRPr="00594CFB">
        <w:rPr>
          <w:rStyle w:val="Hyperlink"/>
          <w:color w:val="auto"/>
          <w:u w:val="none"/>
        </w:rPr>
        <w:t xml:space="preserve">., 2013. </w:t>
      </w:r>
      <w:r w:rsidR="00886659" w:rsidRPr="00886659">
        <w:t xml:space="preserve">Acute systemic hypoxia activates hypothalamic paraventricular nucleus-projecting catecholaminergic </w:t>
      </w:r>
      <w:r w:rsidR="00886659" w:rsidRPr="00886659">
        <w:lastRenderedPageBreak/>
        <w:t xml:space="preserve">neurons in the caudal ventrolateral medulla. </w:t>
      </w:r>
      <w:hyperlink r:id="rId32" w:tooltip="American journal of physiology. Regulatory, integrative and comparative physiology." w:history="1">
        <w:r w:rsidR="00886659" w:rsidRPr="00594CFB">
          <w:rPr>
            <w:rStyle w:val="Hyperlink"/>
            <w:color w:val="auto"/>
            <w:u w:val="none"/>
          </w:rPr>
          <w:t>Am. J. Physiol. Regul. Integr. Comp. Physiol.</w:t>
        </w:r>
      </w:hyperlink>
      <w:r w:rsidR="00886659" w:rsidRPr="00886659">
        <w:t xml:space="preserve"> 305,:R1112-R1123. </w:t>
      </w:r>
    </w:p>
    <w:p w:rsidR="00886659" w:rsidRPr="005E28B4" w:rsidRDefault="00886659" w:rsidP="00594CFB">
      <w:pPr>
        <w:pStyle w:val="ListParagraph"/>
        <w:numPr>
          <w:ilvl w:val="0"/>
          <w:numId w:val="1"/>
        </w:numPr>
      </w:pPr>
      <w:r w:rsidRPr="00594CFB">
        <w:rPr>
          <w:color w:val="000000"/>
        </w:rPr>
        <w:t xml:space="preserve">*Komiyama, T., </w:t>
      </w:r>
      <w:r w:rsidRPr="005E28B4">
        <w:t>Sudo, M., Higaki, Y.</w:t>
      </w:r>
      <w:r>
        <w:t>,</w:t>
      </w:r>
      <w:r w:rsidRPr="005E28B4">
        <w:t xml:space="preserve"> Kiyonaga, A., Tanaka, H.</w:t>
      </w:r>
      <w:r>
        <w:t>,</w:t>
      </w:r>
      <w:r w:rsidRPr="005E28B4">
        <w:t xml:space="preserve"> Ando, S.</w:t>
      </w:r>
      <w:r>
        <w:t xml:space="preserve">, </w:t>
      </w:r>
      <w:r w:rsidRPr="005E28B4">
        <w:t>2015. Does moderate hypoxia alter working memory and executive function during prolonged exercise? Physiol</w:t>
      </w:r>
      <w:r>
        <w:t>.</w:t>
      </w:r>
      <w:r w:rsidRPr="005E28B4">
        <w:t xml:space="preserve"> Behav</w:t>
      </w:r>
      <w:r>
        <w:t>.</w:t>
      </w:r>
      <w:r w:rsidRPr="005E28B4">
        <w:t xml:space="preserve"> 139, 290–296.</w:t>
      </w:r>
    </w:p>
    <w:p w:rsidR="00886659" w:rsidRPr="00594CFB" w:rsidRDefault="008350A5" w:rsidP="00594CFB">
      <w:pPr>
        <w:pStyle w:val="ListParagraph"/>
        <w:numPr>
          <w:ilvl w:val="0"/>
          <w:numId w:val="1"/>
        </w:numPr>
        <w:shd w:val="clear" w:color="auto" w:fill="FFFFFF"/>
        <w:rPr>
          <w:rFonts w:ascii="Arial" w:hAnsi="Arial" w:cs="Arial"/>
          <w:color w:val="000000"/>
          <w:sz w:val="22"/>
          <w:szCs w:val="22"/>
        </w:rPr>
      </w:pPr>
      <w:hyperlink r:id="rId33" w:history="1">
        <w:r w:rsidR="00886659" w:rsidRPr="00886659">
          <w:rPr>
            <w:rStyle w:val="highlight"/>
          </w:rPr>
          <w:t>Kumar, A.M</w:t>
        </w:r>
      </w:hyperlink>
      <w:r w:rsidR="00886659" w:rsidRPr="00886659">
        <w:rPr>
          <w:rStyle w:val="highlight"/>
        </w:rPr>
        <w:t>.</w:t>
      </w:r>
      <w:r w:rsidR="00886659" w:rsidRPr="00886659">
        <w:t xml:space="preserve">, </w:t>
      </w:r>
      <w:hyperlink r:id="rId34" w:history="1">
        <w:r w:rsidR="00886659" w:rsidRPr="00594CFB">
          <w:rPr>
            <w:rStyle w:val="Hyperlink"/>
            <w:color w:val="auto"/>
            <w:u w:val="none"/>
          </w:rPr>
          <w:t>Ownby, R.L</w:t>
        </w:r>
      </w:hyperlink>
      <w:r w:rsidR="00886659" w:rsidRPr="00594CFB">
        <w:rPr>
          <w:rStyle w:val="Hyperlink"/>
          <w:color w:val="auto"/>
          <w:u w:val="none"/>
        </w:rPr>
        <w:t>.</w:t>
      </w:r>
      <w:r w:rsidR="00886659" w:rsidRPr="00886659">
        <w:t xml:space="preserve">, </w:t>
      </w:r>
      <w:hyperlink r:id="rId35" w:history="1">
        <w:r w:rsidR="00886659" w:rsidRPr="00594CFB">
          <w:rPr>
            <w:rStyle w:val="Hyperlink"/>
            <w:color w:val="auto"/>
            <w:u w:val="none"/>
          </w:rPr>
          <w:t>Waldrop-Valverde, D</w:t>
        </w:r>
      </w:hyperlink>
      <w:r w:rsidR="00886659" w:rsidRPr="00594CFB">
        <w:rPr>
          <w:rStyle w:val="Hyperlink"/>
          <w:color w:val="auto"/>
          <w:u w:val="none"/>
        </w:rPr>
        <w:t>.</w:t>
      </w:r>
      <w:r w:rsidR="00886659" w:rsidRPr="00886659">
        <w:t xml:space="preserve">, </w:t>
      </w:r>
      <w:hyperlink r:id="rId36" w:history="1">
        <w:r w:rsidR="00886659" w:rsidRPr="00594CFB">
          <w:rPr>
            <w:rStyle w:val="Hyperlink"/>
            <w:color w:val="auto"/>
            <w:u w:val="none"/>
          </w:rPr>
          <w:t>Fernandez, B</w:t>
        </w:r>
      </w:hyperlink>
      <w:r w:rsidR="00886659" w:rsidRPr="00594CFB">
        <w:rPr>
          <w:rStyle w:val="Hyperlink"/>
          <w:color w:val="auto"/>
          <w:u w:val="none"/>
        </w:rPr>
        <w:t>.</w:t>
      </w:r>
      <w:r w:rsidR="00886659" w:rsidRPr="00886659">
        <w:t xml:space="preserve">, </w:t>
      </w:r>
      <w:hyperlink r:id="rId37" w:history="1">
        <w:r w:rsidR="00886659" w:rsidRPr="00594CFB">
          <w:rPr>
            <w:rStyle w:val="Hyperlink"/>
            <w:color w:val="auto"/>
            <w:u w:val="none"/>
          </w:rPr>
          <w:t>Kumar, M</w:t>
        </w:r>
      </w:hyperlink>
      <w:r w:rsidR="00886659" w:rsidRPr="00594CFB">
        <w:rPr>
          <w:rStyle w:val="Hyperlink"/>
          <w:color w:val="auto"/>
          <w:u w:val="none"/>
        </w:rPr>
        <w:t>.</w:t>
      </w:r>
      <w:hyperlink r:id="rId38" w:tooltip="Journal of neurovirology." w:history="1">
        <w:r w:rsidR="00886659" w:rsidRPr="00594CFB">
          <w:rPr>
            <w:rStyle w:val="Hyperlink"/>
            <w:color w:val="auto"/>
            <w:u w:val="none"/>
          </w:rPr>
          <w:t xml:space="preserve">J., 2011. </w:t>
        </w:r>
        <w:r w:rsidR="00886659" w:rsidRPr="00886659">
          <w:t xml:space="preserve">Human immunodeficiency virus infection in the CNS and decreased </w:t>
        </w:r>
        <w:r w:rsidR="00886659" w:rsidRPr="00886659">
          <w:rPr>
            <w:rStyle w:val="highlight"/>
          </w:rPr>
          <w:t xml:space="preserve">dopamine </w:t>
        </w:r>
        <w:r w:rsidR="00886659" w:rsidRPr="00886659">
          <w:t xml:space="preserve">availability: relationship with neuropsychological performance. </w:t>
        </w:r>
        <w:r w:rsidR="00886659" w:rsidRPr="00594CFB">
          <w:rPr>
            <w:rStyle w:val="Hyperlink"/>
            <w:color w:val="auto"/>
            <w:u w:val="none"/>
          </w:rPr>
          <w:t>Neurovirol.</w:t>
        </w:r>
      </w:hyperlink>
      <w:r w:rsidR="00886659" w:rsidRPr="00886659">
        <w:t xml:space="preserve"> 17, 26-40. </w:t>
      </w:r>
    </w:p>
    <w:p w:rsidR="00886659" w:rsidRPr="005E28B4" w:rsidRDefault="00886659" w:rsidP="00594CFB">
      <w:pPr>
        <w:pStyle w:val="ListParagraph"/>
        <w:numPr>
          <w:ilvl w:val="0"/>
          <w:numId w:val="1"/>
        </w:numPr>
        <w:autoSpaceDE w:val="0"/>
        <w:autoSpaceDN w:val="0"/>
        <w:adjustRightInd w:val="0"/>
      </w:pPr>
      <w:r w:rsidRPr="005E28B4">
        <w:t>Leh, S.E.</w:t>
      </w:r>
      <w:r>
        <w:t>,</w:t>
      </w:r>
      <w:r w:rsidRPr="005E28B4">
        <w:t xml:space="preserve"> Petrides, M.</w:t>
      </w:r>
      <w:r>
        <w:t>,</w:t>
      </w:r>
      <w:r w:rsidRPr="005E28B4">
        <w:t xml:space="preserve"> Strafella, A.P.</w:t>
      </w:r>
      <w:r>
        <w:t>, 2010.</w:t>
      </w:r>
      <w:r w:rsidRPr="005E28B4">
        <w:t xml:space="preserve"> The neural circuitry of executive functions in healthy subjects and Parkinson's disease, Neuropharmacol</w:t>
      </w:r>
      <w:r>
        <w:t>.</w:t>
      </w:r>
      <w:r w:rsidRPr="005E28B4">
        <w:t xml:space="preserve"> 35</w:t>
      </w:r>
      <w:r>
        <w:t>,</w:t>
      </w:r>
      <w:r w:rsidRPr="005E28B4">
        <w:t xml:space="preserve"> 70–85</w:t>
      </w:r>
      <w:r>
        <w:t>.</w:t>
      </w:r>
    </w:p>
    <w:p w:rsidR="00886659" w:rsidRPr="005E28B4" w:rsidRDefault="00886659" w:rsidP="00594CFB">
      <w:pPr>
        <w:pStyle w:val="ListParagraph"/>
        <w:numPr>
          <w:ilvl w:val="0"/>
          <w:numId w:val="1"/>
        </w:numPr>
      </w:pPr>
      <w:r w:rsidRPr="005E28B4">
        <w:t xml:space="preserve">Lewis, </w:t>
      </w:r>
      <w:r w:rsidRPr="00594CFB">
        <w:rPr>
          <w:bCs/>
        </w:rPr>
        <w:t xml:space="preserve">N.C.S., Messinger, L., Monteleone, B., Ainslie, P.N., 2014. </w:t>
      </w:r>
      <w:r w:rsidRPr="005E28B4">
        <w:t xml:space="preserve">Effect of acute hypoxia on regional cerebral blood flow: effect of sympathetic nerve activity. </w:t>
      </w:r>
      <w:r w:rsidRPr="00594CFB">
        <w:rPr>
          <w:iCs/>
        </w:rPr>
        <w:t>J. Appl. Physiol.</w:t>
      </w:r>
      <w:r w:rsidRPr="00594CFB">
        <w:rPr>
          <w:i/>
          <w:iCs/>
        </w:rPr>
        <w:t xml:space="preserve"> </w:t>
      </w:r>
      <w:r w:rsidRPr="005E28B4">
        <w:t>116</w:t>
      </w:r>
      <w:r>
        <w:t>,</w:t>
      </w:r>
      <w:r w:rsidRPr="005E28B4">
        <w:t xml:space="preserve"> 1189–1196.</w:t>
      </w:r>
    </w:p>
    <w:p w:rsidR="00886659" w:rsidRDefault="00886659" w:rsidP="00594CFB">
      <w:pPr>
        <w:pStyle w:val="ListParagraph"/>
        <w:numPr>
          <w:ilvl w:val="0"/>
          <w:numId w:val="1"/>
        </w:numPr>
      </w:pPr>
      <w:r w:rsidRPr="00594CFB">
        <w:rPr>
          <w:color w:val="000000"/>
        </w:rPr>
        <w:t xml:space="preserve">*Li, P., </w:t>
      </w:r>
      <w:r w:rsidRPr="005E28B4">
        <w:t>Zhang, G., You, H-Y., Zheng, R.</w:t>
      </w:r>
      <w:r>
        <w:t>,</w:t>
      </w:r>
      <w:r w:rsidRPr="005E28B4">
        <w:t xml:space="preserve"> Gao, Y-Q.</w:t>
      </w:r>
      <w:r>
        <w:t xml:space="preserve">, </w:t>
      </w:r>
      <w:r w:rsidRPr="005E28B4">
        <w:t>2012. Training-dependent cognitive advantage is suppressed at high altitude. Physiol</w:t>
      </w:r>
      <w:r>
        <w:t>.</w:t>
      </w:r>
      <w:r w:rsidRPr="005E28B4">
        <w:t xml:space="preserve"> Behav</w:t>
      </w:r>
      <w:r>
        <w:t>.</w:t>
      </w:r>
      <w:r w:rsidRPr="005E28B4">
        <w:t xml:space="preserve"> 106</w:t>
      </w:r>
      <w:r>
        <w:t>,</w:t>
      </w:r>
      <w:r w:rsidRPr="005E28B4">
        <w:t xml:space="preserve"> 439–445.</w:t>
      </w:r>
    </w:p>
    <w:p w:rsidR="00886659" w:rsidRPr="005E28B4" w:rsidRDefault="00886659" w:rsidP="00594CFB">
      <w:pPr>
        <w:pStyle w:val="ListParagraph"/>
        <w:numPr>
          <w:ilvl w:val="0"/>
          <w:numId w:val="1"/>
        </w:numPr>
      </w:pPr>
      <w:r w:rsidRPr="00594CFB">
        <w:rPr>
          <w:color w:val="222222"/>
        </w:rPr>
        <w:t>Lundby, C., Marconi, C., Cerretelli, P., Levine, B.D. 2008. Human adaptation to altitude and hypoxia: ethnic differences, chronic adaption and altitude training. In: Taylor, N.A.S., Groeller, H. (Eds.), Physiological Bases of Human Performance during Work and Exercise. Elsevier, Philadelphia, pp-447-457.</w:t>
      </w:r>
    </w:p>
    <w:p w:rsidR="00886659" w:rsidRPr="00D34872" w:rsidRDefault="008350A5" w:rsidP="00594CFB">
      <w:pPr>
        <w:pStyle w:val="ListParagraph"/>
        <w:numPr>
          <w:ilvl w:val="0"/>
          <w:numId w:val="1"/>
        </w:numPr>
        <w:shd w:val="clear" w:color="auto" w:fill="FFFFFF"/>
      </w:pPr>
      <w:hyperlink r:id="rId39" w:history="1">
        <w:r w:rsidR="00886659" w:rsidRPr="00D34872">
          <w:rPr>
            <w:rStyle w:val="highlight"/>
          </w:rPr>
          <w:t>Malle, C</w:t>
        </w:r>
      </w:hyperlink>
      <w:r w:rsidR="00886659" w:rsidRPr="00886659">
        <w:rPr>
          <w:rStyle w:val="highlight"/>
        </w:rPr>
        <w:t>.</w:t>
      </w:r>
      <w:r w:rsidR="00886659" w:rsidRPr="00886659">
        <w:t xml:space="preserve">, </w:t>
      </w:r>
      <w:hyperlink r:id="rId40" w:history="1">
        <w:r w:rsidR="00886659" w:rsidRPr="00594CFB">
          <w:rPr>
            <w:rStyle w:val="Hyperlink"/>
            <w:color w:val="auto"/>
            <w:u w:val="none"/>
          </w:rPr>
          <w:t>Ginon, B</w:t>
        </w:r>
      </w:hyperlink>
      <w:r w:rsidR="00886659" w:rsidRPr="00886659">
        <w:t xml:space="preserve">., </w:t>
      </w:r>
      <w:hyperlink r:id="rId41" w:history="1">
        <w:r w:rsidR="00886659" w:rsidRPr="00594CFB">
          <w:rPr>
            <w:rStyle w:val="Hyperlink"/>
            <w:color w:val="auto"/>
            <w:u w:val="none"/>
          </w:rPr>
          <w:t>Bourrilhon, C</w:t>
        </w:r>
      </w:hyperlink>
      <w:r w:rsidR="00886659" w:rsidRPr="00886659">
        <w:t>., 2016. Brief working memory and physiological monitoring during a high-</w:t>
      </w:r>
      <w:r w:rsidR="00886659" w:rsidRPr="00886659">
        <w:rPr>
          <w:rStyle w:val="highlight"/>
        </w:rPr>
        <w:t xml:space="preserve">altitude </w:t>
      </w:r>
      <w:r w:rsidR="00886659" w:rsidRPr="00886659">
        <w:t xml:space="preserve">expedition. </w:t>
      </w:r>
      <w:hyperlink r:id="rId42" w:tooltip="High altitude medicine &amp; biology." w:history="1">
        <w:r w:rsidR="00886659" w:rsidRPr="00594CFB">
          <w:rPr>
            <w:rStyle w:val="Hyperlink"/>
            <w:color w:val="auto"/>
            <w:u w:val="none"/>
          </w:rPr>
          <w:t>High Alt. Med. Biol.</w:t>
        </w:r>
      </w:hyperlink>
      <w:r w:rsidR="00886659" w:rsidRPr="00886659">
        <w:t xml:space="preserve"> doi:</w:t>
      </w:r>
      <w:hyperlink r:id="rId43" w:history="1">
        <w:r w:rsidR="00886659" w:rsidRPr="00594CFB">
          <w:rPr>
            <w:rStyle w:val="Hyperlink"/>
            <w:color w:val="auto"/>
            <w:u w:val="none"/>
          </w:rPr>
          <w:t>10.1089/ham.2016.0022</w:t>
        </w:r>
      </w:hyperlink>
      <w:r w:rsidR="00886659" w:rsidRPr="00D34872">
        <w:t xml:space="preserve"> [Epub ahead of print]. </w:t>
      </w:r>
    </w:p>
    <w:p w:rsidR="00886659" w:rsidRPr="00594CFB" w:rsidRDefault="00886659" w:rsidP="00594CFB">
      <w:pPr>
        <w:pStyle w:val="ListParagraph"/>
        <w:numPr>
          <w:ilvl w:val="0"/>
          <w:numId w:val="1"/>
        </w:numPr>
        <w:shd w:val="clear" w:color="auto" w:fill="FFFFFF"/>
        <w:rPr>
          <w:color w:val="222222"/>
          <w:highlight w:val="yellow"/>
        </w:rPr>
      </w:pPr>
      <w:r w:rsidRPr="00594CFB">
        <w:rPr>
          <w:color w:val="222222"/>
        </w:rPr>
        <w:lastRenderedPageBreak/>
        <w:t>Marconi, C., Cerretelli. P. 2008. Altitude physiology: the impact of hypoxia on human performance. In: Taylor, N.A.S., Groeller, H. (Eds.), Physiological Bases of Human Performance during Work and Exercise. Elsevier, Philadelphia, pp-433-446.</w:t>
      </w:r>
    </w:p>
    <w:p w:rsidR="00886659" w:rsidRPr="00594CFB" w:rsidRDefault="00886659" w:rsidP="00594CFB">
      <w:pPr>
        <w:pStyle w:val="ListParagraph"/>
        <w:numPr>
          <w:ilvl w:val="0"/>
          <w:numId w:val="1"/>
        </w:numPr>
        <w:shd w:val="clear" w:color="auto" w:fill="FFFFFF"/>
        <w:rPr>
          <w:rFonts w:ascii="Arial" w:hAnsi="Arial" w:cs="Arial"/>
          <w:color w:val="000000"/>
          <w:sz w:val="22"/>
          <w:szCs w:val="22"/>
        </w:rPr>
      </w:pPr>
      <w:r w:rsidRPr="00594CFB">
        <w:rPr>
          <w:color w:val="231F20"/>
          <w:lang w:val="en-GB"/>
        </w:rPr>
        <w:t>Mazzeo, R., Reeves, J.T. 2003. Adrenergic contribution during acclimatization to high altitude: perspectives from Pikes Peak. Exerc. Sport Sci. Rev. 31, 13-18.</w:t>
      </w:r>
    </w:p>
    <w:p w:rsidR="00886659" w:rsidRPr="005E28B4" w:rsidRDefault="00886659" w:rsidP="00594CFB">
      <w:pPr>
        <w:pStyle w:val="ListParagraph"/>
        <w:numPr>
          <w:ilvl w:val="0"/>
          <w:numId w:val="1"/>
        </w:numPr>
      </w:pPr>
      <w:r w:rsidRPr="005E28B4">
        <w:t xml:space="preserve">McMorris, </w:t>
      </w:r>
      <w:r>
        <w:t xml:space="preserve">T., </w:t>
      </w:r>
      <w:r w:rsidRPr="005E28B4">
        <w:t>2016</w:t>
      </w:r>
      <w:r>
        <w:t>.</w:t>
      </w:r>
      <w:r w:rsidRPr="005E28B4">
        <w:t xml:space="preserve"> </w:t>
      </w:r>
      <w:r w:rsidRPr="00594CFB">
        <w:rPr>
          <w:lang w:val="en-GB"/>
        </w:rPr>
        <w:t xml:space="preserve">Developing the catecholamines hypothesis for the acute exercise-cognition interaction in humans: lessons from animal studies. Physiol. Behav. </w:t>
      </w:r>
      <w:r w:rsidRPr="00594CFB">
        <w:rPr>
          <w:color w:val="000000"/>
          <w:shd w:val="clear" w:color="auto" w:fill="FFFFFF"/>
        </w:rPr>
        <w:t>165, 291-299.</w:t>
      </w:r>
    </w:p>
    <w:p w:rsidR="00886659" w:rsidRPr="005E28B4" w:rsidRDefault="00886659" w:rsidP="00594CFB">
      <w:pPr>
        <w:pStyle w:val="ListParagraph"/>
        <w:numPr>
          <w:ilvl w:val="0"/>
          <w:numId w:val="1"/>
        </w:numPr>
      </w:pPr>
      <w:r w:rsidRPr="005E28B4">
        <w:t>McMorris, T., Hale, B.J.</w:t>
      </w:r>
      <w:r>
        <w:t xml:space="preserve">, </w:t>
      </w:r>
      <w:r w:rsidRPr="005E28B4">
        <w:t xml:space="preserve">2012. Differential effects of differing intensities of acute exercise on speed and accuracy of cognition: a meta-analytical investigation. </w:t>
      </w:r>
      <w:r w:rsidRPr="00194574">
        <w:t>Brain Cogn</w:t>
      </w:r>
      <w:r>
        <w:t>.</w:t>
      </w:r>
      <w:r w:rsidRPr="005E28B4">
        <w:t xml:space="preserve"> 80, 338-351.</w:t>
      </w:r>
    </w:p>
    <w:p w:rsidR="00886659" w:rsidRPr="00194574" w:rsidRDefault="00886659" w:rsidP="00594CFB">
      <w:pPr>
        <w:pStyle w:val="ListParagraph"/>
        <w:numPr>
          <w:ilvl w:val="0"/>
          <w:numId w:val="1"/>
        </w:numPr>
      </w:pPr>
      <w:r w:rsidRPr="00594CFB">
        <w:rPr>
          <w:bCs/>
        </w:rPr>
        <w:t xml:space="preserve">McMorris, T., Swain, J., Smith, M., Harris, R.C., Corbett, J., Delves, S., Sale, C., Potter, J., 2006a. Heat stress, plasma concentrations of epinephrine, </w:t>
      </w:r>
      <w:r w:rsidRPr="005E28B4">
        <w:t xml:space="preserve">norepinephrine, 5-hydroxytryptamine and cortisol, perception of mood state and working memory. </w:t>
      </w:r>
      <w:r w:rsidRPr="00594CFB">
        <w:rPr>
          <w:iCs/>
        </w:rPr>
        <w:t>Int. J.</w:t>
      </w:r>
      <w:r w:rsidRPr="00194574">
        <w:t xml:space="preserve"> Psychophysiol</w:t>
      </w:r>
      <w:r>
        <w:t>.</w:t>
      </w:r>
      <w:r w:rsidRPr="00594CFB">
        <w:rPr>
          <w:iCs/>
        </w:rPr>
        <w:t xml:space="preserve"> 61, 204-215.</w:t>
      </w:r>
    </w:p>
    <w:p w:rsidR="00886659" w:rsidRPr="005E28B4" w:rsidRDefault="00886659" w:rsidP="00594CFB">
      <w:pPr>
        <w:pStyle w:val="ListParagraph"/>
        <w:numPr>
          <w:ilvl w:val="0"/>
          <w:numId w:val="1"/>
        </w:numPr>
      </w:pPr>
      <w:r w:rsidRPr="005E28B4">
        <w:t>McMorris, T., Harris, R.C., Swain, J., Corbett, J., Collard, K., Dyson, R, Dye, L., Hodgson, C., Draper, N.</w:t>
      </w:r>
      <w:r>
        <w:t xml:space="preserve">, </w:t>
      </w:r>
      <w:r w:rsidRPr="005E28B4">
        <w:t xml:space="preserve">2006b. Effect of creatine supplementation and sleep deprivation, with mild exercise, on cognitive and psychomotor performance, mood state, and plasma concentrations of catecholamines and cortisol. </w:t>
      </w:r>
      <w:r w:rsidRPr="00594CFB">
        <w:rPr>
          <w:iCs/>
        </w:rPr>
        <w:t xml:space="preserve">Psychopharmacol. </w:t>
      </w:r>
      <w:r w:rsidRPr="00194574">
        <w:t>185</w:t>
      </w:r>
      <w:r w:rsidRPr="005E28B4">
        <w:t>, 93-103.</w:t>
      </w:r>
    </w:p>
    <w:p w:rsidR="00886659" w:rsidRPr="00594CFB" w:rsidRDefault="00886659" w:rsidP="00594CFB">
      <w:pPr>
        <w:pStyle w:val="ListParagraph"/>
        <w:numPr>
          <w:ilvl w:val="0"/>
          <w:numId w:val="1"/>
        </w:numPr>
        <w:autoSpaceDE w:val="0"/>
        <w:autoSpaceDN w:val="0"/>
        <w:adjustRightInd w:val="0"/>
        <w:rPr>
          <w:bCs/>
        </w:rPr>
      </w:pPr>
      <w:r w:rsidRPr="005E28B4">
        <w:t>Mejías-Aponte, C.A.</w:t>
      </w:r>
      <w:r>
        <w:t>,</w:t>
      </w:r>
      <w:r w:rsidRPr="005E28B4">
        <w:t xml:space="preserve"> Drouin, C.</w:t>
      </w:r>
      <w:r>
        <w:t>,</w:t>
      </w:r>
      <w:r w:rsidRPr="005E28B4">
        <w:t xml:space="preserve"> Aston-Jones, G.</w:t>
      </w:r>
      <w:r>
        <w:t xml:space="preserve">, 2009. </w:t>
      </w:r>
      <w:r w:rsidRPr="005E28B4">
        <w:t>Adrenergic and noradrenergic innervation of the midbrain ventral tegmental area and retrorubral field: prominent inputs from medullary homeostatic centers, J. Neurosci. 29</w:t>
      </w:r>
      <w:r>
        <w:t xml:space="preserve">, </w:t>
      </w:r>
      <w:r w:rsidRPr="005E28B4">
        <w:t>3613–3626</w:t>
      </w:r>
      <w:r>
        <w:t>.</w:t>
      </w:r>
    </w:p>
    <w:p w:rsidR="00886659" w:rsidRPr="005E28B4" w:rsidRDefault="00886659" w:rsidP="00594CFB">
      <w:pPr>
        <w:pStyle w:val="ListParagraph"/>
        <w:numPr>
          <w:ilvl w:val="0"/>
          <w:numId w:val="1"/>
        </w:numPr>
        <w:autoSpaceDE w:val="0"/>
        <w:autoSpaceDN w:val="0"/>
        <w:adjustRightInd w:val="0"/>
      </w:pPr>
      <w:r w:rsidRPr="005E28B4">
        <w:lastRenderedPageBreak/>
        <w:t>Miyake, A.</w:t>
      </w:r>
      <w:r>
        <w:t>,</w:t>
      </w:r>
      <w:r w:rsidRPr="005E28B4">
        <w:t xml:space="preserve"> Friedman,</w:t>
      </w:r>
      <w:r w:rsidRPr="00EF3D82">
        <w:t xml:space="preserve"> </w:t>
      </w:r>
      <w:r w:rsidRPr="005E28B4">
        <w:t>N.P.</w:t>
      </w:r>
      <w:r>
        <w:t>,</w:t>
      </w:r>
      <w:r w:rsidRPr="005E28B4">
        <w:t xml:space="preserve"> Emerson, M.J.</w:t>
      </w:r>
      <w:r>
        <w:t>,</w:t>
      </w:r>
      <w:r w:rsidRPr="005E28B4">
        <w:t xml:space="preserve"> Witzki, A.H.</w:t>
      </w:r>
      <w:r>
        <w:t>,</w:t>
      </w:r>
      <w:r w:rsidRPr="005E28B4">
        <w:t xml:space="preserve"> Howerter, A.</w:t>
      </w:r>
      <w:r>
        <w:t xml:space="preserve">, 2000. </w:t>
      </w:r>
      <w:r w:rsidRPr="005E28B4">
        <w:t>The unity and diversity of executive functions and their contributions to complex “frontal lobe” tasks: a latent variable analysis, Cogn. Psychol. 41</w:t>
      </w:r>
      <w:r>
        <w:t>,</w:t>
      </w:r>
      <w:r w:rsidRPr="005E28B4">
        <w:t xml:space="preserve"> 49–100</w:t>
      </w:r>
    </w:p>
    <w:p w:rsidR="00886659" w:rsidRPr="00594CFB" w:rsidRDefault="00886659" w:rsidP="00594CFB">
      <w:pPr>
        <w:pStyle w:val="ListParagraph"/>
        <w:numPr>
          <w:ilvl w:val="0"/>
          <w:numId w:val="1"/>
        </w:numPr>
        <w:autoSpaceDE w:val="0"/>
        <w:autoSpaceDN w:val="0"/>
        <w:adjustRightInd w:val="0"/>
        <w:rPr>
          <w:bCs/>
        </w:rPr>
      </w:pPr>
      <w:r w:rsidRPr="005E28B4">
        <w:t>Moore, C.I.</w:t>
      </w:r>
      <w:r>
        <w:t>, 2004.</w:t>
      </w:r>
      <w:r w:rsidRPr="005E28B4">
        <w:t xml:space="preserve"> Frequency-dependent processing in the vibrissa sensory system, J. Neurophysiol. 91</w:t>
      </w:r>
      <w:r>
        <w:t xml:space="preserve">, </w:t>
      </w:r>
      <w:r w:rsidRPr="005E28B4">
        <w:t>2390–2399.</w:t>
      </w:r>
    </w:p>
    <w:p w:rsidR="00886659" w:rsidRDefault="00886659" w:rsidP="00594CFB">
      <w:pPr>
        <w:pStyle w:val="Title1"/>
        <w:numPr>
          <w:ilvl w:val="0"/>
          <w:numId w:val="1"/>
        </w:numPr>
        <w:shd w:val="clear" w:color="auto" w:fill="FFFFFF"/>
        <w:spacing w:before="0" w:beforeAutospacing="0" w:after="0" w:afterAutospacing="0" w:line="480" w:lineRule="auto"/>
        <w:rPr>
          <w:shd w:val="clear" w:color="auto" w:fill="FFFFFF"/>
        </w:rPr>
      </w:pPr>
      <w:r w:rsidRPr="005E28B4">
        <w:t>*Noble</w:t>
      </w:r>
      <w:r>
        <w:t>,</w:t>
      </w:r>
      <w:r w:rsidRPr="005E28B4">
        <w:t xml:space="preserve"> J</w:t>
      </w:r>
      <w:r>
        <w:t>.</w:t>
      </w:r>
      <w:r w:rsidRPr="005E28B4">
        <w:t xml:space="preserve">, </w:t>
      </w:r>
      <w:r w:rsidRPr="00886659">
        <w:t xml:space="preserve">Jones, J.G., Davis, E.J., 1993. </w:t>
      </w:r>
      <w:hyperlink r:id="rId44" w:history="1">
        <w:r w:rsidRPr="00886659">
          <w:rPr>
            <w:rStyle w:val="Hyperlink"/>
            <w:color w:val="auto"/>
            <w:u w:val="none"/>
          </w:rPr>
          <w:t>Cognitive function during moderate hypoxaemia.</w:t>
        </w:r>
      </w:hyperlink>
      <w:r w:rsidRPr="00886659">
        <w:rPr>
          <w:rStyle w:val="Hyperlink"/>
          <w:color w:val="auto"/>
          <w:u w:val="none"/>
        </w:rPr>
        <w:t xml:space="preserve"> </w:t>
      </w:r>
      <w:hyperlink r:id="rId45" w:tooltip="Anaesthesia and intensive care." w:history="1">
        <w:r w:rsidRPr="00886659">
          <w:rPr>
            <w:rStyle w:val="Hyperlink"/>
            <w:color w:val="auto"/>
            <w:u w:val="none"/>
            <w:shd w:val="clear" w:color="auto" w:fill="FFFFFF"/>
          </w:rPr>
          <w:t>Anaesth. Intensive Care.</w:t>
        </w:r>
      </w:hyperlink>
      <w:r w:rsidRPr="00886659">
        <w:rPr>
          <w:rStyle w:val="Hyperlink"/>
          <w:color w:val="auto"/>
          <w:u w:val="none"/>
          <w:shd w:val="clear" w:color="auto" w:fill="FFFFFF"/>
        </w:rPr>
        <w:t xml:space="preserve"> </w:t>
      </w:r>
      <w:r w:rsidRPr="00886659">
        <w:rPr>
          <w:shd w:val="clear" w:color="auto" w:fill="FFFFFF"/>
        </w:rPr>
        <w:t>21, 180-184</w:t>
      </w:r>
      <w:r>
        <w:rPr>
          <w:shd w:val="clear" w:color="auto" w:fill="FFFFFF"/>
        </w:rPr>
        <w:t>.</w:t>
      </w:r>
      <w:r w:rsidRPr="005E28B4">
        <w:rPr>
          <w:shd w:val="clear" w:color="auto" w:fill="FFFFFF"/>
        </w:rPr>
        <w:t xml:space="preserve"> </w:t>
      </w:r>
    </w:p>
    <w:p w:rsidR="00886659" w:rsidRPr="005E28B4" w:rsidRDefault="00886659" w:rsidP="00594CFB">
      <w:pPr>
        <w:pStyle w:val="Title1"/>
        <w:numPr>
          <w:ilvl w:val="0"/>
          <w:numId w:val="1"/>
        </w:numPr>
        <w:shd w:val="clear" w:color="auto" w:fill="FFFFFF"/>
        <w:spacing w:before="0" w:beforeAutospacing="0" w:after="0" w:afterAutospacing="0" w:line="480" w:lineRule="auto"/>
        <w:rPr>
          <w:color w:val="000000"/>
        </w:rPr>
      </w:pPr>
      <w:r w:rsidRPr="00892483">
        <w:rPr>
          <w:color w:val="222222"/>
        </w:rPr>
        <w:t>Normand, R.A.</w:t>
      </w:r>
      <w:r>
        <w:rPr>
          <w:color w:val="222222"/>
        </w:rPr>
        <w:t xml:space="preserve">, </w:t>
      </w:r>
      <w:r w:rsidRPr="00892483">
        <w:rPr>
          <w:color w:val="222222"/>
        </w:rPr>
        <w:t xml:space="preserve">Koehle, M.S. 2012. Differences in cardio-ventilatory responses to hypobaric and normobaric hypoxia: a review. </w:t>
      </w:r>
      <w:r w:rsidRPr="00194574">
        <w:rPr>
          <w:iCs/>
          <w:color w:val="222222"/>
        </w:rPr>
        <w:t>Aviat</w:t>
      </w:r>
      <w:r>
        <w:rPr>
          <w:iCs/>
          <w:color w:val="222222"/>
        </w:rPr>
        <w:t>.</w:t>
      </w:r>
      <w:r w:rsidRPr="00194574">
        <w:rPr>
          <w:iCs/>
          <w:color w:val="222222"/>
        </w:rPr>
        <w:t xml:space="preserve"> </w:t>
      </w:r>
      <w:r>
        <w:rPr>
          <w:iCs/>
          <w:color w:val="222222"/>
        </w:rPr>
        <w:t>S</w:t>
      </w:r>
      <w:r w:rsidRPr="00194574">
        <w:rPr>
          <w:iCs/>
          <w:color w:val="222222"/>
        </w:rPr>
        <w:t>pace</w:t>
      </w:r>
      <w:r>
        <w:rPr>
          <w:iCs/>
          <w:color w:val="222222"/>
        </w:rPr>
        <w:t xml:space="preserve"> E</w:t>
      </w:r>
      <w:r w:rsidRPr="00194574">
        <w:rPr>
          <w:iCs/>
          <w:color w:val="222222"/>
        </w:rPr>
        <w:t>nviron</w:t>
      </w:r>
      <w:r>
        <w:rPr>
          <w:iCs/>
          <w:color w:val="222222"/>
        </w:rPr>
        <w:t>. M</w:t>
      </w:r>
      <w:r w:rsidRPr="00194574">
        <w:rPr>
          <w:iCs/>
          <w:color w:val="222222"/>
        </w:rPr>
        <w:t>ed</w:t>
      </w:r>
      <w:r>
        <w:rPr>
          <w:iCs/>
          <w:color w:val="222222"/>
        </w:rPr>
        <w:t>.</w:t>
      </w:r>
      <w:r w:rsidRPr="00892483">
        <w:rPr>
          <w:color w:val="222222"/>
        </w:rPr>
        <w:t xml:space="preserve"> </w:t>
      </w:r>
      <w:r w:rsidRPr="00522AD5">
        <w:rPr>
          <w:iCs/>
          <w:color w:val="222222"/>
        </w:rPr>
        <w:t>83</w:t>
      </w:r>
      <w:r w:rsidRPr="00522AD5">
        <w:rPr>
          <w:color w:val="222222"/>
        </w:rPr>
        <w:t>,</w:t>
      </w:r>
      <w:r w:rsidRPr="00892483">
        <w:rPr>
          <w:color w:val="222222"/>
        </w:rPr>
        <w:t xml:space="preserve"> 677-684.</w:t>
      </w:r>
    </w:p>
    <w:p w:rsidR="00886659" w:rsidRPr="005E28B4" w:rsidRDefault="00886659" w:rsidP="00594CFB">
      <w:pPr>
        <w:pStyle w:val="ListParagraph"/>
        <w:numPr>
          <w:ilvl w:val="0"/>
          <w:numId w:val="1"/>
        </w:numPr>
      </w:pPr>
      <w:r w:rsidRPr="005E28B4">
        <w:t>Ogoh, S., Nakahara, H., Ueda, S.</w:t>
      </w:r>
      <w:r>
        <w:t>,</w:t>
      </w:r>
      <w:r w:rsidRPr="005E28B4">
        <w:t xml:space="preserve"> Okazaki, K., Shibasaki, M., Subudhi, A.W., Miyamoto, T.</w:t>
      </w:r>
      <w:r>
        <w:t xml:space="preserve">, </w:t>
      </w:r>
      <w:r w:rsidRPr="00886659">
        <w:t xml:space="preserve">2014. </w:t>
      </w:r>
      <w:r w:rsidRPr="00594CFB">
        <w:rPr>
          <w:bCs/>
        </w:rPr>
        <w:t xml:space="preserve">Effects of acute hypoxia on cerebrovascular responses to carbon dioxide. </w:t>
      </w:r>
      <w:r w:rsidRPr="00594CFB">
        <w:rPr>
          <w:iCs/>
        </w:rPr>
        <w:t xml:space="preserve">Exp. Physiol. </w:t>
      </w:r>
      <w:r w:rsidRPr="00194574">
        <w:t>99,</w:t>
      </w:r>
      <w:r w:rsidRPr="005E28B4">
        <w:t xml:space="preserve"> 849–858.</w:t>
      </w:r>
    </w:p>
    <w:p w:rsidR="00886659" w:rsidRPr="005E28B4" w:rsidRDefault="00886659" w:rsidP="00594CFB">
      <w:pPr>
        <w:pStyle w:val="ListParagraph"/>
        <w:numPr>
          <w:ilvl w:val="0"/>
          <w:numId w:val="1"/>
        </w:numPr>
      </w:pPr>
      <w:r w:rsidRPr="005E28B4">
        <w:t>Ogoh, S., Sato, K., Nakahara, H., Okazaki, K., Subudhi, A.W.</w:t>
      </w:r>
      <w:r>
        <w:t>,</w:t>
      </w:r>
      <w:r w:rsidRPr="005E28B4">
        <w:t xml:space="preserve"> Miyamoto, T.</w:t>
      </w:r>
      <w:r>
        <w:t xml:space="preserve">, </w:t>
      </w:r>
      <w:r w:rsidRPr="005E28B4">
        <w:t xml:space="preserve">2013. </w:t>
      </w:r>
      <w:r w:rsidRPr="00594CFB">
        <w:rPr>
          <w:bCs/>
        </w:rPr>
        <w:t xml:space="preserve">Effect of acute hypoxia on blood flow in vertebral and internal carotid arteries. </w:t>
      </w:r>
      <w:r w:rsidRPr="00594CFB">
        <w:rPr>
          <w:iCs/>
        </w:rPr>
        <w:t>Exp. Physiol.</w:t>
      </w:r>
      <w:r w:rsidRPr="00594CFB">
        <w:rPr>
          <w:i/>
          <w:iCs/>
        </w:rPr>
        <w:t xml:space="preserve"> </w:t>
      </w:r>
      <w:r w:rsidRPr="005E28B4">
        <w:t>98, 692–698.</w:t>
      </w:r>
    </w:p>
    <w:p w:rsidR="00886659" w:rsidRPr="005E28B4" w:rsidRDefault="00886659" w:rsidP="00594CFB">
      <w:pPr>
        <w:pStyle w:val="ListParagraph"/>
        <w:numPr>
          <w:ilvl w:val="0"/>
          <w:numId w:val="1"/>
        </w:numPr>
      </w:pPr>
      <w:r w:rsidRPr="005E28B4">
        <w:t>Parent, M.B.</w:t>
      </w:r>
      <w:r>
        <w:t>,</w:t>
      </w:r>
      <w:r w:rsidRPr="005E28B4">
        <w:t xml:space="preserve"> Baxter, M.G.</w:t>
      </w:r>
      <w:r>
        <w:t xml:space="preserve">, </w:t>
      </w:r>
      <w:r w:rsidRPr="005E28B4">
        <w:t xml:space="preserve">2004. Septohippocampal acetylcholine: involved in but not necessary for learning and memory? </w:t>
      </w:r>
      <w:r w:rsidRPr="00594CFB">
        <w:rPr>
          <w:iCs/>
        </w:rPr>
        <w:t xml:space="preserve">Learn. Mem. </w:t>
      </w:r>
      <w:r w:rsidRPr="00194574">
        <w:t>11</w:t>
      </w:r>
      <w:r>
        <w:t xml:space="preserve">, </w:t>
      </w:r>
      <w:r w:rsidRPr="005E28B4">
        <w:t>9-20</w:t>
      </w:r>
      <w:r>
        <w:t>.</w:t>
      </w:r>
    </w:p>
    <w:p w:rsidR="00886659" w:rsidRPr="00886659" w:rsidRDefault="00886659" w:rsidP="00594CFB">
      <w:pPr>
        <w:pStyle w:val="Title1"/>
        <w:numPr>
          <w:ilvl w:val="0"/>
          <w:numId w:val="1"/>
        </w:numPr>
        <w:shd w:val="clear" w:color="auto" w:fill="FFFFFF"/>
        <w:spacing w:before="0" w:beforeAutospacing="0" w:after="0" w:afterAutospacing="0" w:line="480" w:lineRule="auto"/>
        <w:rPr>
          <w:shd w:val="clear" w:color="auto" w:fill="FFFFFF"/>
        </w:rPr>
      </w:pPr>
      <w:r w:rsidRPr="005E28B4">
        <w:t>*Pavlicek</w:t>
      </w:r>
      <w:r>
        <w:t>,</w:t>
      </w:r>
      <w:r w:rsidRPr="005E28B4">
        <w:t xml:space="preserve"> V</w:t>
      </w:r>
      <w:r>
        <w:t>.</w:t>
      </w:r>
      <w:r w:rsidRPr="005E28B4">
        <w:t xml:space="preserve">, </w:t>
      </w:r>
      <w:r w:rsidRPr="00886659">
        <w:t xml:space="preserve">Schirlo, C., Nebel, A., Regard, M., Koller, E.A., Brugger, P., 2005. </w:t>
      </w:r>
      <w:hyperlink r:id="rId46" w:history="1">
        <w:r w:rsidRPr="00886659">
          <w:rPr>
            <w:rStyle w:val="Hyperlink"/>
            <w:color w:val="auto"/>
            <w:u w:val="none"/>
          </w:rPr>
          <w:t>Cognitive and emotional processing at high altitude.</w:t>
        </w:r>
      </w:hyperlink>
      <w:r w:rsidRPr="00886659">
        <w:rPr>
          <w:rStyle w:val="Hyperlink"/>
          <w:color w:val="auto"/>
          <w:u w:val="none"/>
        </w:rPr>
        <w:t xml:space="preserve"> </w:t>
      </w:r>
      <w:hyperlink r:id="rId47" w:tooltip="Aviation, space, and environmental medicine." w:history="1">
        <w:r w:rsidRPr="00886659">
          <w:rPr>
            <w:rStyle w:val="Hyperlink"/>
            <w:color w:val="auto"/>
            <w:u w:val="none"/>
            <w:shd w:val="clear" w:color="auto" w:fill="FFFFFF"/>
          </w:rPr>
          <w:t>Aviat. Space Environ. Med.</w:t>
        </w:r>
      </w:hyperlink>
      <w:r w:rsidRPr="00886659">
        <w:rPr>
          <w:rStyle w:val="Hyperlink"/>
          <w:color w:val="auto"/>
          <w:u w:val="none"/>
          <w:shd w:val="clear" w:color="auto" w:fill="FFFFFF"/>
        </w:rPr>
        <w:t xml:space="preserve"> </w:t>
      </w:r>
      <w:r w:rsidRPr="00886659">
        <w:rPr>
          <w:shd w:val="clear" w:color="auto" w:fill="FFFFFF"/>
        </w:rPr>
        <w:t xml:space="preserve"> 76, 28-33. </w:t>
      </w:r>
    </w:p>
    <w:p w:rsidR="00886659" w:rsidRPr="00594CFB" w:rsidRDefault="00886659" w:rsidP="00594CFB">
      <w:pPr>
        <w:pStyle w:val="ListParagraph"/>
        <w:numPr>
          <w:ilvl w:val="0"/>
          <w:numId w:val="1"/>
        </w:numPr>
        <w:rPr>
          <w:color w:val="222222"/>
        </w:rPr>
      </w:pPr>
      <w:r w:rsidRPr="00594CFB">
        <w:rPr>
          <w:color w:val="222222"/>
        </w:rPr>
        <w:t xml:space="preserve">Pugh, L.G.C.E. 1964. Blood volume and haemoglobin concentration at altitudes above 18,000 ft.(5500 m). </w:t>
      </w:r>
      <w:r w:rsidRPr="00594CFB">
        <w:rPr>
          <w:iCs/>
          <w:color w:val="222222"/>
        </w:rPr>
        <w:t>J. Physiol</w:t>
      </w:r>
      <w:r w:rsidRPr="00594CFB">
        <w:rPr>
          <w:color w:val="222222"/>
        </w:rPr>
        <w:t xml:space="preserve">. </w:t>
      </w:r>
      <w:r w:rsidRPr="00594CFB">
        <w:rPr>
          <w:iCs/>
          <w:color w:val="222222"/>
        </w:rPr>
        <w:t>170</w:t>
      </w:r>
      <w:r w:rsidRPr="00594CFB">
        <w:rPr>
          <w:color w:val="222222"/>
        </w:rPr>
        <w:t>, 344-354.</w:t>
      </w:r>
    </w:p>
    <w:p w:rsidR="00886659" w:rsidRPr="005E28B4" w:rsidRDefault="00886659" w:rsidP="00594CFB">
      <w:pPr>
        <w:pStyle w:val="Title1"/>
        <w:numPr>
          <w:ilvl w:val="0"/>
          <w:numId w:val="1"/>
        </w:numPr>
        <w:shd w:val="clear" w:color="auto" w:fill="FFFFFF"/>
        <w:spacing w:before="0" w:beforeAutospacing="0" w:after="0" w:afterAutospacing="0" w:line="480" w:lineRule="auto"/>
        <w:rPr>
          <w:color w:val="000000"/>
        </w:rPr>
      </w:pPr>
      <w:r w:rsidRPr="003B5C1F">
        <w:rPr>
          <w:color w:val="222222"/>
        </w:rPr>
        <w:t xml:space="preserve">Pugh, L.G.C.E. 1967. Athletes at altitude. </w:t>
      </w:r>
      <w:r w:rsidRPr="00194574">
        <w:rPr>
          <w:iCs/>
          <w:color w:val="222222"/>
        </w:rPr>
        <w:t>J</w:t>
      </w:r>
      <w:r>
        <w:rPr>
          <w:iCs/>
          <w:color w:val="222222"/>
        </w:rPr>
        <w:t>. P</w:t>
      </w:r>
      <w:r w:rsidRPr="00194574">
        <w:rPr>
          <w:iCs/>
          <w:color w:val="222222"/>
        </w:rPr>
        <w:t>hysiol</w:t>
      </w:r>
      <w:r>
        <w:rPr>
          <w:iCs/>
          <w:color w:val="222222"/>
        </w:rPr>
        <w:t>.</w:t>
      </w:r>
      <w:r w:rsidRPr="00194574">
        <w:rPr>
          <w:color w:val="222222"/>
        </w:rPr>
        <w:t>,</w:t>
      </w:r>
      <w:r w:rsidRPr="003B5C1F">
        <w:rPr>
          <w:color w:val="222222"/>
        </w:rPr>
        <w:t xml:space="preserve"> </w:t>
      </w:r>
      <w:r w:rsidRPr="00522AD5">
        <w:rPr>
          <w:iCs/>
          <w:color w:val="222222"/>
        </w:rPr>
        <w:t>192</w:t>
      </w:r>
      <w:r w:rsidRPr="00522AD5">
        <w:rPr>
          <w:color w:val="222222"/>
        </w:rPr>
        <w:t>, 619</w:t>
      </w:r>
      <w:r w:rsidRPr="003B5C1F">
        <w:rPr>
          <w:color w:val="222222"/>
        </w:rPr>
        <w:t>-646.</w:t>
      </w:r>
    </w:p>
    <w:p w:rsidR="00886659" w:rsidRPr="005E28B4" w:rsidRDefault="00886659" w:rsidP="00594CFB">
      <w:pPr>
        <w:pStyle w:val="ListParagraph"/>
        <w:numPr>
          <w:ilvl w:val="0"/>
          <w:numId w:val="1"/>
        </w:numPr>
      </w:pPr>
      <w:r w:rsidRPr="005E28B4">
        <w:lastRenderedPageBreak/>
        <w:t>Ray, C.J., Abbas, M.R., Coney, A.M.</w:t>
      </w:r>
      <w:r>
        <w:t>,</w:t>
      </w:r>
      <w:r w:rsidRPr="005E28B4">
        <w:t xml:space="preserve"> Marshall, J.M.</w:t>
      </w:r>
      <w:r>
        <w:t xml:space="preserve">, </w:t>
      </w:r>
      <w:r w:rsidRPr="005E28B4">
        <w:t xml:space="preserve">2002. </w:t>
      </w:r>
      <w:r w:rsidRPr="00594CFB">
        <w:rPr>
          <w:bCs/>
        </w:rPr>
        <w:t xml:space="preserve">Interactions of adenosine, prostaglandins and nitric oxide in hypoxia-induced vasodilatation: </w:t>
      </w:r>
      <w:r w:rsidRPr="00594CFB">
        <w:rPr>
          <w:bCs/>
          <w:i/>
          <w:iCs/>
        </w:rPr>
        <w:t xml:space="preserve">in vivo </w:t>
      </w:r>
      <w:r w:rsidRPr="00594CFB">
        <w:rPr>
          <w:bCs/>
        </w:rPr>
        <w:t xml:space="preserve">and </w:t>
      </w:r>
      <w:r w:rsidRPr="00594CFB">
        <w:rPr>
          <w:bCs/>
          <w:i/>
          <w:iCs/>
        </w:rPr>
        <w:t xml:space="preserve">in vitro </w:t>
      </w:r>
      <w:r w:rsidRPr="00594CFB">
        <w:rPr>
          <w:bCs/>
        </w:rPr>
        <w:t xml:space="preserve">studies. </w:t>
      </w:r>
      <w:r w:rsidRPr="00594CFB">
        <w:rPr>
          <w:iCs/>
        </w:rPr>
        <w:t>J. Physiol.</w:t>
      </w:r>
      <w:r w:rsidRPr="005E28B4">
        <w:t xml:space="preserve"> </w:t>
      </w:r>
      <w:r w:rsidRPr="00594CFB">
        <w:rPr>
          <w:bCs/>
        </w:rPr>
        <w:t>544,</w:t>
      </w:r>
      <w:r w:rsidRPr="00594CFB">
        <w:rPr>
          <w:i/>
          <w:iCs/>
        </w:rPr>
        <w:t xml:space="preserve"> </w:t>
      </w:r>
      <w:r w:rsidRPr="005E28B4">
        <w:t>195–209</w:t>
      </w:r>
      <w:r>
        <w:t>.</w:t>
      </w:r>
    </w:p>
    <w:p w:rsidR="00886659" w:rsidRPr="00594CFB" w:rsidRDefault="008350A5" w:rsidP="00594CFB">
      <w:pPr>
        <w:pStyle w:val="ListParagraph"/>
        <w:numPr>
          <w:ilvl w:val="0"/>
          <w:numId w:val="1"/>
        </w:numPr>
        <w:shd w:val="clear" w:color="auto" w:fill="FFFFFF"/>
        <w:rPr>
          <w:rFonts w:ascii="Arial" w:hAnsi="Arial" w:cs="Arial"/>
          <w:color w:val="000000"/>
          <w:sz w:val="22"/>
          <w:szCs w:val="22"/>
        </w:rPr>
      </w:pPr>
      <w:hyperlink r:id="rId48" w:history="1">
        <w:r w:rsidR="00886659" w:rsidRPr="00886659">
          <w:rPr>
            <w:rStyle w:val="highlight"/>
          </w:rPr>
          <w:t>Rimoldi, S.F</w:t>
        </w:r>
      </w:hyperlink>
      <w:r w:rsidR="00886659" w:rsidRPr="00886659">
        <w:rPr>
          <w:rStyle w:val="highlight"/>
        </w:rPr>
        <w:t>.</w:t>
      </w:r>
      <w:r w:rsidR="00886659" w:rsidRPr="00886659">
        <w:t xml:space="preserve">, </w:t>
      </w:r>
      <w:hyperlink r:id="rId49" w:history="1">
        <w:r w:rsidR="00886659" w:rsidRPr="00594CFB">
          <w:rPr>
            <w:rStyle w:val="Hyperlink"/>
            <w:color w:val="auto"/>
            <w:u w:val="none"/>
          </w:rPr>
          <w:t>Rexhaj, E</w:t>
        </w:r>
      </w:hyperlink>
      <w:r w:rsidR="00886659" w:rsidRPr="00594CFB">
        <w:rPr>
          <w:rStyle w:val="Hyperlink"/>
          <w:color w:val="auto"/>
          <w:u w:val="none"/>
        </w:rPr>
        <w:t>.</w:t>
      </w:r>
      <w:r w:rsidR="00886659" w:rsidRPr="00886659">
        <w:t xml:space="preserve">, </w:t>
      </w:r>
      <w:hyperlink r:id="rId50" w:history="1">
        <w:r w:rsidR="00886659" w:rsidRPr="00594CFB">
          <w:rPr>
            <w:rStyle w:val="Hyperlink"/>
            <w:color w:val="auto"/>
            <w:u w:val="none"/>
          </w:rPr>
          <w:t>Duplain, H</w:t>
        </w:r>
      </w:hyperlink>
      <w:r w:rsidR="00886659" w:rsidRPr="00594CFB">
        <w:rPr>
          <w:rStyle w:val="Hyperlink"/>
          <w:color w:val="auto"/>
          <w:u w:val="none"/>
        </w:rPr>
        <w:t>.,</w:t>
      </w:r>
      <w:r w:rsidR="00886659" w:rsidRPr="00886659">
        <w:t xml:space="preserve"> </w:t>
      </w:r>
      <w:hyperlink r:id="rId51" w:history="1">
        <w:r w:rsidR="00886659" w:rsidRPr="00594CFB">
          <w:rPr>
            <w:rStyle w:val="Hyperlink"/>
            <w:color w:val="auto"/>
            <w:u w:val="none"/>
          </w:rPr>
          <w:t>Urben, S</w:t>
        </w:r>
      </w:hyperlink>
      <w:r w:rsidR="00886659" w:rsidRPr="00594CFB">
        <w:rPr>
          <w:rStyle w:val="Hyperlink"/>
          <w:color w:val="auto"/>
          <w:u w:val="none"/>
        </w:rPr>
        <w:t>.</w:t>
      </w:r>
      <w:r w:rsidR="00886659" w:rsidRPr="00886659">
        <w:t xml:space="preserve">, </w:t>
      </w:r>
      <w:hyperlink r:id="rId52" w:history="1">
        <w:r w:rsidR="00886659" w:rsidRPr="00594CFB">
          <w:rPr>
            <w:rStyle w:val="Hyperlink"/>
            <w:color w:val="auto"/>
            <w:u w:val="none"/>
          </w:rPr>
          <w:t>Billieux, J</w:t>
        </w:r>
      </w:hyperlink>
      <w:r w:rsidR="00886659" w:rsidRPr="00594CFB">
        <w:rPr>
          <w:rStyle w:val="Hyperlink"/>
          <w:color w:val="auto"/>
          <w:u w:val="none"/>
        </w:rPr>
        <w:t>.</w:t>
      </w:r>
      <w:r w:rsidR="00886659" w:rsidRPr="00886659">
        <w:t xml:space="preserve">, </w:t>
      </w:r>
      <w:hyperlink r:id="rId53" w:history="1">
        <w:r w:rsidR="00886659" w:rsidRPr="00594CFB">
          <w:rPr>
            <w:rStyle w:val="Hyperlink"/>
            <w:color w:val="auto"/>
            <w:u w:val="none"/>
          </w:rPr>
          <w:t>Allemann, Y</w:t>
        </w:r>
      </w:hyperlink>
      <w:r w:rsidR="00886659" w:rsidRPr="00594CFB">
        <w:rPr>
          <w:rStyle w:val="Hyperlink"/>
          <w:color w:val="auto"/>
          <w:u w:val="none"/>
        </w:rPr>
        <w:t>.</w:t>
      </w:r>
      <w:r w:rsidR="00886659" w:rsidRPr="00886659">
        <w:t xml:space="preserve">, </w:t>
      </w:r>
      <w:hyperlink r:id="rId54" w:history="1">
        <w:r w:rsidR="00886659" w:rsidRPr="00594CFB">
          <w:rPr>
            <w:rStyle w:val="Hyperlink"/>
            <w:color w:val="auto"/>
            <w:u w:val="none"/>
          </w:rPr>
          <w:t>Romero, C</w:t>
        </w:r>
      </w:hyperlink>
      <w:r w:rsidR="00886659" w:rsidRPr="00594CFB">
        <w:rPr>
          <w:rStyle w:val="Hyperlink"/>
          <w:color w:val="auto"/>
          <w:u w:val="none"/>
        </w:rPr>
        <w:t>.</w:t>
      </w:r>
      <w:r w:rsidR="00886659" w:rsidRPr="00886659">
        <w:t xml:space="preserve">, </w:t>
      </w:r>
      <w:hyperlink r:id="rId55" w:history="1">
        <w:r w:rsidR="00886659" w:rsidRPr="00594CFB">
          <w:rPr>
            <w:rStyle w:val="Hyperlink"/>
            <w:color w:val="auto"/>
            <w:u w:val="none"/>
          </w:rPr>
          <w:t>Ayaviri, A</w:t>
        </w:r>
      </w:hyperlink>
      <w:r w:rsidR="00886659" w:rsidRPr="00594CFB">
        <w:rPr>
          <w:rStyle w:val="Hyperlink"/>
          <w:color w:val="auto"/>
          <w:u w:val="none"/>
        </w:rPr>
        <w:t>.</w:t>
      </w:r>
      <w:r w:rsidR="00886659" w:rsidRPr="00886659">
        <w:t xml:space="preserve">, </w:t>
      </w:r>
      <w:hyperlink r:id="rId56" w:history="1">
        <w:r w:rsidR="00886659" w:rsidRPr="00594CFB">
          <w:rPr>
            <w:rStyle w:val="Hyperlink"/>
            <w:color w:val="auto"/>
            <w:u w:val="none"/>
          </w:rPr>
          <w:t>Salinas, C</w:t>
        </w:r>
      </w:hyperlink>
      <w:r w:rsidR="00886659" w:rsidRPr="00594CFB">
        <w:rPr>
          <w:rStyle w:val="Hyperlink"/>
          <w:color w:val="auto"/>
          <w:u w:val="none"/>
        </w:rPr>
        <w:t>.</w:t>
      </w:r>
      <w:r w:rsidR="00886659" w:rsidRPr="00886659">
        <w:t xml:space="preserve">, </w:t>
      </w:r>
      <w:hyperlink r:id="rId57" w:history="1">
        <w:r w:rsidR="00886659" w:rsidRPr="00594CFB">
          <w:rPr>
            <w:rStyle w:val="Hyperlink"/>
            <w:color w:val="auto"/>
            <w:u w:val="none"/>
          </w:rPr>
          <w:t>Villena, M</w:t>
        </w:r>
      </w:hyperlink>
      <w:r w:rsidR="00886659" w:rsidRPr="00594CFB">
        <w:rPr>
          <w:rStyle w:val="Hyperlink"/>
          <w:color w:val="auto"/>
          <w:u w:val="none"/>
        </w:rPr>
        <w:t>.</w:t>
      </w:r>
      <w:r w:rsidR="00886659" w:rsidRPr="00886659">
        <w:t xml:space="preserve">, </w:t>
      </w:r>
      <w:hyperlink r:id="rId58" w:history="1">
        <w:r w:rsidR="00886659" w:rsidRPr="00594CFB">
          <w:rPr>
            <w:rStyle w:val="Hyperlink"/>
            <w:color w:val="auto"/>
            <w:u w:val="none"/>
          </w:rPr>
          <w:t>Scherrer, U</w:t>
        </w:r>
      </w:hyperlink>
      <w:r w:rsidR="00886659" w:rsidRPr="00594CFB">
        <w:rPr>
          <w:rStyle w:val="Hyperlink"/>
          <w:color w:val="auto"/>
          <w:u w:val="none"/>
        </w:rPr>
        <w:t>.</w:t>
      </w:r>
      <w:r w:rsidR="00886659" w:rsidRPr="00886659">
        <w:t xml:space="preserve">, </w:t>
      </w:r>
      <w:hyperlink r:id="rId59" w:history="1">
        <w:r w:rsidR="00886659" w:rsidRPr="00594CFB">
          <w:rPr>
            <w:rStyle w:val="Hyperlink"/>
            <w:color w:val="auto"/>
            <w:u w:val="none"/>
          </w:rPr>
          <w:t>Sartori, C</w:t>
        </w:r>
      </w:hyperlink>
      <w:r w:rsidR="00886659" w:rsidRPr="00594CFB">
        <w:rPr>
          <w:rStyle w:val="Hyperlink"/>
          <w:color w:val="auto"/>
          <w:u w:val="none"/>
        </w:rPr>
        <w:t xml:space="preserve">., 2016. </w:t>
      </w:r>
      <w:r w:rsidR="00886659" w:rsidRPr="00886659">
        <w:t xml:space="preserve">Acute and chronic altitude-induced cognitive dysfunction in children and adolescents. </w:t>
      </w:r>
      <w:hyperlink r:id="rId60" w:tooltip="The Journal of pediatrics." w:history="1">
        <w:r w:rsidR="00886659" w:rsidRPr="00594CFB">
          <w:rPr>
            <w:rStyle w:val="Hyperlink"/>
            <w:color w:val="auto"/>
            <w:u w:val="none"/>
          </w:rPr>
          <w:t>J. Pediatr.</w:t>
        </w:r>
      </w:hyperlink>
      <w:r w:rsidR="00886659" w:rsidRPr="00886659">
        <w:t xml:space="preserve"> 169, 23</w:t>
      </w:r>
      <w:r w:rsidR="00886659" w:rsidRPr="005E28B4">
        <w:t>8-</w:t>
      </w:r>
      <w:r w:rsidR="00886659">
        <w:t>2</w:t>
      </w:r>
      <w:r w:rsidR="00886659" w:rsidRPr="005E28B4">
        <w:t xml:space="preserve">43. </w:t>
      </w:r>
    </w:p>
    <w:p w:rsidR="00886659" w:rsidRDefault="00886659" w:rsidP="00594CFB">
      <w:pPr>
        <w:pStyle w:val="ListParagraph"/>
        <w:numPr>
          <w:ilvl w:val="0"/>
          <w:numId w:val="1"/>
        </w:numPr>
        <w:autoSpaceDE w:val="0"/>
        <w:autoSpaceDN w:val="0"/>
        <w:adjustRightInd w:val="0"/>
      </w:pPr>
      <w:r w:rsidRPr="005E28B4">
        <w:t>Rinaman</w:t>
      </w:r>
      <w:r>
        <w:t>, L. 2011.</w:t>
      </w:r>
      <w:r w:rsidRPr="005E28B4">
        <w:t xml:space="preserve"> Hindbrain noradrenergic A2 neurons: diverse roles in autonomic, endocrine, cognitive, and behavioral functions, Am. J. Phys</w:t>
      </w:r>
      <w:r>
        <w:t>iol</w:t>
      </w:r>
      <w:r w:rsidRPr="005E28B4">
        <w:t>. Regul. Integr. Comp. Phys</w:t>
      </w:r>
      <w:r>
        <w:t>iol</w:t>
      </w:r>
      <w:r w:rsidRPr="005E28B4">
        <w:t>. 300</w:t>
      </w:r>
      <w:r>
        <w:t>,</w:t>
      </w:r>
      <w:r w:rsidRPr="005E28B4">
        <w:t xml:space="preserve"> R222–R235</w:t>
      </w:r>
      <w:r>
        <w:t>.</w:t>
      </w:r>
    </w:p>
    <w:p w:rsidR="00886659" w:rsidRPr="00194574" w:rsidRDefault="00886659" w:rsidP="00594CFB">
      <w:pPr>
        <w:pStyle w:val="ListParagraph"/>
        <w:numPr>
          <w:ilvl w:val="0"/>
          <w:numId w:val="1"/>
        </w:numPr>
        <w:autoSpaceDE w:val="0"/>
        <w:autoSpaceDN w:val="0"/>
        <w:adjustRightInd w:val="0"/>
      </w:pPr>
      <w:r w:rsidRPr="00594CFB">
        <w:rPr>
          <w:color w:val="222222"/>
        </w:rPr>
        <w:t xml:space="preserve">Saugy, J.J., Rupp, T., Faiss, R., Lamon, A., Bourdillon, N., Millet, G. P. 2016. Cycling time trial is more altered in hypobaric than normobaric hypoxia. </w:t>
      </w:r>
      <w:r w:rsidRPr="00594CFB">
        <w:rPr>
          <w:iCs/>
          <w:color w:val="222222"/>
        </w:rPr>
        <w:t>Med. Sci. Sports Exerc.</w:t>
      </w:r>
      <w:r w:rsidRPr="00594CFB">
        <w:rPr>
          <w:color w:val="222222"/>
        </w:rPr>
        <w:t xml:space="preserve"> </w:t>
      </w:r>
      <w:r w:rsidRPr="00594CFB">
        <w:rPr>
          <w:iCs/>
          <w:color w:val="222222"/>
        </w:rPr>
        <w:t>48</w:t>
      </w:r>
      <w:r w:rsidRPr="00594CFB">
        <w:rPr>
          <w:color w:val="222222"/>
        </w:rPr>
        <w:t>, 680-688.</w:t>
      </w:r>
    </w:p>
    <w:p w:rsidR="00886659" w:rsidRPr="00594CFB" w:rsidRDefault="00886659" w:rsidP="00594CFB">
      <w:pPr>
        <w:pStyle w:val="ListParagraph"/>
        <w:numPr>
          <w:ilvl w:val="0"/>
          <w:numId w:val="1"/>
        </w:numPr>
        <w:shd w:val="clear" w:color="auto" w:fill="FFFFFF"/>
        <w:rPr>
          <w:rFonts w:ascii="Arial" w:hAnsi="Arial" w:cs="Arial"/>
          <w:color w:val="000000"/>
          <w:sz w:val="22"/>
          <w:szCs w:val="22"/>
        </w:rPr>
      </w:pPr>
      <w:r w:rsidRPr="00886659">
        <w:t>*</w:t>
      </w:r>
      <w:hyperlink r:id="rId61" w:history="1">
        <w:r w:rsidRPr="00886659">
          <w:rPr>
            <w:rStyle w:val="highlight"/>
          </w:rPr>
          <w:t xml:space="preserve">Schlaepfer, </w:t>
        </w:r>
        <w:r w:rsidRPr="00594CFB">
          <w:rPr>
            <w:rStyle w:val="Hyperlink"/>
            <w:color w:val="auto"/>
            <w:u w:val="none"/>
          </w:rPr>
          <w:t>T.E</w:t>
        </w:r>
      </w:hyperlink>
      <w:r w:rsidRPr="00886659">
        <w:t xml:space="preserve">., </w:t>
      </w:r>
      <w:hyperlink r:id="rId62" w:history="1">
        <w:r w:rsidRPr="00594CFB">
          <w:rPr>
            <w:rStyle w:val="Hyperlink"/>
            <w:color w:val="auto"/>
            <w:u w:val="none"/>
          </w:rPr>
          <w:t>Bärtsch, P</w:t>
        </w:r>
      </w:hyperlink>
      <w:r w:rsidRPr="00594CFB">
        <w:rPr>
          <w:rStyle w:val="Hyperlink"/>
          <w:color w:val="auto"/>
          <w:u w:val="none"/>
        </w:rPr>
        <w:t>.</w:t>
      </w:r>
      <w:r w:rsidRPr="00886659">
        <w:t xml:space="preserve">, </w:t>
      </w:r>
      <w:hyperlink r:id="rId63" w:history="1">
        <w:r w:rsidRPr="00594CFB">
          <w:rPr>
            <w:rStyle w:val="Hyperlink"/>
            <w:color w:val="auto"/>
            <w:u w:val="none"/>
          </w:rPr>
          <w:t>Fisch, H.U</w:t>
        </w:r>
      </w:hyperlink>
      <w:r w:rsidRPr="00594CFB">
        <w:rPr>
          <w:rStyle w:val="Hyperlink"/>
          <w:color w:val="auto"/>
          <w:u w:val="none"/>
        </w:rPr>
        <w:t xml:space="preserve">., 1992. </w:t>
      </w:r>
      <w:r w:rsidRPr="00886659">
        <w:t xml:space="preserve">Paradoxical effects of mild </w:t>
      </w:r>
      <w:r w:rsidRPr="00886659">
        <w:rPr>
          <w:rStyle w:val="highlight"/>
        </w:rPr>
        <w:t xml:space="preserve">hypoxia </w:t>
      </w:r>
      <w:r w:rsidRPr="00886659">
        <w:t xml:space="preserve">and moderate altitude on human visual perception. </w:t>
      </w:r>
      <w:hyperlink r:id="rId64" w:tooltip="Clinical science (London, England : 1979)." w:history="1">
        <w:r w:rsidRPr="00594CFB">
          <w:rPr>
            <w:rStyle w:val="Hyperlink"/>
            <w:color w:val="auto"/>
            <w:u w:val="none"/>
          </w:rPr>
          <w:t>Clin. Sci.</w:t>
        </w:r>
      </w:hyperlink>
      <w:r w:rsidRPr="00886659">
        <w:t xml:space="preserve"> 83, 633-636. </w:t>
      </w:r>
    </w:p>
    <w:p w:rsidR="00886659" w:rsidRPr="005E28B4" w:rsidRDefault="00886659" w:rsidP="00594CFB">
      <w:pPr>
        <w:pStyle w:val="ListParagraph"/>
        <w:numPr>
          <w:ilvl w:val="0"/>
          <w:numId w:val="1"/>
        </w:numPr>
      </w:pPr>
      <w:r w:rsidRPr="00594CFB">
        <w:rPr>
          <w:bCs/>
          <w:iCs/>
        </w:rPr>
        <w:t xml:space="preserve">Shansky, R.M., Lipps, J., 2013. </w:t>
      </w:r>
      <w:r w:rsidRPr="00D34872">
        <w:t xml:space="preserve">Stress-induced cognitive dysfunction: hormone-neurotransmitter interactions in the prefrontal cortex </w:t>
      </w:r>
      <w:r w:rsidRPr="00594CFB">
        <w:rPr>
          <w:bCs/>
        </w:rPr>
        <w:t xml:space="preserve">Front. Hum. Neurosci. 7. </w:t>
      </w:r>
      <w:r w:rsidRPr="00D34872">
        <w:t>doi: 103389/fnhum201300123.</w:t>
      </w:r>
    </w:p>
    <w:p w:rsidR="00886659" w:rsidRPr="005E28B4" w:rsidRDefault="00886659" w:rsidP="00594CFB">
      <w:pPr>
        <w:pStyle w:val="ListParagraph"/>
        <w:numPr>
          <w:ilvl w:val="0"/>
          <w:numId w:val="1"/>
        </w:numPr>
      </w:pPr>
      <w:r w:rsidRPr="00594CFB">
        <w:rPr>
          <w:color w:val="000000"/>
        </w:rPr>
        <w:t>*Shukitt-Hale, B., Banderet, L.E., Lieberman, H.R., 1998. Elevation-dependent symptom, mood, and performance changes produced by exposure to hypobaric hypoxia. Int. J. Aviat. Psychol. 8, 319-334.</w:t>
      </w:r>
    </w:p>
    <w:p w:rsidR="00886659" w:rsidRPr="005E28B4" w:rsidRDefault="00886659" w:rsidP="00594CFB">
      <w:pPr>
        <w:pStyle w:val="ListParagraph"/>
        <w:numPr>
          <w:ilvl w:val="0"/>
          <w:numId w:val="1"/>
        </w:numPr>
      </w:pPr>
      <w:r w:rsidRPr="005E28B4">
        <w:lastRenderedPageBreak/>
        <w:t>Shukitt-Hale, B., Stillman, M.J., Levy, A., Devine, J.A.</w:t>
      </w:r>
      <w:r>
        <w:t>,</w:t>
      </w:r>
      <w:r w:rsidRPr="005E28B4">
        <w:t xml:space="preserve"> Lieberman, H.R.</w:t>
      </w:r>
      <w:r>
        <w:t xml:space="preserve">, </w:t>
      </w:r>
      <w:r w:rsidRPr="005E28B4">
        <w:t>1993. Nimodipine prevents the in vivo decrease in hippocampal extracellular acetylcholine produced by hypobaric hypoxia. Brain Res</w:t>
      </w:r>
      <w:r>
        <w:t>.</w:t>
      </w:r>
      <w:r w:rsidRPr="005E28B4">
        <w:t xml:space="preserve"> 621, 291-295.</w:t>
      </w:r>
    </w:p>
    <w:p w:rsidR="00886659" w:rsidRPr="00886659" w:rsidRDefault="00886659" w:rsidP="00594CFB">
      <w:pPr>
        <w:pStyle w:val="Title1"/>
        <w:numPr>
          <w:ilvl w:val="0"/>
          <w:numId w:val="1"/>
        </w:numPr>
        <w:shd w:val="clear" w:color="auto" w:fill="FFFFFF"/>
        <w:spacing w:before="0" w:beforeAutospacing="0" w:after="0" w:afterAutospacing="0" w:line="480" w:lineRule="auto"/>
      </w:pPr>
      <w:r w:rsidRPr="005E28B4">
        <w:t>*Singh</w:t>
      </w:r>
      <w:r>
        <w:t>,</w:t>
      </w:r>
      <w:r w:rsidRPr="005E28B4">
        <w:t xml:space="preserve"> S</w:t>
      </w:r>
      <w:r>
        <w:t>.</w:t>
      </w:r>
      <w:r w:rsidRPr="005E28B4">
        <w:t>B</w:t>
      </w:r>
      <w:r>
        <w:t>.</w:t>
      </w:r>
      <w:r w:rsidRPr="005E28B4">
        <w:t>, Thakur</w:t>
      </w:r>
      <w:r>
        <w:t>,</w:t>
      </w:r>
      <w:r w:rsidRPr="005E28B4">
        <w:t xml:space="preserve"> L</w:t>
      </w:r>
      <w:r>
        <w:t>.</w:t>
      </w:r>
      <w:r w:rsidRPr="005E28B4">
        <w:t xml:space="preserve">, </w:t>
      </w:r>
      <w:r w:rsidRPr="00886659">
        <w:t xml:space="preserve">Anand, J.P., Yadav, D., Amitabh, Banerjee, P.K., 2004. </w:t>
      </w:r>
      <w:hyperlink r:id="rId65" w:history="1">
        <w:r w:rsidRPr="00886659">
          <w:rPr>
            <w:rStyle w:val="Hyperlink"/>
            <w:color w:val="auto"/>
            <w:u w:val="none"/>
          </w:rPr>
          <w:t>Effect of chronic hypobaric</w:t>
        </w:r>
        <w:r>
          <w:rPr>
            <w:rStyle w:val="Hyperlink"/>
            <w:color w:val="auto"/>
            <w:u w:val="none"/>
          </w:rPr>
          <w:t xml:space="preserve"> </w:t>
        </w:r>
        <w:r w:rsidRPr="00886659">
          <w:rPr>
            <w:rStyle w:val="Hyperlink"/>
            <w:bCs/>
            <w:color w:val="auto"/>
            <w:u w:val="none"/>
          </w:rPr>
          <w:t>hypoxia</w:t>
        </w:r>
        <w:r>
          <w:rPr>
            <w:rStyle w:val="Hyperlink"/>
            <w:bCs/>
            <w:color w:val="auto"/>
            <w:u w:val="none"/>
          </w:rPr>
          <w:t xml:space="preserve"> </w:t>
        </w:r>
        <w:r w:rsidRPr="00886659">
          <w:rPr>
            <w:rStyle w:val="Hyperlink"/>
            <w:color w:val="auto"/>
            <w:u w:val="none"/>
          </w:rPr>
          <w:t>on components of the human event related potential.</w:t>
        </w:r>
      </w:hyperlink>
      <w:r w:rsidRPr="00886659">
        <w:rPr>
          <w:rStyle w:val="Hyperlink"/>
          <w:color w:val="auto"/>
          <w:u w:val="none"/>
        </w:rPr>
        <w:t xml:space="preserve"> </w:t>
      </w:r>
      <w:hyperlink r:id="rId66" w:tooltip="The Indian journal of medical research." w:history="1">
        <w:r w:rsidRPr="00886659">
          <w:rPr>
            <w:rStyle w:val="Hyperlink"/>
            <w:color w:val="auto"/>
            <w:u w:val="none"/>
            <w:shd w:val="clear" w:color="auto" w:fill="FFFFFF"/>
          </w:rPr>
          <w:t>Indian J. Med. Res.</w:t>
        </w:r>
      </w:hyperlink>
      <w:r w:rsidRPr="00886659">
        <w:rPr>
          <w:rStyle w:val="Hyperlink"/>
          <w:color w:val="auto"/>
          <w:u w:val="none"/>
          <w:shd w:val="clear" w:color="auto" w:fill="FFFFFF"/>
        </w:rPr>
        <w:t xml:space="preserve"> </w:t>
      </w:r>
      <w:r w:rsidRPr="00886659">
        <w:rPr>
          <w:shd w:val="clear" w:color="auto" w:fill="FFFFFF"/>
        </w:rPr>
        <w:t xml:space="preserve">120, 94-99. </w:t>
      </w:r>
    </w:p>
    <w:p w:rsidR="00886659" w:rsidRPr="005E28B4" w:rsidRDefault="00886659" w:rsidP="00594CFB">
      <w:pPr>
        <w:pStyle w:val="Title1"/>
        <w:numPr>
          <w:ilvl w:val="0"/>
          <w:numId w:val="1"/>
        </w:numPr>
        <w:shd w:val="clear" w:color="auto" w:fill="FFFFFF"/>
        <w:spacing w:before="0" w:beforeAutospacing="0" w:after="0" w:afterAutospacing="0" w:line="480" w:lineRule="auto"/>
        <w:rPr>
          <w:color w:val="000000"/>
        </w:rPr>
      </w:pPr>
      <w:r w:rsidRPr="005E28B4">
        <w:t>*Stepanek</w:t>
      </w:r>
      <w:r>
        <w:t>,</w:t>
      </w:r>
      <w:r w:rsidRPr="005E28B4">
        <w:t xml:space="preserve"> J</w:t>
      </w:r>
      <w:r>
        <w:t>.</w:t>
      </w:r>
      <w:r w:rsidRPr="005E28B4">
        <w:t>, Cocco</w:t>
      </w:r>
      <w:r>
        <w:t>,</w:t>
      </w:r>
      <w:r w:rsidRPr="005E28B4">
        <w:t xml:space="preserve"> D</w:t>
      </w:r>
      <w:r>
        <w:t>.</w:t>
      </w:r>
      <w:r w:rsidRPr="005E28B4">
        <w:t>, Pradhan</w:t>
      </w:r>
      <w:r>
        <w:t>,</w:t>
      </w:r>
      <w:r w:rsidRPr="005E28B4">
        <w:t xml:space="preserve"> G</w:t>
      </w:r>
      <w:r>
        <w:t>.</w:t>
      </w:r>
      <w:r w:rsidRPr="005E28B4">
        <w:t>N</w:t>
      </w:r>
      <w:r>
        <w:t>.</w:t>
      </w:r>
      <w:r w:rsidRPr="005E28B4">
        <w:t>, Smith</w:t>
      </w:r>
      <w:r>
        <w:t>,</w:t>
      </w:r>
      <w:r w:rsidRPr="005E28B4">
        <w:t xml:space="preserve"> B</w:t>
      </w:r>
      <w:r>
        <w:t>.</w:t>
      </w:r>
      <w:r w:rsidRPr="005E28B4">
        <w:t>E</w:t>
      </w:r>
      <w:r>
        <w:t>.</w:t>
      </w:r>
      <w:r w:rsidRPr="005E28B4">
        <w:t>, Bartlett</w:t>
      </w:r>
      <w:r>
        <w:t>,</w:t>
      </w:r>
      <w:r w:rsidRPr="005E28B4">
        <w:t xml:space="preserve"> J</w:t>
      </w:r>
      <w:r>
        <w:t>.</w:t>
      </w:r>
      <w:r w:rsidRPr="005E28B4">
        <w:t>, Studer</w:t>
      </w:r>
      <w:r>
        <w:t>,</w:t>
      </w:r>
      <w:r w:rsidRPr="005E28B4">
        <w:t xml:space="preserve"> M</w:t>
      </w:r>
      <w:r>
        <w:t>.</w:t>
      </w:r>
      <w:r w:rsidRPr="005E28B4">
        <w:t>, Kuhn</w:t>
      </w:r>
      <w:r>
        <w:t>,</w:t>
      </w:r>
      <w:r w:rsidRPr="005E28B4">
        <w:t xml:space="preserve"> F</w:t>
      </w:r>
      <w:r>
        <w:t>.</w:t>
      </w:r>
      <w:r w:rsidRPr="005E28B4">
        <w:t>, Cevette</w:t>
      </w:r>
      <w:r>
        <w:t>,</w:t>
      </w:r>
      <w:r w:rsidRPr="005E28B4">
        <w:t xml:space="preserve"> M</w:t>
      </w:r>
      <w:r>
        <w:t>.</w:t>
      </w:r>
      <w:r w:rsidRPr="00886659">
        <w:t xml:space="preserve">J., 2013. </w:t>
      </w:r>
      <w:hyperlink r:id="rId67" w:history="1">
        <w:r w:rsidRPr="00886659">
          <w:rPr>
            <w:rStyle w:val="Hyperlink"/>
            <w:color w:val="auto"/>
            <w:u w:val="none"/>
          </w:rPr>
          <w:t>Early detection of</w:t>
        </w:r>
        <w:r>
          <w:rPr>
            <w:rStyle w:val="Hyperlink"/>
            <w:color w:val="auto"/>
            <w:u w:val="none"/>
          </w:rPr>
          <w:t xml:space="preserve"> </w:t>
        </w:r>
        <w:r w:rsidRPr="00886659">
          <w:rPr>
            <w:rStyle w:val="Hyperlink"/>
            <w:bCs/>
            <w:color w:val="auto"/>
            <w:u w:val="none"/>
          </w:rPr>
          <w:t>hypoxia</w:t>
        </w:r>
        <w:r w:rsidRPr="00886659">
          <w:rPr>
            <w:rStyle w:val="Hyperlink"/>
            <w:color w:val="auto"/>
            <w:u w:val="none"/>
          </w:rPr>
          <w:t>-</w:t>
        </w:r>
        <w:r>
          <w:rPr>
            <w:rStyle w:val="Hyperlink"/>
            <w:color w:val="auto"/>
            <w:u w:val="none"/>
          </w:rPr>
          <w:t>i</w:t>
        </w:r>
        <w:r w:rsidRPr="00886659">
          <w:rPr>
            <w:rStyle w:val="Hyperlink"/>
            <w:color w:val="auto"/>
            <w:u w:val="none"/>
          </w:rPr>
          <w:t>nduced cognitive impairment using the King-Devick test.</w:t>
        </w:r>
      </w:hyperlink>
      <w:r w:rsidRPr="00886659">
        <w:rPr>
          <w:rStyle w:val="Hyperlink"/>
          <w:color w:val="auto"/>
          <w:u w:val="none"/>
        </w:rPr>
        <w:t xml:space="preserve"> </w:t>
      </w:r>
      <w:hyperlink r:id="rId68" w:tooltip="Aviation, space, and environmental medicine." w:history="1">
        <w:r w:rsidRPr="00886659">
          <w:rPr>
            <w:rStyle w:val="Hyperlink"/>
            <w:color w:val="auto"/>
            <w:u w:val="none"/>
            <w:shd w:val="clear" w:color="auto" w:fill="FFFFFF"/>
          </w:rPr>
          <w:t>Aviat. Space Environ. Med.</w:t>
        </w:r>
      </w:hyperlink>
      <w:r w:rsidRPr="00886659">
        <w:rPr>
          <w:rStyle w:val="Hyperlink"/>
          <w:color w:val="auto"/>
          <w:u w:val="none"/>
          <w:shd w:val="clear" w:color="auto" w:fill="FFFFFF"/>
        </w:rPr>
        <w:t xml:space="preserve"> </w:t>
      </w:r>
      <w:r w:rsidRPr="00886659">
        <w:rPr>
          <w:shd w:val="clear" w:color="auto" w:fill="FFFFFF"/>
        </w:rPr>
        <w:t>84</w:t>
      </w:r>
      <w:r>
        <w:rPr>
          <w:shd w:val="clear" w:color="auto" w:fill="FFFFFF"/>
        </w:rPr>
        <w:t xml:space="preserve">, </w:t>
      </w:r>
      <w:r w:rsidRPr="005E28B4">
        <w:rPr>
          <w:shd w:val="clear" w:color="auto" w:fill="FFFFFF"/>
        </w:rPr>
        <w:t>1017-</w:t>
      </w:r>
      <w:r>
        <w:rPr>
          <w:shd w:val="clear" w:color="auto" w:fill="FFFFFF"/>
        </w:rPr>
        <w:t>10</w:t>
      </w:r>
      <w:r w:rsidRPr="005E28B4">
        <w:rPr>
          <w:shd w:val="clear" w:color="auto" w:fill="FFFFFF"/>
        </w:rPr>
        <w:t>22</w:t>
      </w:r>
      <w:r>
        <w:rPr>
          <w:shd w:val="clear" w:color="auto" w:fill="FFFFFF"/>
        </w:rPr>
        <w:t>.</w:t>
      </w:r>
      <w:r w:rsidRPr="005E28B4">
        <w:rPr>
          <w:shd w:val="clear" w:color="auto" w:fill="FFFFFF"/>
        </w:rPr>
        <w:t xml:space="preserve"> </w:t>
      </w:r>
    </w:p>
    <w:p w:rsidR="00886659" w:rsidRPr="005E28B4" w:rsidRDefault="00886659" w:rsidP="00594CFB">
      <w:pPr>
        <w:pStyle w:val="Title1"/>
        <w:numPr>
          <w:ilvl w:val="0"/>
          <w:numId w:val="1"/>
        </w:numPr>
        <w:shd w:val="clear" w:color="auto" w:fill="FFFFFF"/>
        <w:spacing w:before="0" w:beforeAutospacing="0" w:after="0" w:afterAutospacing="0" w:line="480" w:lineRule="auto"/>
        <w:rPr>
          <w:color w:val="000000"/>
        </w:rPr>
      </w:pPr>
      <w:r>
        <w:t>*</w:t>
      </w:r>
      <w:r w:rsidRPr="005E28B4">
        <w:t>Stepanek</w:t>
      </w:r>
      <w:r>
        <w:t>,</w:t>
      </w:r>
      <w:r w:rsidRPr="005E28B4">
        <w:t xml:space="preserve"> J</w:t>
      </w:r>
      <w:r>
        <w:t>.</w:t>
      </w:r>
      <w:r w:rsidRPr="005E28B4">
        <w:t>, Pradhan</w:t>
      </w:r>
      <w:r>
        <w:t>,</w:t>
      </w:r>
      <w:r w:rsidRPr="005E28B4">
        <w:t xml:space="preserve"> G</w:t>
      </w:r>
      <w:r>
        <w:t>.</w:t>
      </w:r>
      <w:r w:rsidRPr="005E28B4">
        <w:t>N</w:t>
      </w:r>
      <w:r>
        <w:t>,</w:t>
      </w:r>
      <w:r w:rsidRPr="005E28B4">
        <w:t>, Cocco</w:t>
      </w:r>
      <w:r>
        <w:t>,</w:t>
      </w:r>
      <w:r w:rsidRPr="005E28B4">
        <w:t xml:space="preserve"> D</w:t>
      </w:r>
      <w:r>
        <w:t>.</w:t>
      </w:r>
      <w:r w:rsidRPr="005E28B4">
        <w:t>, Smith</w:t>
      </w:r>
      <w:r>
        <w:t>,</w:t>
      </w:r>
      <w:r w:rsidRPr="005E28B4">
        <w:t xml:space="preserve"> B</w:t>
      </w:r>
      <w:r>
        <w:t>.</w:t>
      </w:r>
      <w:r w:rsidRPr="005E28B4">
        <w:t>E</w:t>
      </w:r>
      <w:r>
        <w:t>.</w:t>
      </w:r>
      <w:r w:rsidRPr="005E28B4">
        <w:t>, Bartlett</w:t>
      </w:r>
      <w:r>
        <w:t>,</w:t>
      </w:r>
      <w:r w:rsidRPr="005E28B4">
        <w:t xml:space="preserve"> J</w:t>
      </w:r>
      <w:r>
        <w:t>.</w:t>
      </w:r>
      <w:r w:rsidRPr="005E28B4">
        <w:t>, Studer</w:t>
      </w:r>
      <w:r>
        <w:t>,</w:t>
      </w:r>
      <w:r w:rsidRPr="005E28B4">
        <w:t xml:space="preserve"> M</w:t>
      </w:r>
      <w:r>
        <w:t>.</w:t>
      </w:r>
      <w:r w:rsidRPr="005E28B4">
        <w:t>, Kuhn</w:t>
      </w:r>
      <w:r>
        <w:t>,</w:t>
      </w:r>
      <w:r w:rsidRPr="005E28B4">
        <w:t xml:space="preserve"> F</w:t>
      </w:r>
      <w:r>
        <w:t>.</w:t>
      </w:r>
      <w:r w:rsidRPr="005E28B4">
        <w:t>, Cevette</w:t>
      </w:r>
      <w:r>
        <w:t>,</w:t>
      </w:r>
      <w:r w:rsidRPr="005E28B4">
        <w:t xml:space="preserve"> M</w:t>
      </w:r>
      <w:r>
        <w:t>.</w:t>
      </w:r>
      <w:r w:rsidRPr="005E28B4">
        <w:t>J</w:t>
      </w:r>
      <w:r>
        <w:t xml:space="preserve">., 2014. </w:t>
      </w:r>
      <w:hyperlink r:id="rId69" w:history="1">
        <w:r w:rsidRPr="00886659">
          <w:rPr>
            <w:rStyle w:val="Hyperlink"/>
            <w:color w:val="auto"/>
            <w:u w:val="none"/>
          </w:rPr>
          <w:t xml:space="preserve">Acute hypoxic </w:t>
        </w:r>
        <w:r w:rsidRPr="00886659">
          <w:rPr>
            <w:rStyle w:val="Hyperlink"/>
            <w:bCs/>
            <w:color w:val="auto"/>
            <w:u w:val="none"/>
          </w:rPr>
          <w:t xml:space="preserve">hypoxia </w:t>
        </w:r>
        <w:r w:rsidRPr="00886659">
          <w:rPr>
            <w:rStyle w:val="Hyperlink"/>
            <w:color w:val="auto"/>
            <w:u w:val="none"/>
          </w:rPr>
          <w:t xml:space="preserve">and isocapnic </w:t>
        </w:r>
        <w:r w:rsidRPr="00886659">
          <w:rPr>
            <w:rStyle w:val="Hyperlink"/>
            <w:bCs/>
            <w:color w:val="auto"/>
            <w:u w:val="none"/>
          </w:rPr>
          <w:t xml:space="preserve">hypoxia </w:t>
        </w:r>
        <w:r w:rsidRPr="00886659">
          <w:rPr>
            <w:rStyle w:val="Hyperlink"/>
            <w:color w:val="auto"/>
            <w:u w:val="none"/>
          </w:rPr>
          <w:t>effects on oculometric features.</w:t>
        </w:r>
      </w:hyperlink>
      <w:r w:rsidRPr="00886659">
        <w:rPr>
          <w:rStyle w:val="Hyperlink"/>
          <w:color w:val="auto"/>
          <w:u w:val="none"/>
        </w:rPr>
        <w:t xml:space="preserve"> </w:t>
      </w:r>
      <w:hyperlink r:id="rId70" w:tooltip="Aviation, space, and environmental medicine." w:history="1">
        <w:r w:rsidRPr="00886659">
          <w:rPr>
            <w:rStyle w:val="Hyperlink"/>
            <w:color w:val="auto"/>
            <w:u w:val="none"/>
            <w:shd w:val="clear" w:color="auto" w:fill="FFFFFF"/>
          </w:rPr>
          <w:t>Aviat. Space Environ. Med.</w:t>
        </w:r>
      </w:hyperlink>
      <w:r w:rsidRPr="00886659">
        <w:rPr>
          <w:rStyle w:val="Hyperlink"/>
          <w:color w:val="auto"/>
          <w:u w:val="none"/>
          <w:shd w:val="clear" w:color="auto" w:fill="FFFFFF"/>
        </w:rPr>
        <w:t xml:space="preserve"> </w:t>
      </w:r>
      <w:r w:rsidRPr="00886659">
        <w:rPr>
          <w:shd w:val="clear" w:color="auto" w:fill="FFFFFF"/>
        </w:rPr>
        <w:t xml:space="preserve">85, 700-707. </w:t>
      </w:r>
    </w:p>
    <w:p w:rsidR="00886659" w:rsidRPr="00194574" w:rsidRDefault="00886659" w:rsidP="00594CFB">
      <w:pPr>
        <w:pStyle w:val="ListParagraph"/>
        <w:numPr>
          <w:ilvl w:val="0"/>
          <w:numId w:val="1"/>
        </w:numPr>
        <w:autoSpaceDE w:val="0"/>
        <w:autoSpaceDN w:val="0"/>
        <w:adjustRightInd w:val="0"/>
      </w:pPr>
      <w:r w:rsidRPr="00194574">
        <w:t xml:space="preserve">Subudhi, A.W., Fan, J-L., Evero, O., Bourdillon, N., Kayser, B., Julian, C.J., Lovering, A.T., Roach, R.C., 2014. </w:t>
      </w:r>
      <w:r w:rsidRPr="00594CFB">
        <w:rPr>
          <w:bCs/>
        </w:rPr>
        <w:t xml:space="preserve">AltitudeOmics: effect of ascent and acclimatization to 5260 m on regional cerebral oxygen delivery. </w:t>
      </w:r>
      <w:r w:rsidRPr="00594CFB">
        <w:rPr>
          <w:iCs/>
        </w:rPr>
        <w:t>Exp. Physiol.</w:t>
      </w:r>
      <w:r w:rsidRPr="00594CFB">
        <w:rPr>
          <w:i/>
          <w:iCs/>
        </w:rPr>
        <w:t xml:space="preserve"> </w:t>
      </w:r>
      <w:r w:rsidRPr="00194574">
        <w:t>99, 772–781.</w:t>
      </w:r>
    </w:p>
    <w:p w:rsidR="00886659" w:rsidRPr="005E28B4" w:rsidRDefault="00886659" w:rsidP="00594CFB">
      <w:pPr>
        <w:pStyle w:val="ListParagraph"/>
        <w:numPr>
          <w:ilvl w:val="0"/>
          <w:numId w:val="1"/>
        </w:numPr>
      </w:pPr>
      <w:r w:rsidRPr="00D34872">
        <w:t xml:space="preserve">Taylor, L., </w:t>
      </w:r>
      <w:r w:rsidRPr="00594CFB">
        <w:rPr>
          <w:color w:val="231F20"/>
        </w:rPr>
        <w:t xml:space="preserve">Watkins, S., Marshall, H., Dascombe, B., Foster, J., 2016. </w:t>
      </w:r>
      <w:r w:rsidRPr="00594CFB">
        <w:rPr>
          <w:bCs/>
          <w:color w:val="231F20"/>
        </w:rPr>
        <w:t xml:space="preserve">The impact of different environmental conditions on cognitive function: a focused review. Front. Physiol. </w:t>
      </w:r>
      <w:r w:rsidRPr="00D34872">
        <w:t>doi: 10.3389/fphys.2015.00372.</w:t>
      </w:r>
    </w:p>
    <w:p w:rsidR="00886659" w:rsidRPr="005E28B4" w:rsidRDefault="00886659" w:rsidP="00594CFB">
      <w:pPr>
        <w:pStyle w:val="ListParagraph"/>
        <w:numPr>
          <w:ilvl w:val="0"/>
          <w:numId w:val="1"/>
        </w:numPr>
      </w:pPr>
      <w:r w:rsidRPr="005E28B4">
        <w:t xml:space="preserve">Toussay, X., </w:t>
      </w:r>
      <w:r w:rsidRPr="00594CFB">
        <w:rPr>
          <w:bCs/>
        </w:rPr>
        <w:t xml:space="preserve">Basu, K., Lacoste, B., Hamel, E., 2013. Locus Coeruleus stimulation recruits a broad cortical neuronal network and increases cortical perfusion. </w:t>
      </w:r>
      <w:r w:rsidRPr="005E28B4">
        <w:t>J</w:t>
      </w:r>
      <w:r>
        <w:t>.</w:t>
      </w:r>
      <w:r w:rsidRPr="005E28B4">
        <w:t xml:space="preserve"> Neurosci</w:t>
      </w:r>
      <w:r>
        <w:t>.</w:t>
      </w:r>
      <w:r w:rsidRPr="005E28B4">
        <w:t xml:space="preserve"> 33, 3390 –3401.</w:t>
      </w:r>
    </w:p>
    <w:p w:rsidR="00886659" w:rsidRPr="005E28B4" w:rsidRDefault="00886659" w:rsidP="00594CFB">
      <w:pPr>
        <w:pStyle w:val="Title1"/>
        <w:numPr>
          <w:ilvl w:val="0"/>
          <w:numId w:val="1"/>
        </w:numPr>
        <w:shd w:val="clear" w:color="auto" w:fill="FFFFFF"/>
        <w:spacing w:before="0" w:beforeAutospacing="0" w:after="0" w:afterAutospacing="0" w:line="480" w:lineRule="auto"/>
        <w:rPr>
          <w:color w:val="000000"/>
        </w:rPr>
      </w:pPr>
      <w:r w:rsidRPr="005E28B4">
        <w:lastRenderedPageBreak/>
        <w:t>*Tsarouchas</w:t>
      </w:r>
      <w:r>
        <w:t>,</w:t>
      </w:r>
      <w:r w:rsidRPr="005E28B4">
        <w:t xml:space="preserve"> N</w:t>
      </w:r>
      <w:r>
        <w:t>.</w:t>
      </w:r>
      <w:r w:rsidRPr="005E28B4">
        <w:t>, Benedek</w:t>
      </w:r>
      <w:r>
        <w:t>,</w:t>
      </w:r>
      <w:r w:rsidRPr="005E28B4">
        <w:t xml:space="preserve"> K</w:t>
      </w:r>
      <w:r>
        <w:t>.</w:t>
      </w:r>
      <w:r w:rsidRPr="005E28B4">
        <w:t>, Bezerianos</w:t>
      </w:r>
      <w:r>
        <w:t>,</w:t>
      </w:r>
      <w:r w:rsidRPr="005E28B4">
        <w:t xml:space="preserve"> A</w:t>
      </w:r>
      <w:r>
        <w:t>.</w:t>
      </w:r>
      <w:r w:rsidRPr="005E28B4">
        <w:t>, Benedek</w:t>
      </w:r>
      <w:r>
        <w:t>,</w:t>
      </w:r>
      <w:r w:rsidRPr="005E28B4">
        <w:t xml:space="preserve"> G</w:t>
      </w:r>
      <w:r>
        <w:t>.</w:t>
      </w:r>
      <w:r w:rsidRPr="005E28B4">
        <w:t xml:space="preserve">, </w:t>
      </w:r>
      <w:r w:rsidRPr="00886659">
        <w:t xml:space="preserve">Keri, S., 2008. </w:t>
      </w:r>
      <w:hyperlink r:id="rId71" w:history="1">
        <w:r w:rsidRPr="00886659">
          <w:rPr>
            <w:rStyle w:val="Hyperlink"/>
            <w:color w:val="auto"/>
            <w:u w:val="none"/>
          </w:rPr>
          <w:t xml:space="preserve">Effects of moderate hypobaric </w:t>
        </w:r>
        <w:r w:rsidRPr="00886659">
          <w:rPr>
            <w:rStyle w:val="Hyperlink"/>
            <w:bCs/>
            <w:color w:val="auto"/>
            <w:u w:val="none"/>
          </w:rPr>
          <w:t xml:space="preserve">hypoxia </w:t>
        </w:r>
        <w:r w:rsidRPr="00886659">
          <w:rPr>
            <w:rStyle w:val="Hyperlink"/>
            <w:color w:val="auto"/>
            <w:u w:val="none"/>
          </w:rPr>
          <w:t>on evoked categorical visuocognitive responses.</w:t>
        </w:r>
      </w:hyperlink>
      <w:r w:rsidRPr="00886659">
        <w:rPr>
          <w:rStyle w:val="Hyperlink"/>
          <w:color w:val="auto"/>
          <w:u w:val="none"/>
        </w:rPr>
        <w:t xml:space="preserve"> </w:t>
      </w:r>
      <w:hyperlink r:id="rId72" w:tooltip="Clinical neurophysiology : official journal of the International Federation of Clinical Neurophysiology." w:history="1">
        <w:r w:rsidRPr="00886659">
          <w:rPr>
            <w:rStyle w:val="Hyperlink"/>
            <w:color w:val="auto"/>
            <w:u w:val="none"/>
            <w:shd w:val="clear" w:color="auto" w:fill="FFFFFF"/>
          </w:rPr>
          <w:t>Clin. Neurophysiol.</w:t>
        </w:r>
      </w:hyperlink>
      <w:r w:rsidRPr="00886659">
        <w:rPr>
          <w:rStyle w:val="Hyperlink"/>
          <w:color w:val="auto"/>
          <w:u w:val="none"/>
          <w:shd w:val="clear" w:color="auto" w:fill="FFFFFF"/>
        </w:rPr>
        <w:t xml:space="preserve"> </w:t>
      </w:r>
      <w:r w:rsidRPr="00886659">
        <w:rPr>
          <w:shd w:val="clear" w:color="auto" w:fill="FFFFFF"/>
        </w:rPr>
        <w:t>119</w:t>
      </w:r>
      <w:r>
        <w:rPr>
          <w:shd w:val="clear" w:color="auto" w:fill="FFFFFF"/>
        </w:rPr>
        <w:t xml:space="preserve">, </w:t>
      </w:r>
      <w:r w:rsidRPr="005E28B4">
        <w:rPr>
          <w:shd w:val="clear" w:color="auto" w:fill="FFFFFF"/>
        </w:rPr>
        <w:t>1475-</w:t>
      </w:r>
      <w:r>
        <w:rPr>
          <w:shd w:val="clear" w:color="auto" w:fill="FFFFFF"/>
        </w:rPr>
        <w:t>14</w:t>
      </w:r>
      <w:r w:rsidRPr="005E28B4">
        <w:rPr>
          <w:shd w:val="clear" w:color="auto" w:fill="FFFFFF"/>
        </w:rPr>
        <w:t xml:space="preserve">85. </w:t>
      </w:r>
    </w:p>
    <w:p w:rsidR="00886659" w:rsidRPr="00D34872" w:rsidRDefault="00886659" w:rsidP="00594CFB">
      <w:pPr>
        <w:pStyle w:val="ListParagraph"/>
        <w:numPr>
          <w:ilvl w:val="0"/>
          <w:numId w:val="1"/>
        </w:numPr>
      </w:pPr>
      <w:r w:rsidRPr="00D34872">
        <w:t>Umbrello, M., Dyson, A., Feelisch, M., Singer, M., 2012. The key role of Nitric Oxide in hypoxia: hypoxic vasodilation and energy supply–demand matching. Antiox. Redox Signal. doi: 10.1089/ars.2012.4979.</w:t>
      </w:r>
    </w:p>
    <w:p w:rsidR="00886659" w:rsidRPr="005E28B4" w:rsidRDefault="00886659" w:rsidP="00594CFB">
      <w:pPr>
        <w:pStyle w:val="ListParagraph"/>
        <w:numPr>
          <w:ilvl w:val="0"/>
          <w:numId w:val="1"/>
        </w:numPr>
      </w:pPr>
      <w:r w:rsidRPr="00D34872">
        <w:t xml:space="preserve">Virués-Ortega, J., </w:t>
      </w:r>
      <w:r w:rsidRPr="00594CFB">
        <w:rPr>
          <w:bCs/>
        </w:rPr>
        <w:t xml:space="preserve">Buela-Casal, G., Garrido, E., Alcázar, B., 2004. Neuropsychological functioning associated with high-altitude exposure. </w:t>
      </w:r>
      <w:r w:rsidRPr="00594CFB">
        <w:rPr>
          <w:iCs/>
        </w:rPr>
        <w:t>Neuropsychol. Rev.</w:t>
      </w:r>
      <w:r w:rsidRPr="00594CFB">
        <w:rPr>
          <w:i/>
          <w:iCs/>
        </w:rPr>
        <w:t xml:space="preserve"> </w:t>
      </w:r>
      <w:r w:rsidRPr="00594CFB">
        <w:rPr>
          <w:iCs/>
        </w:rPr>
        <w:t>14,</w:t>
      </w:r>
      <w:r w:rsidRPr="00594CFB">
        <w:rPr>
          <w:i/>
          <w:iCs/>
        </w:rPr>
        <w:t xml:space="preserve"> </w:t>
      </w:r>
      <w:r w:rsidRPr="00D34872">
        <w:t>doi: 10.1007/s11065-004-8159-4.</w:t>
      </w:r>
    </w:p>
    <w:p w:rsidR="00886659" w:rsidRPr="005E28B4" w:rsidRDefault="00886659" w:rsidP="00594CFB">
      <w:pPr>
        <w:pStyle w:val="ListParagraph"/>
        <w:numPr>
          <w:ilvl w:val="0"/>
          <w:numId w:val="1"/>
        </w:numPr>
      </w:pPr>
      <w:r w:rsidRPr="005E28B4">
        <w:t>Wagner, P.D.</w:t>
      </w:r>
      <w:r>
        <w:t xml:space="preserve">, </w:t>
      </w:r>
      <w:r w:rsidRPr="005E28B4">
        <w:t>2010. Operation Everest II. High Alt</w:t>
      </w:r>
      <w:r>
        <w:t>.</w:t>
      </w:r>
      <w:r w:rsidRPr="005E28B4">
        <w:t xml:space="preserve"> Med</w:t>
      </w:r>
      <w:r>
        <w:t>.</w:t>
      </w:r>
      <w:r w:rsidRPr="005E28B4">
        <w:t xml:space="preserve"> Biol</w:t>
      </w:r>
      <w:r>
        <w:t>.</w:t>
      </w:r>
      <w:r w:rsidRPr="005E28B4">
        <w:t xml:space="preserve"> 11, 111-119.</w:t>
      </w:r>
    </w:p>
    <w:p w:rsidR="00886659" w:rsidRPr="005E28B4" w:rsidRDefault="00886659" w:rsidP="00594CFB">
      <w:pPr>
        <w:pStyle w:val="ListParagraph"/>
        <w:numPr>
          <w:ilvl w:val="0"/>
          <w:numId w:val="1"/>
        </w:numPr>
      </w:pPr>
      <w:r w:rsidRPr="005E28B4">
        <w:t>Wang, H-Y., Fitzgerald, R.S.</w:t>
      </w:r>
      <w:r>
        <w:t xml:space="preserve">, </w:t>
      </w:r>
      <w:r w:rsidRPr="005E28B4">
        <w:t>2002. Muscarinic modulation of hypoxia-induced release of catecholamines from the cat carotid body Brain Res</w:t>
      </w:r>
      <w:r>
        <w:t>.</w:t>
      </w:r>
      <w:r w:rsidRPr="005E28B4">
        <w:t xml:space="preserve"> 927, 122–137</w:t>
      </w:r>
      <w:r>
        <w:t>.</w:t>
      </w:r>
    </w:p>
    <w:p w:rsidR="00886659" w:rsidRPr="005E28B4" w:rsidRDefault="00886659" w:rsidP="00594CFB">
      <w:pPr>
        <w:pStyle w:val="ListParagraph"/>
        <w:numPr>
          <w:ilvl w:val="0"/>
          <w:numId w:val="1"/>
        </w:numPr>
      </w:pPr>
      <w:r w:rsidRPr="005E28B4">
        <w:t>Wang, H., Yuan, G., Prabhakar, N.R.,Boswell, M.</w:t>
      </w:r>
      <w:r>
        <w:t>,</w:t>
      </w:r>
      <w:r w:rsidRPr="005E28B4">
        <w:t xml:space="preserve"> Katz, D.M.</w:t>
      </w:r>
      <w:r>
        <w:t xml:space="preserve">, </w:t>
      </w:r>
      <w:r w:rsidRPr="005E28B4">
        <w:t>2006. Secretion of brain-derived neurotrophic factor from PC12 cells in response to oxidative stress requires autocrine dopamine signaling. J</w:t>
      </w:r>
      <w:r>
        <w:t>.</w:t>
      </w:r>
      <w:r w:rsidRPr="005E28B4">
        <w:t xml:space="preserve"> Neurochem</w:t>
      </w:r>
      <w:r>
        <w:t>.</w:t>
      </w:r>
      <w:r w:rsidRPr="005E28B4">
        <w:t xml:space="preserve"> 96, 694–705</w:t>
      </w:r>
      <w:r>
        <w:t>.</w:t>
      </w:r>
    </w:p>
    <w:p w:rsidR="00886659" w:rsidRPr="005E28B4" w:rsidRDefault="00886659" w:rsidP="00594CFB">
      <w:pPr>
        <w:pStyle w:val="ListParagraph"/>
        <w:numPr>
          <w:ilvl w:val="0"/>
          <w:numId w:val="1"/>
        </w:numPr>
      </w:pPr>
      <w:r w:rsidRPr="005E28B4">
        <w:t>Waterhouse, B.D, Moises, H.C., Woodward, D.J.</w:t>
      </w:r>
      <w:r>
        <w:t xml:space="preserve">, </w:t>
      </w:r>
      <w:r w:rsidRPr="005E28B4">
        <w:t xml:space="preserve">1980. Noradrenergic modulation of somatosensory cortical neuronal responses to iontophoretically applied putative transmitters. </w:t>
      </w:r>
      <w:r w:rsidRPr="005A1F70">
        <w:t>Exp. Neurol</w:t>
      </w:r>
      <w:r>
        <w:t>.</w:t>
      </w:r>
      <w:r w:rsidRPr="005E28B4">
        <w:t xml:space="preserve"> 69, 30-49.</w:t>
      </w:r>
    </w:p>
    <w:p w:rsidR="00886659" w:rsidRPr="005E28B4" w:rsidRDefault="00886659" w:rsidP="00594CFB">
      <w:pPr>
        <w:pStyle w:val="ListParagraph"/>
        <w:numPr>
          <w:ilvl w:val="0"/>
          <w:numId w:val="1"/>
        </w:numPr>
      </w:pPr>
      <w:r w:rsidRPr="005E28B4">
        <w:t>Waterhouse, B.D., Moises, H.C., Woodward, D. J.</w:t>
      </w:r>
      <w:r>
        <w:t xml:space="preserve">, </w:t>
      </w:r>
      <w:r w:rsidRPr="005E28B4">
        <w:t xml:space="preserve">1981. Alpha-receptor-mediated facilitation of somatosensory cortical neuronal responses to excitatory synaptic inputs and iontophoretically applied acetylcholine. </w:t>
      </w:r>
      <w:r w:rsidRPr="005A1F70">
        <w:t>Neuropharmacol</w:t>
      </w:r>
      <w:r>
        <w:t>.</w:t>
      </w:r>
      <w:r w:rsidRPr="005E28B4">
        <w:t xml:space="preserve"> 20, 907-920.</w:t>
      </w:r>
    </w:p>
    <w:p w:rsidR="00886659" w:rsidRPr="005E28B4" w:rsidRDefault="00886659" w:rsidP="00594CFB">
      <w:pPr>
        <w:pStyle w:val="ListParagraph"/>
        <w:numPr>
          <w:ilvl w:val="0"/>
          <w:numId w:val="1"/>
        </w:numPr>
        <w:shd w:val="clear" w:color="auto" w:fill="FFFFFF"/>
      </w:pPr>
      <w:r w:rsidRPr="00886659">
        <w:t>*</w:t>
      </w:r>
      <w:hyperlink r:id="rId73" w:history="1">
        <w:r w:rsidRPr="00594CFB">
          <w:rPr>
            <w:rStyle w:val="Hyperlink"/>
            <w:color w:val="auto"/>
            <w:u w:val="none"/>
          </w:rPr>
          <w:t>Wesensten, N.J</w:t>
        </w:r>
      </w:hyperlink>
      <w:r w:rsidRPr="00886659">
        <w:t xml:space="preserve">., </w:t>
      </w:r>
      <w:hyperlink r:id="rId74" w:history="1">
        <w:r w:rsidRPr="00886659">
          <w:rPr>
            <w:rStyle w:val="highlight"/>
          </w:rPr>
          <w:t>Crowley, J</w:t>
        </w:r>
      </w:hyperlink>
      <w:r w:rsidRPr="00886659">
        <w:rPr>
          <w:rStyle w:val="highlight"/>
        </w:rPr>
        <w:t>.</w:t>
      </w:r>
      <w:r w:rsidRPr="00886659">
        <w:t xml:space="preserve">, </w:t>
      </w:r>
      <w:hyperlink r:id="rId75" w:history="1">
        <w:r w:rsidRPr="00594CFB">
          <w:rPr>
            <w:rStyle w:val="Hyperlink"/>
            <w:color w:val="auto"/>
            <w:u w:val="none"/>
          </w:rPr>
          <w:t>Balkin, T</w:t>
        </w:r>
      </w:hyperlink>
      <w:r w:rsidRPr="00594CFB">
        <w:rPr>
          <w:rStyle w:val="Hyperlink"/>
          <w:color w:val="auto"/>
          <w:u w:val="none"/>
        </w:rPr>
        <w:t>.</w:t>
      </w:r>
      <w:r w:rsidRPr="00886659">
        <w:t xml:space="preserve">, </w:t>
      </w:r>
      <w:hyperlink r:id="rId76" w:history="1">
        <w:r w:rsidRPr="00594CFB">
          <w:rPr>
            <w:rStyle w:val="Hyperlink"/>
            <w:color w:val="auto"/>
            <w:u w:val="none"/>
          </w:rPr>
          <w:t>Kamimori, G</w:t>
        </w:r>
      </w:hyperlink>
      <w:r w:rsidRPr="00594CFB">
        <w:rPr>
          <w:rStyle w:val="Hyperlink"/>
          <w:color w:val="auto"/>
          <w:u w:val="none"/>
        </w:rPr>
        <w:t>.</w:t>
      </w:r>
      <w:r w:rsidRPr="00886659">
        <w:t xml:space="preserve">, </w:t>
      </w:r>
      <w:hyperlink r:id="rId77" w:history="1">
        <w:r w:rsidRPr="00594CFB">
          <w:rPr>
            <w:rStyle w:val="Hyperlink"/>
            <w:color w:val="auto"/>
            <w:u w:val="none"/>
          </w:rPr>
          <w:t>Iwanyk, E</w:t>
        </w:r>
      </w:hyperlink>
      <w:r w:rsidRPr="00594CFB">
        <w:rPr>
          <w:rStyle w:val="Hyperlink"/>
          <w:color w:val="auto"/>
          <w:u w:val="none"/>
        </w:rPr>
        <w:t>.</w:t>
      </w:r>
      <w:r w:rsidRPr="00886659">
        <w:t xml:space="preserve">, </w:t>
      </w:r>
      <w:hyperlink r:id="rId78" w:history="1">
        <w:r w:rsidRPr="00594CFB">
          <w:rPr>
            <w:rStyle w:val="Hyperlink"/>
            <w:color w:val="auto"/>
            <w:u w:val="none"/>
          </w:rPr>
          <w:t>Pearson, N</w:t>
        </w:r>
      </w:hyperlink>
      <w:r w:rsidRPr="00594CFB">
        <w:rPr>
          <w:rStyle w:val="Hyperlink"/>
          <w:color w:val="auto"/>
          <w:u w:val="none"/>
        </w:rPr>
        <w:t>.</w:t>
      </w:r>
      <w:r w:rsidRPr="00886659">
        <w:t xml:space="preserve">, </w:t>
      </w:r>
      <w:hyperlink r:id="rId79" w:history="1">
        <w:r w:rsidRPr="00594CFB">
          <w:rPr>
            <w:rStyle w:val="Hyperlink"/>
            <w:color w:val="auto"/>
            <w:u w:val="none"/>
          </w:rPr>
          <w:t>Devine, J</w:t>
        </w:r>
      </w:hyperlink>
      <w:r w:rsidRPr="00594CFB">
        <w:rPr>
          <w:rStyle w:val="Hyperlink"/>
          <w:color w:val="auto"/>
          <w:u w:val="none"/>
        </w:rPr>
        <w:t>.</w:t>
      </w:r>
      <w:r w:rsidRPr="00886659">
        <w:t xml:space="preserve">, </w:t>
      </w:r>
      <w:hyperlink r:id="rId80" w:history="1">
        <w:r w:rsidRPr="00594CFB">
          <w:rPr>
            <w:rStyle w:val="Hyperlink"/>
            <w:color w:val="auto"/>
            <w:u w:val="none"/>
          </w:rPr>
          <w:t>Belenky, G</w:t>
        </w:r>
      </w:hyperlink>
      <w:r w:rsidRPr="00594CFB">
        <w:rPr>
          <w:rStyle w:val="Hyperlink"/>
          <w:color w:val="auto"/>
          <w:u w:val="none"/>
        </w:rPr>
        <w:t>.</w:t>
      </w:r>
      <w:r w:rsidRPr="00886659">
        <w:t xml:space="preserve">, </w:t>
      </w:r>
      <w:hyperlink r:id="rId81" w:history="1">
        <w:r w:rsidRPr="00594CFB">
          <w:rPr>
            <w:rStyle w:val="Hyperlink"/>
            <w:color w:val="auto"/>
            <w:u w:val="none"/>
          </w:rPr>
          <w:t>Cymerman, A</w:t>
        </w:r>
      </w:hyperlink>
      <w:r w:rsidRPr="00886659">
        <w:t xml:space="preserve">., 1993. Effects of simulated high altitude exposure </w:t>
      </w:r>
      <w:r w:rsidRPr="00886659">
        <w:lastRenderedPageBreak/>
        <w:t xml:space="preserve">on long-latency </w:t>
      </w:r>
      <w:r w:rsidRPr="005E28B4">
        <w:t>event-related brain potentials and performance</w:t>
      </w:r>
      <w:r w:rsidRPr="00886659">
        <w:t xml:space="preserve">. </w:t>
      </w:r>
      <w:hyperlink r:id="rId82" w:tooltip="Aviation, space, and environmental medicine." w:history="1">
        <w:r w:rsidRPr="00594CFB">
          <w:rPr>
            <w:rStyle w:val="Hyperlink"/>
            <w:color w:val="auto"/>
            <w:u w:val="none"/>
          </w:rPr>
          <w:t>Aviat. Space Environ. Med.</w:t>
        </w:r>
      </w:hyperlink>
      <w:r w:rsidRPr="00886659">
        <w:t xml:space="preserve"> 64</w:t>
      </w:r>
      <w:r>
        <w:t xml:space="preserve">, </w:t>
      </w:r>
      <w:r w:rsidRPr="005E28B4">
        <w:t>30-</w:t>
      </w:r>
      <w:r>
        <w:t>3</w:t>
      </w:r>
      <w:r w:rsidRPr="005E28B4">
        <w:t xml:space="preserve">6. </w:t>
      </w:r>
    </w:p>
    <w:p w:rsidR="00886659" w:rsidRPr="005E28B4" w:rsidRDefault="00886659" w:rsidP="00594CFB">
      <w:pPr>
        <w:pStyle w:val="ListParagraph"/>
        <w:numPr>
          <w:ilvl w:val="0"/>
          <w:numId w:val="1"/>
        </w:numPr>
      </w:pPr>
      <w:r w:rsidRPr="005E28B4">
        <w:t xml:space="preserve">West, J.B., 2004. </w:t>
      </w:r>
      <w:r w:rsidRPr="00594CFB">
        <w:rPr>
          <w:bCs/>
        </w:rPr>
        <w:t xml:space="preserve">The physiologic basis of high-altitude diseases. </w:t>
      </w:r>
      <w:r w:rsidRPr="00594CFB">
        <w:rPr>
          <w:iCs/>
        </w:rPr>
        <w:t>Ann. Intern. Med.</w:t>
      </w:r>
      <w:r w:rsidRPr="00594CFB">
        <w:rPr>
          <w:i/>
          <w:iCs/>
        </w:rPr>
        <w:t xml:space="preserve"> </w:t>
      </w:r>
      <w:r w:rsidRPr="005E28B4">
        <w:t>141:789-800.</w:t>
      </w:r>
    </w:p>
    <w:p w:rsidR="00886659" w:rsidRDefault="00886659" w:rsidP="00594CFB">
      <w:pPr>
        <w:pStyle w:val="Title1"/>
        <w:numPr>
          <w:ilvl w:val="0"/>
          <w:numId w:val="1"/>
        </w:numPr>
        <w:shd w:val="clear" w:color="auto" w:fill="FFFFFF"/>
        <w:spacing w:before="0" w:beforeAutospacing="0" w:after="0" w:afterAutospacing="0" w:line="480" w:lineRule="auto"/>
        <w:rPr>
          <w:shd w:val="clear" w:color="auto" w:fill="FFFFFF"/>
        </w:rPr>
      </w:pPr>
      <w:r w:rsidRPr="00886659">
        <w:rPr>
          <w:rStyle w:val="Hyperlink"/>
          <w:u w:val="none"/>
        </w:rPr>
        <w:t>*</w:t>
      </w:r>
      <w:r w:rsidRPr="00886659">
        <w:t xml:space="preserve">Wu, X., Li, X., Han, L., Wang, T., Wei, Y., 1998. </w:t>
      </w:r>
      <w:hyperlink r:id="rId83" w:history="1">
        <w:r w:rsidRPr="00886659">
          <w:rPr>
            <w:rStyle w:val="Hyperlink"/>
            <w:color w:val="auto"/>
            <w:u w:val="none"/>
          </w:rPr>
          <w:t>Effects of acute moderate hypoxia on human performance of arithmetic.</w:t>
        </w:r>
      </w:hyperlink>
      <w:r w:rsidRPr="00886659">
        <w:rPr>
          <w:rStyle w:val="Hyperlink"/>
          <w:color w:val="auto"/>
          <w:u w:val="none"/>
        </w:rPr>
        <w:t xml:space="preserve"> </w:t>
      </w:r>
      <w:hyperlink r:id="rId84" w:tooltip="Hang tian yi xue yu yi xue gong cheng = Space medicine &amp; medical engineering." w:history="1">
        <w:r w:rsidRPr="00886659">
          <w:rPr>
            <w:rStyle w:val="Hyperlink"/>
            <w:color w:val="auto"/>
            <w:u w:val="none"/>
            <w:shd w:val="clear" w:color="auto" w:fill="FFFFFF"/>
          </w:rPr>
          <w:t>Space Med. Med. Eng. (Beijing).</w:t>
        </w:r>
      </w:hyperlink>
      <w:r w:rsidRPr="00886659">
        <w:rPr>
          <w:rStyle w:val="Hyperlink"/>
          <w:color w:val="auto"/>
          <w:u w:val="none"/>
          <w:shd w:val="clear" w:color="auto" w:fill="FFFFFF"/>
        </w:rPr>
        <w:t xml:space="preserve"> </w:t>
      </w:r>
      <w:r w:rsidRPr="00886659">
        <w:rPr>
          <w:shd w:val="clear" w:color="auto" w:fill="FFFFFF"/>
        </w:rPr>
        <w:t>11, 391</w:t>
      </w:r>
      <w:r w:rsidRPr="005E28B4">
        <w:rPr>
          <w:shd w:val="clear" w:color="auto" w:fill="FFFFFF"/>
        </w:rPr>
        <w:t>-</w:t>
      </w:r>
      <w:r>
        <w:rPr>
          <w:shd w:val="clear" w:color="auto" w:fill="FFFFFF"/>
        </w:rPr>
        <w:t>39</w:t>
      </w:r>
      <w:r w:rsidRPr="005E28B4">
        <w:rPr>
          <w:shd w:val="clear" w:color="auto" w:fill="FFFFFF"/>
        </w:rPr>
        <w:t>5</w:t>
      </w:r>
      <w:r>
        <w:rPr>
          <w:shd w:val="clear" w:color="auto" w:fill="FFFFFF"/>
        </w:rPr>
        <w:t>.</w:t>
      </w:r>
      <w:r w:rsidRPr="005E28B4">
        <w:rPr>
          <w:shd w:val="clear" w:color="auto" w:fill="FFFFFF"/>
        </w:rPr>
        <w:t xml:space="preserve"> </w:t>
      </w:r>
    </w:p>
    <w:p w:rsidR="00886659" w:rsidRDefault="00886659" w:rsidP="00594CFB">
      <w:pPr>
        <w:pStyle w:val="Title1"/>
        <w:numPr>
          <w:ilvl w:val="0"/>
          <w:numId w:val="1"/>
        </w:numPr>
        <w:shd w:val="clear" w:color="auto" w:fill="FFFFFF"/>
        <w:spacing w:before="0" w:beforeAutospacing="0" w:after="0" w:afterAutospacing="0" w:line="480" w:lineRule="auto"/>
        <w:rPr>
          <w:color w:val="222222"/>
        </w:rPr>
      </w:pPr>
      <w:r w:rsidRPr="00937CCB">
        <w:rPr>
          <w:color w:val="222222"/>
        </w:rPr>
        <w:t>Wolfel, E.E., Selland, M.A., Cymerman, A., Brooks, G.A., Butterfield, G.E., Mazzeo, R.S., Grover, R.F.</w:t>
      </w:r>
      <w:r>
        <w:rPr>
          <w:color w:val="222222"/>
        </w:rPr>
        <w:t xml:space="preserve">, </w:t>
      </w:r>
      <w:r w:rsidRPr="00937CCB">
        <w:rPr>
          <w:color w:val="222222"/>
        </w:rPr>
        <w:t>Reeves, J.T. 1998. O</w:t>
      </w:r>
      <w:r w:rsidRPr="00937CCB">
        <w:rPr>
          <w:color w:val="222222"/>
          <w:vertAlign w:val="subscript"/>
        </w:rPr>
        <w:t>2</w:t>
      </w:r>
      <w:r w:rsidRPr="00937CCB">
        <w:rPr>
          <w:color w:val="222222"/>
        </w:rPr>
        <w:t xml:space="preserve"> extraction maintains O</w:t>
      </w:r>
      <w:r w:rsidRPr="00937CCB">
        <w:rPr>
          <w:color w:val="222222"/>
          <w:vertAlign w:val="subscript"/>
        </w:rPr>
        <w:t>2</w:t>
      </w:r>
      <w:r w:rsidRPr="00937CCB">
        <w:rPr>
          <w:color w:val="222222"/>
        </w:rPr>
        <w:t xml:space="preserve"> uptake during submaximal exercise with β-adrenergic blockade at 4,300 m. </w:t>
      </w:r>
      <w:r w:rsidRPr="005A1F70">
        <w:rPr>
          <w:iCs/>
          <w:color w:val="222222"/>
        </w:rPr>
        <w:t>J</w:t>
      </w:r>
      <w:r>
        <w:rPr>
          <w:iCs/>
          <w:color w:val="222222"/>
        </w:rPr>
        <w:t>.</w:t>
      </w:r>
      <w:r w:rsidRPr="005A1F70">
        <w:rPr>
          <w:iCs/>
          <w:color w:val="222222"/>
        </w:rPr>
        <w:t xml:space="preserve"> Appl</w:t>
      </w:r>
      <w:r>
        <w:rPr>
          <w:iCs/>
          <w:color w:val="222222"/>
        </w:rPr>
        <w:t xml:space="preserve">. </w:t>
      </w:r>
      <w:r w:rsidRPr="005A1F70">
        <w:rPr>
          <w:iCs/>
          <w:color w:val="222222"/>
        </w:rPr>
        <w:t>Physiol</w:t>
      </w:r>
      <w:r w:rsidRPr="005A1F70">
        <w:rPr>
          <w:color w:val="222222"/>
        </w:rPr>
        <w:t>.</w:t>
      </w:r>
      <w:r w:rsidRPr="00937CCB">
        <w:rPr>
          <w:color w:val="222222"/>
        </w:rPr>
        <w:t xml:space="preserve"> </w:t>
      </w:r>
      <w:r w:rsidRPr="00937CCB">
        <w:rPr>
          <w:iCs/>
          <w:color w:val="222222"/>
        </w:rPr>
        <w:t>85</w:t>
      </w:r>
      <w:r>
        <w:rPr>
          <w:iCs/>
          <w:color w:val="222222"/>
        </w:rPr>
        <w:t xml:space="preserve">, </w:t>
      </w:r>
      <w:r w:rsidRPr="00937CCB">
        <w:rPr>
          <w:color w:val="222222"/>
        </w:rPr>
        <w:t>1092-1102.</w:t>
      </w:r>
    </w:p>
    <w:p w:rsidR="00886659" w:rsidRPr="005E28B4" w:rsidRDefault="00886659" w:rsidP="00594CFB">
      <w:pPr>
        <w:pStyle w:val="Title1"/>
        <w:numPr>
          <w:ilvl w:val="0"/>
          <w:numId w:val="1"/>
        </w:numPr>
        <w:shd w:val="clear" w:color="auto" w:fill="FFFFFF"/>
        <w:spacing w:before="0" w:beforeAutospacing="0" w:after="0" w:afterAutospacing="0" w:line="480" w:lineRule="auto"/>
        <w:rPr>
          <w:color w:val="000000"/>
        </w:rPr>
      </w:pPr>
      <w:r w:rsidRPr="00693F53">
        <w:t>Yerkes, R.M., Dodson, J.D.</w:t>
      </w:r>
      <w:r>
        <w:t xml:space="preserve"> </w:t>
      </w:r>
      <w:r w:rsidRPr="00693F53">
        <w:t xml:space="preserve">1908. The relation of strength of stimulus to the rapidity of habit formation. </w:t>
      </w:r>
      <w:r w:rsidRPr="005A1F70">
        <w:t>J</w:t>
      </w:r>
      <w:r>
        <w:t>.</w:t>
      </w:r>
      <w:r w:rsidRPr="005A1F70">
        <w:t xml:space="preserve"> Comp</w:t>
      </w:r>
      <w:r>
        <w:t>.</w:t>
      </w:r>
      <w:r w:rsidRPr="005A1F70">
        <w:t xml:space="preserve"> Neurol</w:t>
      </w:r>
      <w:r>
        <w:t>.</w:t>
      </w:r>
      <w:r w:rsidRPr="005A1F70">
        <w:t xml:space="preserve"> Psychol</w:t>
      </w:r>
      <w:r>
        <w:t>.</w:t>
      </w:r>
      <w:r w:rsidRPr="00693F53">
        <w:t xml:space="preserve"> 18, 459-482.</w:t>
      </w:r>
    </w:p>
    <w:p w:rsidR="00886659" w:rsidRDefault="00886659" w:rsidP="00594CFB">
      <w:pPr>
        <w:pStyle w:val="Title3"/>
        <w:numPr>
          <w:ilvl w:val="0"/>
          <w:numId w:val="1"/>
        </w:numPr>
        <w:shd w:val="clear" w:color="auto" w:fill="FFFFFF"/>
        <w:spacing w:before="0" w:beforeAutospacing="0" w:after="0" w:afterAutospacing="0" w:line="480" w:lineRule="auto"/>
        <w:rPr>
          <w:color w:val="000000"/>
        </w:rPr>
      </w:pPr>
      <w:r w:rsidRPr="00886659">
        <w:t xml:space="preserve">*Zhang, G., Zhou, S.M., Yuan, C., Tian, H.J., Li, P., Gao, Y.Q., 2013. </w:t>
      </w:r>
      <w:hyperlink r:id="rId85" w:history="1">
        <w:r w:rsidRPr="00886659">
          <w:rPr>
            <w:rStyle w:val="Hyperlink"/>
            <w:color w:val="auto"/>
            <w:u w:val="none"/>
          </w:rPr>
          <w:t xml:space="preserve">The effects of short-term and long-term exposure to a high </w:t>
        </w:r>
        <w:r w:rsidRPr="00886659">
          <w:rPr>
            <w:rStyle w:val="Hyperlink"/>
            <w:bCs/>
            <w:color w:val="auto"/>
            <w:u w:val="none"/>
          </w:rPr>
          <w:t xml:space="preserve">altitude </w:t>
        </w:r>
        <w:r w:rsidRPr="00886659">
          <w:rPr>
            <w:rStyle w:val="Hyperlink"/>
            <w:color w:val="auto"/>
            <w:u w:val="none"/>
          </w:rPr>
          <w:t>hypoxic environment on neurobehavioral function.</w:t>
        </w:r>
      </w:hyperlink>
      <w:r w:rsidRPr="005E28B4">
        <w:rPr>
          <w:rStyle w:val="Hyperlink"/>
        </w:rPr>
        <w:t xml:space="preserve"> </w:t>
      </w:r>
      <w:r w:rsidRPr="005E28B4">
        <w:rPr>
          <w:rStyle w:val="jrnl"/>
        </w:rPr>
        <w:t>High Alt</w:t>
      </w:r>
      <w:r>
        <w:rPr>
          <w:rStyle w:val="jrnl"/>
        </w:rPr>
        <w:t>.</w:t>
      </w:r>
      <w:r w:rsidRPr="005E28B4">
        <w:rPr>
          <w:rStyle w:val="jrnl"/>
        </w:rPr>
        <w:t xml:space="preserve"> Med</w:t>
      </w:r>
      <w:r>
        <w:rPr>
          <w:rStyle w:val="jrnl"/>
        </w:rPr>
        <w:t>.</w:t>
      </w:r>
      <w:r w:rsidRPr="005E28B4">
        <w:rPr>
          <w:rStyle w:val="jrnl"/>
        </w:rPr>
        <w:t xml:space="preserve"> Biol</w:t>
      </w:r>
      <w:r w:rsidRPr="005E28B4">
        <w:t>. 14</w:t>
      </w:r>
      <w:r>
        <w:t xml:space="preserve">, </w:t>
      </w:r>
      <w:r w:rsidRPr="005E28B4">
        <w:t>338-</w:t>
      </w:r>
      <w:r>
        <w:t>3</w:t>
      </w:r>
      <w:r w:rsidRPr="005E28B4">
        <w:t xml:space="preserve">41. </w:t>
      </w:r>
    </w:p>
    <w:p w:rsidR="00C017A6" w:rsidRDefault="00C017A6">
      <w:r>
        <w:br w:type="page"/>
      </w:r>
    </w:p>
    <w:p w:rsidR="00C017A6" w:rsidRPr="00C06073" w:rsidRDefault="00C017A6" w:rsidP="00C017A6">
      <w:pPr>
        <w:autoSpaceDE w:val="0"/>
        <w:autoSpaceDN w:val="0"/>
        <w:adjustRightInd w:val="0"/>
        <w:rPr>
          <w:color w:val="000000"/>
        </w:rPr>
      </w:pPr>
      <w:r w:rsidRPr="00C06073">
        <w:rPr>
          <w:color w:val="000000"/>
        </w:rPr>
        <w:lastRenderedPageBreak/>
        <w:t>Table 1. Effect sizes for central executive, perception/attention and short-term memory tasks, and ch</w:t>
      </w:r>
      <w:r>
        <w:rPr>
          <w:color w:val="000000"/>
        </w:rPr>
        <w:t>a</w:t>
      </w:r>
      <w:r w:rsidRPr="00C06073">
        <w:rPr>
          <w:color w:val="000000"/>
        </w:rPr>
        <w:t>racter</w:t>
      </w:r>
      <w:r>
        <w:rPr>
          <w:color w:val="000000"/>
        </w:rPr>
        <w:t>is</w:t>
      </w:r>
      <w:r w:rsidRPr="00C06073">
        <w:rPr>
          <w:color w:val="000000"/>
        </w:rPr>
        <w:t>tics of the studies included in the meta-analysis.</w:t>
      </w:r>
    </w:p>
    <w:tbl>
      <w:tblPr>
        <w:tblStyle w:val="ListTable6Colorful"/>
        <w:tblW w:w="0" w:type="auto"/>
        <w:tblLook w:val="0420" w:firstRow="1" w:lastRow="0" w:firstColumn="0" w:lastColumn="0" w:noHBand="0" w:noVBand="1"/>
      </w:tblPr>
      <w:tblGrid>
        <w:gridCol w:w="1400"/>
        <w:gridCol w:w="500"/>
        <w:gridCol w:w="1222"/>
        <w:gridCol w:w="1398"/>
        <w:gridCol w:w="1745"/>
        <w:gridCol w:w="1021"/>
        <w:gridCol w:w="1928"/>
      </w:tblGrid>
      <w:tr w:rsidR="00C017A6" w:rsidRPr="00BE6117" w:rsidTr="009A2ABA">
        <w:trPr>
          <w:cnfStyle w:val="100000000000" w:firstRow="1" w:lastRow="0" w:firstColumn="0" w:lastColumn="0" w:oddVBand="0" w:evenVBand="0" w:oddHBand="0" w:evenHBand="0" w:firstRowFirstColumn="0" w:firstRowLastColumn="0" w:lastRowFirstColumn="0" w:lastRowLastColumn="0"/>
        </w:trPr>
        <w:tc>
          <w:tcPr>
            <w:tcW w:w="1400" w:type="dxa"/>
            <w:shd w:val="clear" w:color="auto" w:fill="auto"/>
          </w:tcPr>
          <w:p w:rsidR="00C017A6" w:rsidRPr="00BE6117" w:rsidRDefault="00C017A6" w:rsidP="009A2ABA">
            <w:pPr>
              <w:autoSpaceDE w:val="0"/>
              <w:autoSpaceDN w:val="0"/>
              <w:adjustRightInd w:val="0"/>
              <w:spacing w:line="480" w:lineRule="auto"/>
              <w:jc w:val="center"/>
              <w:rPr>
                <w:b w:val="0"/>
                <w:color w:val="000000"/>
              </w:rPr>
            </w:pPr>
            <w:r w:rsidRPr="00BE6117">
              <w:rPr>
                <w:b w:val="0"/>
                <w:color w:val="000000"/>
              </w:rPr>
              <w:t>Authors</w:t>
            </w:r>
          </w:p>
        </w:tc>
        <w:tc>
          <w:tcPr>
            <w:tcW w:w="500" w:type="dxa"/>
            <w:shd w:val="clear" w:color="auto" w:fill="auto"/>
          </w:tcPr>
          <w:p w:rsidR="00C017A6" w:rsidRPr="00BE6117" w:rsidRDefault="00C017A6" w:rsidP="009A2ABA">
            <w:pPr>
              <w:autoSpaceDE w:val="0"/>
              <w:autoSpaceDN w:val="0"/>
              <w:adjustRightInd w:val="0"/>
              <w:spacing w:line="480" w:lineRule="auto"/>
              <w:jc w:val="center"/>
              <w:rPr>
                <w:b w:val="0"/>
                <w:color w:val="000000"/>
              </w:rPr>
            </w:pPr>
            <w:r w:rsidRPr="00BE6117">
              <w:rPr>
                <w:b w:val="0"/>
                <w:color w:val="000000"/>
              </w:rPr>
              <w:t>N</w:t>
            </w:r>
          </w:p>
        </w:tc>
        <w:tc>
          <w:tcPr>
            <w:tcW w:w="1222" w:type="dxa"/>
            <w:shd w:val="clear" w:color="auto" w:fill="auto"/>
          </w:tcPr>
          <w:p w:rsidR="00C017A6" w:rsidRPr="00BE6117" w:rsidRDefault="00C017A6" w:rsidP="009A2ABA">
            <w:pPr>
              <w:autoSpaceDE w:val="0"/>
              <w:autoSpaceDN w:val="0"/>
              <w:adjustRightInd w:val="0"/>
              <w:spacing w:line="480" w:lineRule="auto"/>
              <w:jc w:val="center"/>
              <w:rPr>
                <w:b w:val="0"/>
                <w:color w:val="000000"/>
                <w:vertAlign w:val="superscript"/>
              </w:rPr>
            </w:pPr>
            <w:r w:rsidRPr="00BE6117">
              <w:rPr>
                <w:b w:val="0"/>
                <w:color w:val="000000"/>
              </w:rPr>
              <w:t>Estimated P</w:t>
            </w:r>
            <w:r w:rsidR="00204BE3">
              <w:rPr>
                <w:b w:val="0"/>
                <w:color w:val="000000"/>
              </w:rPr>
              <w:t>a</w:t>
            </w:r>
            <w:r w:rsidRPr="00BE6117">
              <w:rPr>
                <w:b w:val="0"/>
                <w:color w:val="000000"/>
              </w:rPr>
              <w:t>O</w:t>
            </w:r>
            <w:r w:rsidRPr="00BE6117">
              <w:rPr>
                <w:b w:val="0"/>
                <w:color w:val="000000"/>
                <w:vertAlign w:val="subscript"/>
              </w:rPr>
              <w:t>2</w:t>
            </w:r>
            <w:r w:rsidRPr="00BE6117">
              <w:rPr>
                <w:b w:val="0"/>
                <w:color w:val="000000"/>
                <w:vertAlign w:val="superscript"/>
              </w:rPr>
              <w:t>a</w:t>
            </w:r>
          </w:p>
          <w:p w:rsidR="00C017A6" w:rsidRPr="00BE6117" w:rsidRDefault="00C017A6" w:rsidP="009A2ABA">
            <w:pPr>
              <w:autoSpaceDE w:val="0"/>
              <w:autoSpaceDN w:val="0"/>
              <w:adjustRightInd w:val="0"/>
              <w:spacing w:line="480" w:lineRule="auto"/>
              <w:jc w:val="center"/>
              <w:rPr>
                <w:b w:val="0"/>
                <w:color w:val="000000"/>
              </w:rPr>
            </w:pPr>
          </w:p>
        </w:tc>
        <w:tc>
          <w:tcPr>
            <w:tcW w:w="1398" w:type="dxa"/>
            <w:shd w:val="clear" w:color="auto" w:fill="auto"/>
          </w:tcPr>
          <w:p w:rsidR="00C017A6" w:rsidRPr="00BE6117" w:rsidRDefault="00C017A6" w:rsidP="009A2ABA">
            <w:pPr>
              <w:autoSpaceDE w:val="0"/>
              <w:autoSpaceDN w:val="0"/>
              <w:adjustRightInd w:val="0"/>
              <w:spacing w:line="480" w:lineRule="auto"/>
              <w:jc w:val="center"/>
              <w:rPr>
                <w:b w:val="0"/>
                <w:color w:val="000000"/>
              </w:rPr>
            </w:pPr>
            <w:r w:rsidRPr="00BE6117">
              <w:rPr>
                <w:b w:val="0"/>
                <w:color w:val="000000"/>
              </w:rPr>
              <w:t>Normobaric</w:t>
            </w:r>
          </w:p>
          <w:p w:rsidR="00C017A6" w:rsidRPr="00BE6117" w:rsidRDefault="00C017A6" w:rsidP="009A2ABA">
            <w:pPr>
              <w:autoSpaceDE w:val="0"/>
              <w:autoSpaceDN w:val="0"/>
              <w:adjustRightInd w:val="0"/>
              <w:spacing w:line="480" w:lineRule="auto"/>
              <w:jc w:val="center"/>
              <w:rPr>
                <w:b w:val="0"/>
                <w:color w:val="000000"/>
              </w:rPr>
            </w:pPr>
            <w:r w:rsidRPr="00BE6117">
              <w:rPr>
                <w:b w:val="0"/>
                <w:color w:val="000000"/>
              </w:rPr>
              <w:t>or hypobaric</w:t>
            </w:r>
          </w:p>
        </w:tc>
        <w:tc>
          <w:tcPr>
            <w:tcW w:w="1745" w:type="dxa"/>
            <w:shd w:val="clear" w:color="auto" w:fill="auto"/>
          </w:tcPr>
          <w:p w:rsidR="00C017A6" w:rsidRPr="00BE6117" w:rsidRDefault="00C017A6" w:rsidP="009A2ABA">
            <w:pPr>
              <w:autoSpaceDE w:val="0"/>
              <w:autoSpaceDN w:val="0"/>
              <w:adjustRightInd w:val="0"/>
              <w:jc w:val="center"/>
              <w:rPr>
                <w:b w:val="0"/>
                <w:color w:val="000000"/>
              </w:rPr>
            </w:pPr>
            <w:r w:rsidRPr="00BE6117">
              <w:rPr>
                <w:b w:val="0"/>
                <w:color w:val="000000"/>
              </w:rPr>
              <w:t>Cognitive task</w:t>
            </w:r>
          </w:p>
        </w:tc>
        <w:tc>
          <w:tcPr>
            <w:tcW w:w="1021" w:type="dxa"/>
            <w:shd w:val="clear" w:color="auto" w:fill="auto"/>
          </w:tcPr>
          <w:p w:rsidR="00C017A6" w:rsidRPr="00A25920" w:rsidRDefault="00C017A6" w:rsidP="009A2ABA">
            <w:pPr>
              <w:autoSpaceDE w:val="0"/>
              <w:autoSpaceDN w:val="0"/>
              <w:adjustRightInd w:val="0"/>
              <w:spacing w:line="480" w:lineRule="auto"/>
              <w:jc w:val="center"/>
              <w:rPr>
                <w:b w:val="0"/>
                <w:color w:val="000000"/>
              </w:rPr>
            </w:pPr>
            <w:r>
              <w:rPr>
                <w:b w:val="0"/>
                <w:color w:val="000000"/>
              </w:rPr>
              <w:t>Hedges’ g (SE</w:t>
            </w:r>
            <w:r w:rsidRPr="00D50CEF">
              <w:rPr>
                <w:b w:val="0"/>
                <w:color w:val="000000"/>
                <w:vertAlign w:val="superscript"/>
              </w:rPr>
              <w:t>e</w:t>
            </w:r>
            <w:r>
              <w:rPr>
                <w:b w:val="0"/>
                <w:color w:val="000000"/>
              </w:rPr>
              <w:t>)</w:t>
            </w:r>
          </w:p>
        </w:tc>
        <w:tc>
          <w:tcPr>
            <w:tcW w:w="1928" w:type="dxa"/>
            <w:shd w:val="clear" w:color="auto" w:fill="auto"/>
          </w:tcPr>
          <w:p w:rsidR="00C017A6" w:rsidRDefault="00C017A6" w:rsidP="009A2ABA">
            <w:pPr>
              <w:autoSpaceDE w:val="0"/>
              <w:autoSpaceDN w:val="0"/>
              <w:adjustRightInd w:val="0"/>
              <w:spacing w:line="480" w:lineRule="auto"/>
              <w:rPr>
                <w:b w:val="0"/>
                <w:color w:val="000000"/>
              </w:rPr>
            </w:pPr>
            <w:r w:rsidRPr="00A25920">
              <w:rPr>
                <w:b w:val="0"/>
                <w:color w:val="000000"/>
              </w:rPr>
              <w:t>95% CI</w:t>
            </w:r>
            <w:r w:rsidRPr="006172FF">
              <w:rPr>
                <w:b w:val="0"/>
                <w:color w:val="000000"/>
                <w:vertAlign w:val="superscript"/>
              </w:rPr>
              <w:t>i</w:t>
            </w:r>
            <w:r w:rsidRPr="00A25920">
              <w:rPr>
                <w:b w:val="0"/>
                <w:color w:val="000000"/>
              </w:rPr>
              <w:t xml:space="preserve"> interval</w:t>
            </w:r>
          </w:p>
          <w:p w:rsidR="00C017A6" w:rsidRPr="00A25920" w:rsidRDefault="00C017A6" w:rsidP="009A2ABA">
            <w:pPr>
              <w:autoSpaceDE w:val="0"/>
              <w:autoSpaceDN w:val="0"/>
              <w:adjustRightInd w:val="0"/>
              <w:spacing w:line="480" w:lineRule="auto"/>
              <w:rPr>
                <w:b w:val="0"/>
                <w:color w:val="000000"/>
              </w:rPr>
            </w:pPr>
            <w:r>
              <w:rPr>
                <w:b w:val="0"/>
                <w:color w:val="000000"/>
              </w:rPr>
              <w:t>Lower     Upper</w:t>
            </w:r>
          </w:p>
        </w:tc>
      </w:tr>
      <w:tr w:rsidR="00C017A6" w:rsidRPr="00BE6117" w:rsidTr="009A2ABA">
        <w:trPr>
          <w:cnfStyle w:val="000000100000" w:firstRow="0" w:lastRow="0" w:firstColumn="0" w:lastColumn="0" w:oddVBand="0" w:evenVBand="0" w:oddHBand="1" w:evenHBand="0" w:firstRowFirstColumn="0" w:firstRowLastColumn="0" w:lastRowFirstColumn="0" w:lastRowLastColumn="0"/>
        </w:trPr>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Sh</w:t>
            </w:r>
            <w:r>
              <w:rPr>
                <w:color w:val="000000"/>
              </w:rPr>
              <w:t>l</w:t>
            </w:r>
            <w:r w:rsidRPr="00BE6117">
              <w:rPr>
                <w:color w:val="000000"/>
              </w:rPr>
              <w:t>aepfer et al. (1992)</w:t>
            </w:r>
          </w:p>
          <w:p w:rsidR="00C017A6" w:rsidRPr="00BE6117" w:rsidRDefault="00C017A6" w:rsidP="009A2ABA">
            <w:pPr>
              <w:autoSpaceDE w:val="0"/>
              <w:autoSpaceDN w:val="0"/>
              <w:adjustRightInd w:val="0"/>
              <w:spacing w:line="480" w:lineRule="auto"/>
              <w:rPr>
                <w:color w:val="000000"/>
                <w:highlight w:val="yellow"/>
              </w:rPr>
            </w:pPr>
            <w:r w:rsidRPr="00BE6117">
              <w:rPr>
                <w:color w:val="000000"/>
              </w:rPr>
              <w:t>Experiment 1</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10</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67</w:t>
            </w:r>
            <w:r>
              <w:rPr>
                <w:color w:val="000000"/>
              </w:rPr>
              <w:t xml:space="preserve">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hypobaric</w:t>
            </w:r>
          </w:p>
        </w:tc>
        <w:tc>
          <w:tcPr>
            <w:tcW w:w="1745" w:type="dxa"/>
            <w:shd w:val="clear" w:color="auto" w:fill="auto"/>
          </w:tcPr>
          <w:p w:rsidR="00C017A6" w:rsidRPr="00BE6117" w:rsidRDefault="00C017A6" w:rsidP="009A2ABA">
            <w:pPr>
              <w:autoSpaceDE w:val="0"/>
              <w:autoSpaceDN w:val="0"/>
              <w:adjustRightInd w:val="0"/>
              <w:rPr>
                <w:color w:val="000000"/>
              </w:rPr>
            </w:pPr>
            <w:r w:rsidRPr="00BE6117">
              <w:rPr>
                <w:color w:val="000000"/>
              </w:rPr>
              <w:t>Attention task</w:t>
            </w:r>
            <w:r w:rsidRPr="00BE6117">
              <w:rPr>
                <w:color w:val="000000"/>
                <w:vertAlign w:val="superscript"/>
              </w:rPr>
              <w:t>c</w:t>
            </w:r>
          </w:p>
        </w:tc>
        <w:tc>
          <w:tcPr>
            <w:tcW w:w="1021" w:type="dxa"/>
            <w:shd w:val="clear" w:color="auto" w:fill="auto"/>
          </w:tcPr>
          <w:p w:rsidR="00C017A6" w:rsidRPr="00BE6117" w:rsidRDefault="00C017A6" w:rsidP="009A2ABA">
            <w:pPr>
              <w:autoSpaceDE w:val="0"/>
              <w:autoSpaceDN w:val="0"/>
              <w:adjustRightInd w:val="0"/>
              <w:spacing w:line="480" w:lineRule="auto"/>
              <w:rPr>
                <w:color w:val="000000"/>
              </w:rPr>
            </w:pPr>
            <w:r>
              <w:rPr>
                <w:color w:val="000000"/>
              </w:rPr>
              <w:t>0.96 (0.45)</w:t>
            </w:r>
          </w:p>
        </w:tc>
        <w:tc>
          <w:tcPr>
            <w:tcW w:w="1928" w:type="dxa"/>
            <w:shd w:val="clear" w:color="auto" w:fill="auto"/>
          </w:tcPr>
          <w:p w:rsidR="00C017A6" w:rsidRPr="00BE6117" w:rsidRDefault="00C017A6" w:rsidP="009A2ABA">
            <w:pPr>
              <w:autoSpaceDE w:val="0"/>
              <w:autoSpaceDN w:val="0"/>
              <w:adjustRightInd w:val="0"/>
              <w:rPr>
                <w:color w:val="000000"/>
              </w:rPr>
            </w:pPr>
            <w:r>
              <w:rPr>
                <w:color w:val="000000"/>
              </w:rPr>
              <w:t>0.07         1.85</w:t>
            </w:r>
          </w:p>
        </w:tc>
      </w:tr>
      <w:tr w:rsidR="00C017A6" w:rsidRPr="00BE6117" w:rsidTr="009A2ABA">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Sh</w:t>
            </w:r>
            <w:r>
              <w:rPr>
                <w:color w:val="000000"/>
              </w:rPr>
              <w:t>l</w:t>
            </w:r>
            <w:r w:rsidRPr="00BE6117">
              <w:rPr>
                <w:color w:val="000000"/>
              </w:rPr>
              <w:t>aepfer et al. (1992)</w:t>
            </w:r>
          </w:p>
          <w:p w:rsidR="00C017A6" w:rsidRPr="00BE6117" w:rsidRDefault="00C017A6" w:rsidP="009A2ABA">
            <w:pPr>
              <w:autoSpaceDE w:val="0"/>
              <w:autoSpaceDN w:val="0"/>
              <w:adjustRightInd w:val="0"/>
              <w:spacing w:line="480" w:lineRule="auto"/>
              <w:rPr>
                <w:color w:val="000000"/>
                <w:highlight w:val="yellow"/>
              </w:rPr>
            </w:pPr>
            <w:r w:rsidRPr="00BE6117">
              <w:rPr>
                <w:color w:val="000000"/>
              </w:rPr>
              <w:t>Experiment 2</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10</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Pr>
                <w:color w:val="000000"/>
              </w:rPr>
              <w:t>62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normobaric</w:t>
            </w:r>
          </w:p>
        </w:tc>
        <w:tc>
          <w:tcPr>
            <w:tcW w:w="1745" w:type="dxa"/>
            <w:shd w:val="clear" w:color="auto" w:fill="auto"/>
          </w:tcPr>
          <w:p w:rsidR="00C017A6" w:rsidRPr="00BE6117" w:rsidRDefault="00C017A6" w:rsidP="009A2ABA">
            <w:pPr>
              <w:autoSpaceDE w:val="0"/>
              <w:autoSpaceDN w:val="0"/>
              <w:adjustRightInd w:val="0"/>
              <w:rPr>
                <w:color w:val="000000"/>
              </w:rPr>
            </w:pPr>
            <w:r w:rsidRPr="00BE6117">
              <w:rPr>
                <w:color w:val="000000"/>
              </w:rPr>
              <w:t>Attention task</w:t>
            </w:r>
            <w:r w:rsidRPr="00BE6117">
              <w:rPr>
                <w:color w:val="000000"/>
                <w:vertAlign w:val="superscript"/>
              </w:rPr>
              <w:t>c</w:t>
            </w:r>
          </w:p>
        </w:tc>
        <w:tc>
          <w:tcPr>
            <w:tcW w:w="1021" w:type="dxa"/>
            <w:shd w:val="clear" w:color="auto" w:fill="auto"/>
          </w:tcPr>
          <w:p w:rsidR="00C017A6" w:rsidRPr="00BE6117" w:rsidRDefault="00C017A6" w:rsidP="009A2ABA">
            <w:pPr>
              <w:autoSpaceDE w:val="0"/>
              <w:autoSpaceDN w:val="0"/>
              <w:adjustRightInd w:val="0"/>
              <w:spacing w:line="480" w:lineRule="auto"/>
              <w:rPr>
                <w:color w:val="000000"/>
              </w:rPr>
            </w:pPr>
            <w:r>
              <w:rPr>
                <w:color w:val="000000"/>
              </w:rPr>
              <w:t>1.92 (0.53)</w:t>
            </w:r>
          </w:p>
        </w:tc>
        <w:tc>
          <w:tcPr>
            <w:tcW w:w="1928" w:type="dxa"/>
            <w:shd w:val="clear" w:color="auto" w:fill="auto"/>
          </w:tcPr>
          <w:p w:rsidR="00C017A6" w:rsidRPr="00BE6117" w:rsidRDefault="00C017A6" w:rsidP="009A2ABA">
            <w:pPr>
              <w:autoSpaceDE w:val="0"/>
              <w:autoSpaceDN w:val="0"/>
              <w:adjustRightInd w:val="0"/>
              <w:rPr>
                <w:color w:val="000000"/>
              </w:rPr>
            </w:pPr>
            <w:r>
              <w:rPr>
                <w:color w:val="000000"/>
              </w:rPr>
              <w:t>0.89          2.94</w:t>
            </w:r>
          </w:p>
        </w:tc>
      </w:tr>
      <w:tr w:rsidR="00C017A6" w:rsidRPr="00BE6117" w:rsidTr="009A2ABA">
        <w:trPr>
          <w:cnfStyle w:val="000000100000" w:firstRow="0" w:lastRow="0" w:firstColumn="0" w:lastColumn="0" w:oddVBand="0" w:evenVBand="0" w:oddHBand="1" w:evenHBand="0" w:firstRowFirstColumn="0" w:firstRowLastColumn="0" w:lastRowFirstColumn="0" w:lastRowLastColumn="0"/>
        </w:trPr>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Noble et al. (1993)</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12</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50</w:t>
            </w:r>
            <w:r>
              <w:rPr>
                <w:color w:val="000000"/>
              </w:rPr>
              <w:t xml:space="preserve">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normobaric</w:t>
            </w:r>
          </w:p>
        </w:tc>
        <w:tc>
          <w:tcPr>
            <w:tcW w:w="1745" w:type="dxa"/>
            <w:shd w:val="clear" w:color="auto" w:fill="auto"/>
          </w:tcPr>
          <w:p w:rsidR="00C017A6" w:rsidRPr="00BE6117" w:rsidRDefault="00C017A6" w:rsidP="009A2ABA">
            <w:pPr>
              <w:autoSpaceDE w:val="0"/>
              <w:autoSpaceDN w:val="0"/>
              <w:adjustRightInd w:val="0"/>
              <w:rPr>
                <w:color w:val="000000"/>
              </w:rPr>
            </w:pPr>
            <w:r w:rsidRPr="00BE6117">
              <w:rPr>
                <w:color w:val="000000"/>
              </w:rPr>
              <w:t>choice reaction time</w:t>
            </w:r>
            <w:r w:rsidRPr="00BE6117">
              <w:rPr>
                <w:color w:val="000000"/>
                <w:vertAlign w:val="superscript"/>
              </w:rPr>
              <w:t>c</w:t>
            </w:r>
          </w:p>
        </w:tc>
        <w:tc>
          <w:tcPr>
            <w:tcW w:w="1021" w:type="dxa"/>
            <w:shd w:val="clear" w:color="auto" w:fill="auto"/>
          </w:tcPr>
          <w:p w:rsidR="00C017A6" w:rsidRPr="00BE6117" w:rsidRDefault="00C017A6" w:rsidP="009A2ABA">
            <w:pPr>
              <w:autoSpaceDE w:val="0"/>
              <w:autoSpaceDN w:val="0"/>
              <w:adjustRightInd w:val="0"/>
              <w:spacing w:line="480" w:lineRule="auto"/>
              <w:rPr>
                <w:color w:val="000000"/>
              </w:rPr>
            </w:pPr>
            <w:r>
              <w:rPr>
                <w:color w:val="000000"/>
              </w:rPr>
              <w:t>-1.17 (0.43)</w:t>
            </w:r>
          </w:p>
        </w:tc>
        <w:tc>
          <w:tcPr>
            <w:tcW w:w="1928" w:type="dxa"/>
            <w:shd w:val="clear" w:color="auto" w:fill="auto"/>
          </w:tcPr>
          <w:p w:rsidR="00C017A6" w:rsidRPr="00BE6117" w:rsidRDefault="00C017A6" w:rsidP="009A2ABA">
            <w:pPr>
              <w:autoSpaceDE w:val="0"/>
              <w:autoSpaceDN w:val="0"/>
              <w:adjustRightInd w:val="0"/>
              <w:rPr>
                <w:color w:val="000000"/>
              </w:rPr>
            </w:pPr>
            <w:r>
              <w:rPr>
                <w:color w:val="000000"/>
              </w:rPr>
              <w:t>-2.01         -0.33</w:t>
            </w:r>
          </w:p>
        </w:tc>
      </w:tr>
      <w:tr w:rsidR="00C017A6" w:rsidRPr="00BE6117" w:rsidTr="009A2ABA">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Wesensten et al. (1993)</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10</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60</w:t>
            </w:r>
            <w:r>
              <w:rPr>
                <w:color w:val="000000"/>
              </w:rPr>
              <w:t xml:space="preserve">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normobaric</w:t>
            </w:r>
          </w:p>
        </w:tc>
        <w:tc>
          <w:tcPr>
            <w:tcW w:w="1745" w:type="dxa"/>
            <w:shd w:val="clear" w:color="auto" w:fill="auto"/>
          </w:tcPr>
          <w:p w:rsidR="00C017A6" w:rsidRPr="00BE6117" w:rsidRDefault="00C017A6" w:rsidP="009A2ABA">
            <w:pPr>
              <w:autoSpaceDE w:val="0"/>
              <w:autoSpaceDN w:val="0"/>
              <w:adjustRightInd w:val="0"/>
              <w:rPr>
                <w:color w:val="000000"/>
              </w:rPr>
            </w:pPr>
            <w:r w:rsidRPr="00BE6117">
              <w:rPr>
                <w:color w:val="000000"/>
              </w:rPr>
              <w:t>auditory oddball</w:t>
            </w:r>
            <w:r w:rsidRPr="00BE6117">
              <w:rPr>
                <w:color w:val="000000"/>
                <w:vertAlign w:val="superscript"/>
              </w:rPr>
              <w:t>b</w:t>
            </w:r>
          </w:p>
        </w:tc>
        <w:tc>
          <w:tcPr>
            <w:tcW w:w="1021" w:type="dxa"/>
            <w:shd w:val="clear" w:color="auto" w:fill="auto"/>
          </w:tcPr>
          <w:p w:rsidR="00C017A6" w:rsidRPr="00BE6117" w:rsidRDefault="00C017A6" w:rsidP="009A2ABA">
            <w:pPr>
              <w:autoSpaceDE w:val="0"/>
              <w:autoSpaceDN w:val="0"/>
              <w:adjustRightInd w:val="0"/>
              <w:spacing w:line="480" w:lineRule="auto"/>
              <w:rPr>
                <w:color w:val="000000"/>
              </w:rPr>
            </w:pPr>
            <w:r>
              <w:rPr>
                <w:color w:val="000000"/>
              </w:rPr>
              <w:t>-0.16 (0.11)</w:t>
            </w:r>
          </w:p>
        </w:tc>
        <w:tc>
          <w:tcPr>
            <w:tcW w:w="1928" w:type="dxa"/>
            <w:shd w:val="clear" w:color="auto" w:fill="auto"/>
          </w:tcPr>
          <w:p w:rsidR="00C017A6" w:rsidRPr="00BE6117" w:rsidRDefault="00C017A6" w:rsidP="009A2ABA">
            <w:pPr>
              <w:autoSpaceDE w:val="0"/>
              <w:autoSpaceDN w:val="0"/>
              <w:adjustRightInd w:val="0"/>
              <w:rPr>
                <w:color w:val="000000"/>
              </w:rPr>
            </w:pPr>
            <w:r>
              <w:rPr>
                <w:color w:val="000000"/>
              </w:rPr>
              <w:t>-0.37         0.05</w:t>
            </w:r>
          </w:p>
        </w:tc>
      </w:tr>
      <w:tr w:rsidR="00C017A6" w:rsidRPr="00BE6117" w:rsidTr="009A2ABA">
        <w:trPr>
          <w:cnfStyle w:val="000000100000" w:firstRow="0" w:lastRow="0" w:firstColumn="0" w:lastColumn="0" w:oddVBand="0" w:evenVBand="0" w:oddHBand="1" w:evenHBand="0" w:firstRowFirstColumn="0" w:firstRowLastColumn="0" w:lastRowFirstColumn="0" w:lastRowLastColumn="0"/>
        </w:trPr>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Fowler et al. (1994)</w:t>
            </w:r>
          </w:p>
          <w:p w:rsidR="00C017A6" w:rsidRPr="00BE6117" w:rsidRDefault="00C017A6" w:rsidP="009A2ABA">
            <w:pPr>
              <w:autoSpaceDE w:val="0"/>
              <w:autoSpaceDN w:val="0"/>
              <w:adjustRightInd w:val="0"/>
              <w:spacing w:line="480" w:lineRule="auto"/>
              <w:rPr>
                <w:color w:val="000000"/>
              </w:rPr>
            </w:pPr>
            <w:r w:rsidRPr="00BE6117">
              <w:rPr>
                <w:color w:val="000000"/>
              </w:rPr>
              <w:t>Experiment 1</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12</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Pr>
                <w:rFonts w:ascii="Cambria Math" w:hAnsi="Cambria Math" w:cs="Cambria Math"/>
                <w:color w:val="000000"/>
              </w:rPr>
              <w:t>35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normobaric</w:t>
            </w:r>
          </w:p>
        </w:tc>
        <w:tc>
          <w:tcPr>
            <w:tcW w:w="1745" w:type="dxa"/>
            <w:shd w:val="clear" w:color="auto" w:fill="auto"/>
          </w:tcPr>
          <w:p w:rsidR="00C017A6" w:rsidRPr="00BE6117" w:rsidRDefault="00C017A6" w:rsidP="009A2ABA">
            <w:pPr>
              <w:autoSpaceDE w:val="0"/>
              <w:autoSpaceDN w:val="0"/>
              <w:adjustRightInd w:val="0"/>
              <w:rPr>
                <w:color w:val="000000"/>
              </w:rPr>
            </w:pPr>
            <w:r w:rsidRPr="00BE6117">
              <w:rPr>
                <w:color w:val="000000"/>
              </w:rPr>
              <w:t>dichotic listening</w:t>
            </w:r>
            <w:r w:rsidRPr="00BE6117">
              <w:rPr>
                <w:color w:val="000000"/>
                <w:vertAlign w:val="superscript"/>
              </w:rPr>
              <w:t>c</w:t>
            </w:r>
          </w:p>
        </w:tc>
        <w:tc>
          <w:tcPr>
            <w:tcW w:w="1021" w:type="dxa"/>
            <w:shd w:val="clear" w:color="auto" w:fill="auto"/>
          </w:tcPr>
          <w:p w:rsidR="00C017A6" w:rsidRPr="00BE6117" w:rsidRDefault="00C017A6" w:rsidP="009A2ABA">
            <w:pPr>
              <w:autoSpaceDE w:val="0"/>
              <w:autoSpaceDN w:val="0"/>
              <w:adjustRightInd w:val="0"/>
              <w:spacing w:line="480" w:lineRule="auto"/>
              <w:rPr>
                <w:color w:val="000000"/>
              </w:rPr>
            </w:pPr>
            <w:r>
              <w:rPr>
                <w:color w:val="000000"/>
              </w:rPr>
              <w:t>-2.11 (0.50)</w:t>
            </w:r>
          </w:p>
        </w:tc>
        <w:tc>
          <w:tcPr>
            <w:tcW w:w="1928" w:type="dxa"/>
            <w:shd w:val="clear" w:color="auto" w:fill="auto"/>
          </w:tcPr>
          <w:p w:rsidR="00C017A6" w:rsidRPr="00BE6117" w:rsidRDefault="00C017A6" w:rsidP="009A2ABA">
            <w:pPr>
              <w:autoSpaceDE w:val="0"/>
              <w:autoSpaceDN w:val="0"/>
              <w:adjustRightInd w:val="0"/>
              <w:rPr>
                <w:color w:val="000000"/>
              </w:rPr>
            </w:pPr>
            <w:r>
              <w:rPr>
                <w:color w:val="000000"/>
              </w:rPr>
              <w:t>-2.01       -0.33</w:t>
            </w:r>
          </w:p>
        </w:tc>
      </w:tr>
      <w:tr w:rsidR="00C017A6" w:rsidRPr="00BE6117" w:rsidTr="009A2ABA">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Fowler et al. (1994)</w:t>
            </w:r>
          </w:p>
          <w:p w:rsidR="00C017A6" w:rsidRPr="00BE6117" w:rsidRDefault="00C017A6" w:rsidP="009A2ABA">
            <w:pPr>
              <w:autoSpaceDE w:val="0"/>
              <w:autoSpaceDN w:val="0"/>
              <w:adjustRightInd w:val="0"/>
              <w:spacing w:line="480" w:lineRule="auto"/>
              <w:rPr>
                <w:color w:val="000000"/>
                <w:highlight w:val="yellow"/>
              </w:rPr>
            </w:pPr>
            <w:r w:rsidRPr="00BE6117">
              <w:rPr>
                <w:color w:val="000000"/>
              </w:rPr>
              <w:lastRenderedPageBreak/>
              <w:t>Experiment 2</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lastRenderedPageBreak/>
              <w:t>12</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Pr>
                <w:rFonts w:ascii="Cambria Math" w:hAnsi="Cambria Math" w:cs="Cambria Math"/>
                <w:color w:val="000000"/>
              </w:rPr>
              <w:t>35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normobaric</w:t>
            </w:r>
          </w:p>
        </w:tc>
        <w:tc>
          <w:tcPr>
            <w:tcW w:w="1745" w:type="dxa"/>
            <w:shd w:val="clear" w:color="auto" w:fill="auto"/>
          </w:tcPr>
          <w:p w:rsidR="00C017A6" w:rsidRPr="00BE6117" w:rsidRDefault="00C017A6" w:rsidP="009A2ABA">
            <w:pPr>
              <w:autoSpaceDE w:val="0"/>
              <w:autoSpaceDN w:val="0"/>
              <w:adjustRightInd w:val="0"/>
              <w:rPr>
                <w:color w:val="000000"/>
              </w:rPr>
            </w:pPr>
            <w:r w:rsidRPr="00BE6117">
              <w:rPr>
                <w:color w:val="000000"/>
              </w:rPr>
              <w:t>short-term memory</w:t>
            </w:r>
            <w:r w:rsidRPr="00BE6117">
              <w:rPr>
                <w:color w:val="000000"/>
                <w:vertAlign w:val="superscript"/>
              </w:rPr>
              <w:t>d</w:t>
            </w:r>
          </w:p>
        </w:tc>
        <w:tc>
          <w:tcPr>
            <w:tcW w:w="1021" w:type="dxa"/>
            <w:shd w:val="clear" w:color="auto" w:fill="auto"/>
          </w:tcPr>
          <w:p w:rsidR="00C017A6" w:rsidRPr="00BE6117" w:rsidRDefault="00C017A6" w:rsidP="009A2ABA">
            <w:pPr>
              <w:autoSpaceDE w:val="0"/>
              <w:autoSpaceDN w:val="0"/>
              <w:adjustRightInd w:val="0"/>
              <w:spacing w:line="480" w:lineRule="auto"/>
              <w:rPr>
                <w:color w:val="000000"/>
              </w:rPr>
            </w:pPr>
            <w:r>
              <w:rPr>
                <w:color w:val="000000"/>
              </w:rPr>
              <w:t>-3.09 (0.60)</w:t>
            </w:r>
          </w:p>
        </w:tc>
        <w:tc>
          <w:tcPr>
            <w:tcW w:w="1928" w:type="dxa"/>
            <w:shd w:val="clear" w:color="auto" w:fill="auto"/>
          </w:tcPr>
          <w:p w:rsidR="00C017A6" w:rsidRPr="00BE6117" w:rsidRDefault="00C017A6" w:rsidP="009A2ABA">
            <w:pPr>
              <w:autoSpaceDE w:val="0"/>
              <w:autoSpaceDN w:val="0"/>
              <w:adjustRightInd w:val="0"/>
              <w:rPr>
                <w:color w:val="000000"/>
              </w:rPr>
            </w:pPr>
            <w:r>
              <w:rPr>
                <w:color w:val="000000"/>
              </w:rPr>
              <w:t>-4.26        -1.92</w:t>
            </w:r>
          </w:p>
        </w:tc>
      </w:tr>
      <w:tr w:rsidR="00C017A6" w:rsidRPr="00BE6117" w:rsidTr="009A2ABA">
        <w:trPr>
          <w:cnfStyle w:val="000000100000" w:firstRow="0" w:lastRow="0" w:firstColumn="0" w:lastColumn="0" w:oddVBand="0" w:evenVBand="0" w:oddHBand="1" w:evenHBand="0" w:firstRowFirstColumn="0" w:firstRowLastColumn="0" w:lastRowFirstColumn="0" w:lastRowLastColumn="0"/>
        </w:trPr>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Shukitt-Hale et al. (</w:t>
            </w:r>
            <w:r>
              <w:rPr>
                <w:color w:val="000000"/>
              </w:rPr>
              <w:t>1998</w:t>
            </w:r>
            <w:r w:rsidRPr="00BE6117">
              <w:rPr>
                <w:color w:val="000000"/>
              </w:rPr>
              <w:t>)</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23</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57</w:t>
            </w:r>
            <w:r>
              <w:rPr>
                <w:color w:val="000000"/>
              </w:rPr>
              <w:t xml:space="preserve"> mmHg</w:t>
            </w:r>
            <w:r w:rsidRPr="00BE6117">
              <w:rPr>
                <w:color w:val="000000"/>
              </w:rPr>
              <w:t>: 61</w:t>
            </w:r>
            <w:r>
              <w:rPr>
                <w:color w:val="000000"/>
              </w:rPr>
              <w:t xml:space="preserve">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normobaric</w:t>
            </w:r>
          </w:p>
        </w:tc>
        <w:tc>
          <w:tcPr>
            <w:tcW w:w="1745"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Tower of London</w:t>
            </w:r>
            <w:r w:rsidRPr="00BE6117">
              <w:rPr>
                <w:color w:val="000000"/>
                <w:vertAlign w:val="superscript"/>
              </w:rPr>
              <w:t>b</w:t>
            </w:r>
          </w:p>
          <w:p w:rsidR="00C017A6" w:rsidRPr="00BE6117" w:rsidRDefault="00C017A6" w:rsidP="009A2ABA">
            <w:pPr>
              <w:autoSpaceDE w:val="0"/>
              <w:autoSpaceDN w:val="0"/>
              <w:adjustRightInd w:val="0"/>
              <w:spacing w:line="480" w:lineRule="auto"/>
              <w:rPr>
                <w:color w:val="000000"/>
              </w:rPr>
            </w:pPr>
            <w:r w:rsidRPr="00BE6117">
              <w:rPr>
                <w:color w:val="000000"/>
              </w:rPr>
              <w:t>choice reaction time</w:t>
            </w:r>
            <w:r w:rsidRPr="00BE6117">
              <w:rPr>
                <w:color w:val="000000"/>
                <w:vertAlign w:val="superscript"/>
              </w:rPr>
              <w:t>c</w:t>
            </w:r>
          </w:p>
          <w:p w:rsidR="00C017A6" w:rsidRPr="00BE6117" w:rsidRDefault="00C017A6" w:rsidP="009A2ABA">
            <w:pPr>
              <w:autoSpaceDE w:val="0"/>
              <w:autoSpaceDN w:val="0"/>
              <w:adjustRightInd w:val="0"/>
              <w:spacing w:line="480" w:lineRule="auto"/>
              <w:rPr>
                <w:color w:val="000000"/>
              </w:rPr>
            </w:pPr>
            <w:r w:rsidRPr="00BE6117">
              <w:rPr>
                <w:color w:val="000000"/>
              </w:rPr>
              <w:t>simple reaction time</w:t>
            </w:r>
            <w:r w:rsidRPr="00BE6117">
              <w:rPr>
                <w:color w:val="000000"/>
                <w:vertAlign w:val="superscript"/>
              </w:rPr>
              <w:t>c</w:t>
            </w:r>
          </w:p>
          <w:p w:rsidR="00C017A6" w:rsidRPr="00BE6117" w:rsidRDefault="00C017A6" w:rsidP="009A2ABA">
            <w:pPr>
              <w:autoSpaceDE w:val="0"/>
              <w:autoSpaceDN w:val="0"/>
              <w:adjustRightInd w:val="0"/>
              <w:spacing w:line="480" w:lineRule="auto"/>
              <w:rPr>
                <w:color w:val="000000"/>
              </w:rPr>
            </w:pPr>
            <w:r w:rsidRPr="00BE6117">
              <w:rPr>
                <w:color w:val="000000"/>
              </w:rPr>
              <w:t>attention tasks</w:t>
            </w:r>
            <w:r w:rsidRPr="00BE6117">
              <w:rPr>
                <w:color w:val="000000"/>
                <w:vertAlign w:val="superscript"/>
              </w:rPr>
              <w:t>c</w:t>
            </w:r>
          </w:p>
        </w:tc>
        <w:tc>
          <w:tcPr>
            <w:tcW w:w="1021" w:type="dxa"/>
            <w:shd w:val="clear" w:color="auto" w:fill="auto"/>
          </w:tcPr>
          <w:p w:rsidR="00C017A6" w:rsidRDefault="00C017A6" w:rsidP="009A2ABA">
            <w:pPr>
              <w:autoSpaceDE w:val="0"/>
              <w:autoSpaceDN w:val="0"/>
              <w:adjustRightInd w:val="0"/>
              <w:spacing w:line="480" w:lineRule="auto"/>
              <w:rPr>
                <w:color w:val="000000"/>
              </w:rPr>
            </w:pPr>
            <w:r>
              <w:rPr>
                <w:color w:val="000000"/>
              </w:rPr>
              <w:t>-0.10 (0.05)</w:t>
            </w:r>
            <w:r w:rsidRPr="00D50CEF">
              <w:rPr>
                <w:color w:val="000000"/>
                <w:vertAlign w:val="superscript"/>
              </w:rPr>
              <w:t>f</w:t>
            </w:r>
          </w:p>
          <w:p w:rsidR="00C017A6" w:rsidRDefault="00C017A6" w:rsidP="009A2ABA">
            <w:pPr>
              <w:autoSpaceDE w:val="0"/>
              <w:autoSpaceDN w:val="0"/>
              <w:adjustRightInd w:val="0"/>
              <w:spacing w:line="480" w:lineRule="auto"/>
              <w:rPr>
                <w:color w:val="000000"/>
              </w:rPr>
            </w:pPr>
          </w:p>
          <w:p w:rsidR="00C017A6" w:rsidRPr="00BE6117" w:rsidRDefault="00C017A6" w:rsidP="009A2ABA">
            <w:pPr>
              <w:autoSpaceDE w:val="0"/>
              <w:autoSpaceDN w:val="0"/>
              <w:adjustRightInd w:val="0"/>
              <w:spacing w:line="480" w:lineRule="auto"/>
              <w:rPr>
                <w:color w:val="000000"/>
              </w:rPr>
            </w:pPr>
            <w:r>
              <w:rPr>
                <w:color w:val="000000"/>
              </w:rPr>
              <w:t>-0.43 (0.25)</w:t>
            </w:r>
            <w:r w:rsidRPr="00D50CEF">
              <w:rPr>
                <w:color w:val="000000"/>
                <w:vertAlign w:val="superscript"/>
              </w:rPr>
              <w:t>g</w:t>
            </w:r>
          </w:p>
        </w:tc>
        <w:tc>
          <w:tcPr>
            <w:tcW w:w="1928" w:type="dxa"/>
            <w:shd w:val="clear" w:color="auto" w:fill="auto"/>
          </w:tcPr>
          <w:p w:rsidR="00C017A6" w:rsidRDefault="00C017A6" w:rsidP="009A2ABA">
            <w:pPr>
              <w:autoSpaceDE w:val="0"/>
              <w:autoSpaceDN w:val="0"/>
              <w:adjustRightInd w:val="0"/>
              <w:spacing w:line="480" w:lineRule="auto"/>
              <w:rPr>
                <w:color w:val="000000"/>
              </w:rPr>
            </w:pPr>
            <w:r>
              <w:rPr>
                <w:color w:val="000000"/>
              </w:rPr>
              <w:t>-0.19         -0.002</w:t>
            </w: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r>
              <w:rPr>
                <w:color w:val="000000"/>
              </w:rPr>
              <w:t>-0.91         0.06</w:t>
            </w:r>
          </w:p>
          <w:p w:rsidR="00C017A6" w:rsidRPr="00BE6117" w:rsidRDefault="00C017A6" w:rsidP="009A2ABA">
            <w:pPr>
              <w:autoSpaceDE w:val="0"/>
              <w:autoSpaceDN w:val="0"/>
              <w:adjustRightInd w:val="0"/>
              <w:spacing w:line="480" w:lineRule="auto"/>
              <w:rPr>
                <w:color w:val="000000"/>
              </w:rPr>
            </w:pPr>
          </w:p>
        </w:tc>
      </w:tr>
      <w:tr w:rsidR="00C017A6" w:rsidRPr="00BE6117" w:rsidTr="009A2ABA">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Wu et al. (1998)</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16</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66</w:t>
            </w:r>
            <w:r>
              <w:rPr>
                <w:color w:val="000000"/>
              </w:rPr>
              <w:t xml:space="preserve"> mmHg</w:t>
            </w:r>
            <w:r w:rsidRPr="00BE6117">
              <w:rPr>
                <w:color w:val="000000"/>
              </w:rPr>
              <w:t>: 60</w:t>
            </w:r>
            <w:r>
              <w:rPr>
                <w:color w:val="000000"/>
              </w:rPr>
              <w:t xml:space="preserve"> mmHg</w:t>
            </w:r>
            <w:r w:rsidRPr="00BE6117">
              <w:rPr>
                <w:color w:val="000000"/>
              </w:rPr>
              <w:t>:</w:t>
            </w:r>
            <w:r>
              <w:rPr>
                <w:color w:val="000000"/>
              </w:rPr>
              <w:t xml:space="preserve"> </w:t>
            </w:r>
            <w:r w:rsidRPr="00BE6117">
              <w:rPr>
                <w:color w:val="000000"/>
              </w:rPr>
              <w:t>5</w:t>
            </w:r>
            <w:r>
              <w:rPr>
                <w:color w:val="000000"/>
              </w:rPr>
              <w:t>4 mmHg</w:t>
            </w:r>
          </w:p>
          <w:p w:rsidR="00C017A6" w:rsidRPr="00BE6117" w:rsidRDefault="00C017A6" w:rsidP="009A2ABA">
            <w:pPr>
              <w:autoSpaceDE w:val="0"/>
              <w:autoSpaceDN w:val="0"/>
              <w:adjustRightInd w:val="0"/>
              <w:spacing w:line="480" w:lineRule="auto"/>
              <w:jc w:val="center"/>
              <w:rPr>
                <w:color w:val="000000"/>
              </w:rPr>
            </w:pP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normobaric</w:t>
            </w:r>
          </w:p>
        </w:tc>
        <w:tc>
          <w:tcPr>
            <w:tcW w:w="1745" w:type="dxa"/>
            <w:shd w:val="clear" w:color="auto" w:fill="auto"/>
          </w:tcPr>
          <w:p w:rsidR="00C017A6" w:rsidRPr="00BE6117" w:rsidRDefault="00C017A6" w:rsidP="009A2ABA">
            <w:pPr>
              <w:autoSpaceDE w:val="0"/>
              <w:autoSpaceDN w:val="0"/>
              <w:adjustRightInd w:val="0"/>
              <w:rPr>
                <w:color w:val="000000"/>
              </w:rPr>
            </w:pPr>
            <w:r w:rsidRPr="00BE6117">
              <w:rPr>
                <w:color w:val="000000"/>
              </w:rPr>
              <w:t>simple mathematics</w:t>
            </w:r>
            <w:r w:rsidRPr="00BE6117">
              <w:rPr>
                <w:color w:val="000000"/>
                <w:vertAlign w:val="superscript"/>
              </w:rPr>
              <w:t>c</w:t>
            </w:r>
          </w:p>
        </w:tc>
        <w:tc>
          <w:tcPr>
            <w:tcW w:w="1021" w:type="dxa"/>
            <w:shd w:val="clear" w:color="auto" w:fill="auto"/>
          </w:tcPr>
          <w:p w:rsidR="00C017A6" w:rsidRPr="00BE6117" w:rsidRDefault="00C017A6" w:rsidP="009A2ABA">
            <w:pPr>
              <w:autoSpaceDE w:val="0"/>
              <w:autoSpaceDN w:val="0"/>
              <w:adjustRightInd w:val="0"/>
              <w:spacing w:line="480" w:lineRule="auto"/>
              <w:rPr>
                <w:color w:val="000000"/>
              </w:rPr>
            </w:pPr>
            <w:r>
              <w:rPr>
                <w:color w:val="000000"/>
              </w:rPr>
              <w:t>-0.89 (0.11)</w:t>
            </w:r>
          </w:p>
        </w:tc>
        <w:tc>
          <w:tcPr>
            <w:tcW w:w="1928" w:type="dxa"/>
            <w:shd w:val="clear" w:color="auto" w:fill="auto"/>
          </w:tcPr>
          <w:p w:rsidR="00C017A6" w:rsidRPr="00BE6117" w:rsidRDefault="00C017A6" w:rsidP="009A2ABA">
            <w:pPr>
              <w:autoSpaceDE w:val="0"/>
              <w:autoSpaceDN w:val="0"/>
              <w:adjustRightInd w:val="0"/>
              <w:rPr>
                <w:color w:val="000000"/>
              </w:rPr>
            </w:pPr>
            <w:r>
              <w:rPr>
                <w:color w:val="000000"/>
              </w:rPr>
              <w:t>-1.11         -0.69</w:t>
            </w:r>
          </w:p>
        </w:tc>
      </w:tr>
      <w:tr w:rsidR="00C017A6" w:rsidRPr="00BE6117" w:rsidTr="009A2ABA">
        <w:trPr>
          <w:cnfStyle w:val="000000100000" w:firstRow="0" w:lastRow="0" w:firstColumn="0" w:lastColumn="0" w:oddVBand="0" w:evenVBand="0" w:oddHBand="1" w:evenHBand="0" w:firstRowFirstColumn="0" w:firstRowLastColumn="0" w:lastRowFirstColumn="0" w:lastRowLastColumn="0"/>
        </w:trPr>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Bonnon et al. (1999)</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7</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6</w:t>
            </w:r>
            <w:r>
              <w:rPr>
                <w:color w:val="000000"/>
              </w:rPr>
              <w:t>7 mmHg</w:t>
            </w:r>
            <w:r w:rsidRPr="00BE6117">
              <w:rPr>
                <w:color w:val="000000"/>
              </w:rPr>
              <w:t>: 5</w:t>
            </w:r>
            <w:r>
              <w:rPr>
                <w:color w:val="000000"/>
              </w:rPr>
              <w:t>1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hypobaric</w:t>
            </w:r>
          </w:p>
        </w:tc>
        <w:tc>
          <w:tcPr>
            <w:tcW w:w="1745" w:type="dxa"/>
            <w:shd w:val="clear" w:color="auto" w:fill="auto"/>
          </w:tcPr>
          <w:p w:rsidR="00C017A6" w:rsidRPr="00BE6117" w:rsidRDefault="00C017A6" w:rsidP="009A2ABA">
            <w:pPr>
              <w:autoSpaceDE w:val="0"/>
              <w:autoSpaceDN w:val="0"/>
              <w:adjustRightInd w:val="0"/>
              <w:rPr>
                <w:color w:val="000000"/>
              </w:rPr>
            </w:pPr>
            <w:r w:rsidRPr="00BE6117">
              <w:rPr>
                <w:color w:val="000000"/>
              </w:rPr>
              <w:t>attention task</w:t>
            </w:r>
            <w:r w:rsidRPr="00BE6117">
              <w:rPr>
                <w:color w:val="000000"/>
                <w:vertAlign w:val="superscript"/>
              </w:rPr>
              <w:t>c</w:t>
            </w:r>
          </w:p>
        </w:tc>
        <w:tc>
          <w:tcPr>
            <w:tcW w:w="1021" w:type="dxa"/>
            <w:shd w:val="clear" w:color="auto" w:fill="auto"/>
          </w:tcPr>
          <w:p w:rsidR="00C017A6" w:rsidRPr="00BE6117" w:rsidRDefault="00C017A6" w:rsidP="009A2ABA">
            <w:pPr>
              <w:autoSpaceDE w:val="0"/>
              <w:autoSpaceDN w:val="0"/>
              <w:adjustRightInd w:val="0"/>
              <w:spacing w:line="480" w:lineRule="auto"/>
              <w:rPr>
                <w:color w:val="000000"/>
              </w:rPr>
            </w:pPr>
            <w:r>
              <w:rPr>
                <w:color w:val="000000"/>
              </w:rPr>
              <w:t>-0.44 (0.23)</w:t>
            </w:r>
          </w:p>
        </w:tc>
        <w:tc>
          <w:tcPr>
            <w:tcW w:w="1928" w:type="dxa"/>
            <w:shd w:val="clear" w:color="auto" w:fill="auto"/>
          </w:tcPr>
          <w:p w:rsidR="00C017A6" w:rsidRPr="00BE6117" w:rsidRDefault="00C017A6" w:rsidP="009A2ABA">
            <w:pPr>
              <w:autoSpaceDE w:val="0"/>
              <w:autoSpaceDN w:val="0"/>
              <w:adjustRightInd w:val="0"/>
              <w:rPr>
                <w:color w:val="000000"/>
              </w:rPr>
            </w:pPr>
            <w:r>
              <w:rPr>
                <w:color w:val="000000"/>
              </w:rPr>
              <w:t>-0.90          0.01</w:t>
            </w:r>
          </w:p>
        </w:tc>
      </w:tr>
      <w:tr w:rsidR="00C017A6" w:rsidRPr="00BE6117" w:rsidTr="009A2ABA">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Singh et al. (2004)</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20</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Pr>
                <w:color w:val="000000"/>
              </w:rPr>
              <w:t>70 mmHg</w:t>
            </w:r>
            <w:r w:rsidRPr="00BE6117">
              <w:rPr>
                <w:color w:val="000000"/>
              </w:rPr>
              <w:t>: 61</w:t>
            </w:r>
            <w:r>
              <w:rPr>
                <w:color w:val="000000"/>
              </w:rPr>
              <w:t xml:space="preserve">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hypobaric</w:t>
            </w:r>
          </w:p>
        </w:tc>
        <w:tc>
          <w:tcPr>
            <w:tcW w:w="1745" w:type="dxa"/>
            <w:shd w:val="clear" w:color="auto" w:fill="auto"/>
          </w:tcPr>
          <w:p w:rsidR="00C017A6" w:rsidRPr="00BE6117" w:rsidRDefault="00C017A6" w:rsidP="009A2ABA">
            <w:pPr>
              <w:autoSpaceDE w:val="0"/>
              <w:autoSpaceDN w:val="0"/>
              <w:adjustRightInd w:val="0"/>
              <w:rPr>
                <w:color w:val="000000"/>
              </w:rPr>
            </w:pPr>
            <w:r w:rsidRPr="00BE6117">
              <w:rPr>
                <w:color w:val="000000"/>
              </w:rPr>
              <w:t>auditory oddball</w:t>
            </w:r>
            <w:r w:rsidRPr="00BE6117">
              <w:rPr>
                <w:color w:val="000000"/>
                <w:vertAlign w:val="superscript"/>
              </w:rPr>
              <w:t>b</w:t>
            </w:r>
          </w:p>
        </w:tc>
        <w:tc>
          <w:tcPr>
            <w:tcW w:w="1021" w:type="dxa"/>
            <w:shd w:val="clear" w:color="auto" w:fill="auto"/>
          </w:tcPr>
          <w:p w:rsidR="00C017A6" w:rsidRPr="00BE6117" w:rsidRDefault="00C017A6" w:rsidP="009A2ABA">
            <w:pPr>
              <w:autoSpaceDE w:val="0"/>
              <w:autoSpaceDN w:val="0"/>
              <w:adjustRightInd w:val="0"/>
              <w:spacing w:line="480" w:lineRule="auto"/>
              <w:rPr>
                <w:color w:val="000000"/>
              </w:rPr>
            </w:pPr>
            <w:r>
              <w:rPr>
                <w:color w:val="000000"/>
              </w:rPr>
              <w:t>-0.23 (0.15)</w:t>
            </w:r>
          </w:p>
        </w:tc>
        <w:tc>
          <w:tcPr>
            <w:tcW w:w="1928" w:type="dxa"/>
            <w:shd w:val="clear" w:color="auto" w:fill="auto"/>
          </w:tcPr>
          <w:p w:rsidR="00C017A6" w:rsidRPr="00BE6117" w:rsidRDefault="00C017A6" w:rsidP="009A2ABA">
            <w:pPr>
              <w:autoSpaceDE w:val="0"/>
              <w:autoSpaceDN w:val="0"/>
              <w:adjustRightInd w:val="0"/>
              <w:rPr>
                <w:color w:val="000000"/>
              </w:rPr>
            </w:pPr>
            <w:r>
              <w:rPr>
                <w:color w:val="000000"/>
              </w:rPr>
              <w:t>-0.53           0.08</w:t>
            </w:r>
          </w:p>
        </w:tc>
      </w:tr>
      <w:tr w:rsidR="00C017A6" w:rsidRPr="00BE6117" w:rsidTr="009A2ABA">
        <w:trPr>
          <w:cnfStyle w:val="000000100000" w:firstRow="0" w:lastRow="0" w:firstColumn="0" w:lastColumn="0" w:oddVBand="0" w:evenVBand="0" w:oddHBand="1" w:evenHBand="0" w:firstRowFirstColumn="0" w:firstRowLastColumn="0" w:lastRowFirstColumn="0" w:lastRowLastColumn="0"/>
        </w:trPr>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lastRenderedPageBreak/>
              <w:t>Pavlicek et al. (2005)</w:t>
            </w:r>
          </w:p>
          <w:p w:rsidR="00C017A6" w:rsidRPr="00BE6117" w:rsidRDefault="00C017A6" w:rsidP="009A2ABA">
            <w:pPr>
              <w:autoSpaceDE w:val="0"/>
              <w:autoSpaceDN w:val="0"/>
              <w:adjustRightInd w:val="0"/>
              <w:spacing w:line="480" w:lineRule="auto"/>
              <w:rPr>
                <w:color w:val="000000"/>
              </w:rPr>
            </w:pPr>
            <w:r w:rsidRPr="00BE6117">
              <w:rPr>
                <w:color w:val="000000"/>
              </w:rPr>
              <w:t>Group 1</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7</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8</w:t>
            </w:r>
            <w:r>
              <w:rPr>
                <w:color w:val="000000"/>
              </w:rPr>
              <w:t>7 mmHg</w:t>
            </w:r>
            <w:r w:rsidRPr="00BE6117">
              <w:rPr>
                <w:color w:val="000000"/>
              </w:rPr>
              <w:t xml:space="preserve">: </w:t>
            </w:r>
            <w:r>
              <w:rPr>
                <w:color w:val="000000"/>
              </w:rPr>
              <w:t>59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normobaric</w:t>
            </w:r>
          </w:p>
        </w:tc>
        <w:tc>
          <w:tcPr>
            <w:tcW w:w="1745" w:type="dxa"/>
            <w:shd w:val="clear" w:color="auto" w:fill="auto"/>
          </w:tcPr>
          <w:p w:rsidR="00C017A6" w:rsidRPr="00BE6117" w:rsidRDefault="00C017A6" w:rsidP="009A2ABA">
            <w:pPr>
              <w:autoSpaceDE w:val="0"/>
              <w:autoSpaceDN w:val="0"/>
              <w:adjustRightInd w:val="0"/>
              <w:rPr>
                <w:color w:val="000000"/>
              </w:rPr>
            </w:pPr>
            <w:r w:rsidRPr="00BE6117">
              <w:rPr>
                <w:color w:val="000000"/>
              </w:rPr>
              <w:t>word generation</w:t>
            </w:r>
            <w:r w:rsidRPr="00BE6117">
              <w:rPr>
                <w:color w:val="000000"/>
                <w:vertAlign w:val="superscript"/>
              </w:rPr>
              <w:t>c</w:t>
            </w:r>
          </w:p>
        </w:tc>
        <w:tc>
          <w:tcPr>
            <w:tcW w:w="1021" w:type="dxa"/>
            <w:shd w:val="clear" w:color="auto" w:fill="auto"/>
          </w:tcPr>
          <w:p w:rsidR="00C017A6" w:rsidRPr="00BE6117" w:rsidRDefault="00C017A6" w:rsidP="009A2ABA">
            <w:pPr>
              <w:autoSpaceDE w:val="0"/>
              <w:autoSpaceDN w:val="0"/>
              <w:adjustRightInd w:val="0"/>
              <w:spacing w:line="480" w:lineRule="auto"/>
              <w:rPr>
                <w:color w:val="000000"/>
              </w:rPr>
            </w:pPr>
            <w:r>
              <w:rPr>
                <w:color w:val="000000"/>
              </w:rPr>
              <w:t>0.55 (0.87)</w:t>
            </w:r>
          </w:p>
        </w:tc>
        <w:tc>
          <w:tcPr>
            <w:tcW w:w="1928" w:type="dxa"/>
            <w:shd w:val="clear" w:color="auto" w:fill="auto"/>
          </w:tcPr>
          <w:p w:rsidR="00C017A6" w:rsidRPr="00BE6117" w:rsidRDefault="00C017A6" w:rsidP="009A2ABA">
            <w:pPr>
              <w:autoSpaceDE w:val="0"/>
              <w:autoSpaceDN w:val="0"/>
              <w:adjustRightInd w:val="0"/>
              <w:rPr>
                <w:color w:val="000000"/>
              </w:rPr>
            </w:pPr>
            <w:r>
              <w:rPr>
                <w:color w:val="000000"/>
              </w:rPr>
              <w:t>-1.15          2.25</w:t>
            </w:r>
          </w:p>
        </w:tc>
      </w:tr>
      <w:tr w:rsidR="00C017A6" w:rsidRPr="00BE6117" w:rsidTr="009A2ABA">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Pavlicek et al. (2005)</w:t>
            </w:r>
          </w:p>
          <w:p w:rsidR="00C017A6" w:rsidRPr="00BE6117" w:rsidRDefault="00C017A6" w:rsidP="009A2ABA">
            <w:pPr>
              <w:autoSpaceDE w:val="0"/>
              <w:autoSpaceDN w:val="0"/>
              <w:adjustRightInd w:val="0"/>
              <w:spacing w:line="480" w:lineRule="auto"/>
              <w:rPr>
                <w:color w:val="000000"/>
              </w:rPr>
            </w:pPr>
            <w:r w:rsidRPr="00BE6117">
              <w:rPr>
                <w:color w:val="000000"/>
              </w:rPr>
              <w:t>Group 2</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7</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8</w:t>
            </w:r>
            <w:r>
              <w:rPr>
                <w:color w:val="000000"/>
              </w:rPr>
              <w:t>7 mmHg</w:t>
            </w:r>
            <w:r w:rsidRPr="00BE6117">
              <w:rPr>
                <w:color w:val="000000"/>
              </w:rPr>
              <w:t>: 7</w:t>
            </w:r>
            <w:r>
              <w:rPr>
                <w:color w:val="000000"/>
              </w:rPr>
              <w:t>2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normobaric</w:t>
            </w:r>
          </w:p>
        </w:tc>
        <w:tc>
          <w:tcPr>
            <w:tcW w:w="1745" w:type="dxa"/>
            <w:shd w:val="clear" w:color="auto" w:fill="auto"/>
          </w:tcPr>
          <w:p w:rsidR="00C017A6" w:rsidRPr="00BE6117" w:rsidRDefault="00C017A6" w:rsidP="009A2ABA">
            <w:pPr>
              <w:autoSpaceDE w:val="0"/>
              <w:autoSpaceDN w:val="0"/>
              <w:adjustRightInd w:val="0"/>
              <w:rPr>
                <w:color w:val="000000"/>
              </w:rPr>
            </w:pPr>
            <w:r w:rsidRPr="00BE6117">
              <w:rPr>
                <w:color w:val="000000"/>
              </w:rPr>
              <w:t>word generation</w:t>
            </w:r>
            <w:r w:rsidRPr="00BE6117">
              <w:rPr>
                <w:color w:val="000000"/>
                <w:vertAlign w:val="superscript"/>
              </w:rPr>
              <w:t>c</w:t>
            </w:r>
          </w:p>
        </w:tc>
        <w:tc>
          <w:tcPr>
            <w:tcW w:w="1021" w:type="dxa"/>
            <w:shd w:val="clear" w:color="auto" w:fill="auto"/>
          </w:tcPr>
          <w:p w:rsidR="00C017A6" w:rsidRPr="00BE6117" w:rsidRDefault="00C017A6" w:rsidP="009A2ABA">
            <w:pPr>
              <w:autoSpaceDE w:val="0"/>
              <w:autoSpaceDN w:val="0"/>
              <w:adjustRightInd w:val="0"/>
              <w:spacing w:line="480" w:lineRule="auto"/>
              <w:rPr>
                <w:color w:val="000000"/>
              </w:rPr>
            </w:pPr>
            <w:r>
              <w:rPr>
                <w:color w:val="000000"/>
              </w:rPr>
              <w:t>0.81 (0.89)</w:t>
            </w:r>
          </w:p>
        </w:tc>
        <w:tc>
          <w:tcPr>
            <w:tcW w:w="1928" w:type="dxa"/>
            <w:shd w:val="clear" w:color="auto" w:fill="auto"/>
          </w:tcPr>
          <w:p w:rsidR="00C017A6" w:rsidRPr="00BE6117" w:rsidRDefault="00C017A6" w:rsidP="009A2ABA">
            <w:pPr>
              <w:autoSpaceDE w:val="0"/>
              <w:autoSpaceDN w:val="0"/>
              <w:adjustRightInd w:val="0"/>
              <w:rPr>
                <w:color w:val="000000"/>
              </w:rPr>
            </w:pPr>
            <w:r>
              <w:rPr>
                <w:color w:val="000000"/>
              </w:rPr>
              <w:t>-0.94         2.55</w:t>
            </w:r>
          </w:p>
        </w:tc>
      </w:tr>
      <w:tr w:rsidR="00C017A6" w:rsidRPr="00BE6117" w:rsidTr="009A2ABA">
        <w:trPr>
          <w:cnfStyle w:val="000000100000" w:firstRow="0" w:lastRow="0" w:firstColumn="0" w:lastColumn="0" w:oddVBand="0" w:evenVBand="0" w:oddHBand="1" w:evenHBand="0" w:firstRowFirstColumn="0" w:firstRowLastColumn="0" w:lastRowFirstColumn="0" w:lastRowLastColumn="0"/>
        </w:trPr>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Hayashi et al. (200</w:t>
            </w:r>
            <w:r>
              <w:rPr>
                <w:color w:val="000000"/>
              </w:rPr>
              <w:t>5</w:t>
            </w:r>
            <w:r w:rsidRPr="00BE6117">
              <w:rPr>
                <w:color w:val="000000"/>
              </w:rPr>
              <w:t>)</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17</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6</w:t>
            </w:r>
            <w:r>
              <w:rPr>
                <w:color w:val="000000"/>
              </w:rPr>
              <w:t>0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normobaric</w:t>
            </w:r>
          </w:p>
        </w:tc>
        <w:tc>
          <w:tcPr>
            <w:tcW w:w="1745" w:type="dxa"/>
            <w:shd w:val="clear" w:color="auto" w:fill="auto"/>
          </w:tcPr>
          <w:p w:rsidR="00C017A6" w:rsidRPr="00BE6117" w:rsidRDefault="00C017A6" w:rsidP="009A2ABA">
            <w:pPr>
              <w:autoSpaceDE w:val="0"/>
              <w:autoSpaceDN w:val="0"/>
              <w:adjustRightInd w:val="0"/>
              <w:rPr>
                <w:color w:val="000000"/>
              </w:rPr>
            </w:pPr>
            <w:r w:rsidRPr="00BE6117">
              <w:rPr>
                <w:color w:val="000000"/>
              </w:rPr>
              <w:t>auditory oddball</w:t>
            </w:r>
            <w:r w:rsidRPr="00BE6117">
              <w:rPr>
                <w:color w:val="000000"/>
                <w:vertAlign w:val="superscript"/>
              </w:rPr>
              <w:t>b</w:t>
            </w:r>
          </w:p>
        </w:tc>
        <w:tc>
          <w:tcPr>
            <w:tcW w:w="1021" w:type="dxa"/>
            <w:shd w:val="clear" w:color="auto" w:fill="auto"/>
          </w:tcPr>
          <w:p w:rsidR="00C017A6" w:rsidRPr="00BE6117" w:rsidRDefault="00C017A6" w:rsidP="009A2ABA">
            <w:pPr>
              <w:autoSpaceDE w:val="0"/>
              <w:autoSpaceDN w:val="0"/>
              <w:adjustRightInd w:val="0"/>
              <w:spacing w:line="480" w:lineRule="auto"/>
              <w:rPr>
                <w:color w:val="000000"/>
              </w:rPr>
            </w:pPr>
            <w:r>
              <w:rPr>
                <w:color w:val="000000"/>
              </w:rPr>
              <w:t>-0.50 (0.07)</w:t>
            </w:r>
          </w:p>
        </w:tc>
        <w:tc>
          <w:tcPr>
            <w:tcW w:w="1928" w:type="dxa"/>
            <w:shd w:val="clear" w:color="auto" w:fill="auto"/>
          </w:tcPr>
          <w:p w:rsidR="00C017A6" w:rsidRPr="00BE6117" w:rsidRDefault="00C017A6" w:rsidP="009A2ABA">
            <w:pPr>
              <w:autoSpaceDE w:val="0"/>
              <w:autoSpaceDN w:val="0"/>
              <w:adjustRightInd w:val="0"/>
              <w:rPr>
                <w:color w:val="000000"/>
              </w:rPr>
            </w:pPr>
            <w:r>
              <w:rPr>
                <w:color w:val="000000"/>
              </w:rPr>
              <w:t>-0.63         -0.37</w:t>
            </w:r>
          </w:p>
        </w:tc>
      </w:tr>
      <w:tr w:rsidR="00C017A6" w:rsidRPr="00BE6117" w:rsidTr="009A2ABA">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Tsarouchas et al. (2008)</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10</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58</w:t>
            </w:r>
            <w:r>
              <w:rPr>
                <w:color w:val="000000"/>
              </w:rPr>
              <w:t xml:space="preserve">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normobaric</w:t>
            </w:r>
          </w:p>
        </w:tc>
        <w:tc>
          <w:tcPr>
            <w:tcW w:w="1745" w:type="dxa"/>
            <w:shd w:val="clear" w:color="auto" w:fill="auto"/>
          </w:tcPr>
          <w:p w:rsidR="00C017A6" w:rsidRPr="00BE6117" w:rsidRDefault="00C017A6" w:rsidP="009A2ABA">
            <w:pPr>
              <w:autoSpaceDE w:val="0"/>
              <w:autoSpaceDN w:val="0"/>
              <w:adjustRightInd w:val="0"/>
              <w:rPr>
                <w:color w:val="000000"/>
              </w:rPr>
            </w:pPr>
            <w:r w:rsidRPr="00BE6117">
              <w:rPr>
                <w:color w:val="000000"/>
              </w:rPr>
              <w:t>go/no go</w:t>
            </w:r>
            <w:r w:rsidRPr="00BE6117">
              <w:rPr>
                <w:color w:val="000000"/>
                <w:vertAlign w:val="superscript"/>
              </w:rPr>
              <w:t>b</w:t>
            </w:r>
          </w:p>
        </w:tc>
        <w:tc>
          <w:tcPr>
            <w:tcW w:w="1021" w:type="dxa"/>
            <w:shd w:val="clear" w:color="auto" w:fill="auto"/>
          </w:tcPr>
          <w:p w:rsidR="00C017A6" w:rsidRPr="00BE6117" w:rsidRDefault="00C017A6" w:rsidP="009A2ABA">
            <w:pPr>
              <w:autoSpaceDE w:val="0"/>
              <w:autoSpaceDN w:val="0"/>
              <w:adjustRightInd w:val="0"/>
              <w:spacing w:line="480" w:lineRule="auto"/>
              <w:rPr>
                <w:color w:val="000000"/>
              </w:rPr>
            </w:pPr>
            <w:r>
              <w:rPr>
                <w:color w:val="000000"/>
              </w:rPr>
              <w:t>-0.41 (0.14)</w:t>
            </w:r>
          </w:p>
        </w:tc>
        <w:tc>
          <w:tcPr>
            <w:tcW w:w="1928" w:type="dxa"/>
            <w:shd w:val="clear" w:color="auto" w:fill="auto"/>
          </w:tcPr>
          <w:p w:rsidR="00C017A6" w:rsidRPr="00BE6117" w:rsidRDefault="00C017A6" w:rsidP="009A2ABA">
            <w:pPr>
              <w:autoSpaceDE w:val="0"/>
              <w:autoSpaceDN w:val="0"/>
              <w:adjustRightInd w:val="0"/>
              <w:rPr>
                <w:color w:val="000000"/>
              </w:rPr>
            </w:pPr>
            <w:r>
              <w:rPr>
                <w:color w:val="000000"/>
              </w:rPr>
              <w:t>-0.69          -0.14</w:t>
            </w:r>
          </w:p>
        </w:tc>
      </w:tr>
      <w:tr w:rsidR="00C017A6" w:rsidRPr="00BE6117" w:rsidTr="009A2ABA">
        <w:trPr>
          <w:cnfStyle w:val="000000100000" w:firstRow="0" w:lastRow="0" w:firstColumn="0" w:lastColumn="0" w:oddVBand="0" w:evenVBand="0" w:oddHBand="1" w:evenHBand="0" w:firstRowFirstColumn="0" w:firstRowLastColumn="0" w:lastRowFirstColumn="0" w:lastRowLastColumn="0"/>
        </w:trPr>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Li et al. (2012)</w:t>
            </w:r>
          </w:p>
          <w:p w:rsidR="00C017A6" w:rsidRPr="00BE6117" w:rsidRDefault="00C017A6" w:rsidP="009A2ABA">
            <w:pPr>
              <w:autoSpaceDE w:val="0"/>
              <w:autoSpaceDN w:val="0"/>
              <w:adjustRightInd w:val="0"/>
              <w:spacing w:line="480" w:lineRule="auto"/>
              <w:rPr>
                <w:color w:val="000000"/>
              </w:rPr>
            </w:pPr>
            <w:r w:rsidRPr="00BE6117">
              <w:rPr>
                <w:color w:val="000000"/>
              </w:rPr>
              <w:t>Group 1</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54</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63</w:t>
            </w:r>
            <w:r>
              <w:rPr>
                <w:color w:val="000000"/>
              </w:rPr>
              <w:t xml:space="preserve">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hypobaric</w:t>
            </w:r>
          </w:p>
        </w:tc>
        <w:tc>
          <w:tcPr>
            <w:tcW w:w="1745"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visual choice reaction time</w:t>
            </w:r>
            <w:r w:rsidRPr="00BE6117">
              <w:rPr>
                <w:color w:val="000000"/>
                <w:vertAlign w:val="superscript"/>
              </w:rPr>
              <w:t>c</w:t>
            </w:r>
          </w:p>
          <w:p w:rsidR="00C017A6" w:rsidRDefault="00C017A6" w:rsidP="009A2ABA">
            <w:pPr>
              <w:autoSpaceDE w:val="0"/>
              <w:autoSpaceDN w:val="0"/>
              <w:adjustRightInd w:val="0"/>
              <w:spacing w:line="480" w:lineRule="auto"/>
              <w:rPr>
                <w:color w:val="000000"/>
                <w:vertAlign w:val="superscript"/>
              </w:rPr>
            </w:pPr>
            <w:r w:rsidRPr="00BE6117">
              <w:rPr>
                <w:color w:val="000000"/>
              </w:rPr>
              <w:t>auditory choice reaction time</w:t>
            </w:r>
            <w:r w:rsidRPr="00BE6117">
              <w:rPr>
                <w:color w:val="000000"/>
                <w:vertAlign w:val="superscript"/>
              </w:rPr>
              <w:t>c</w:t>
            </w:r>
          </w:p>
          <w:p w:rsidR="00C017A6" w:rsidRPr="00BE6117" w:rsidRDefault="00C017A6" w:rsidP="009A2ABA">
            <w:pPr>
              <w:autoSpaceDE w:val="0"/>
              <w:autoSpaceDN w:val="0"/>
              <w:adjustRightInd w:val="0"/>
              <w:spacing w:line="480" w:lineRule="auto"/>
              <w:rPr>
                <w:color w:val="000000"/>
              </w:rPr>
            </w:pPr>
            <w:r w:rsidRPr="00BE6117">
              <w:rPr>
                <w:color w:val="000000"/>
              </w:rPr>
              <w:t>pursuit aiming</w:t>
            </w:r>
            <w:r w:rsidRPr="00BE6117">
              <w:rPr>
                <w:color w:val="000000"/>
                <w:vertAlign w:val="superscript"/>
              </w:rPr>
              <w:t>c</w:t>
            </w:r>
          </w:p>
          <w:p w:rsidR="00C017A6" w:rsidRPr="00BE6117" w:rsidRDefault="00C017A6" w:rsidP="009A2ABA">
            <w:pPr>
              <w:autoSpaceDE w:val="0"/>
              <w:autoSpaceDN w:val="0"/>
              <w:adjustRightInd w:val="0"/>
              <w:spacing w:line="480" w:lineRule="auto"/>
              <w:rPr>
                <w:color w:val="000000"/>
              </w:rPr>
            </w:pPr>
            <w:r w:rsidRPr="00BE6117">
              <w:rPr>
                <w:color w:val="000000"/>
              </w:rPr>
              <w:t>forward digit recall</w:t>
            </w:r>
            <w:r w:rsidRPr="00BE6117">
              <w:rPr>
                <w:color w:val="000000"/>
                <w:vertAlign w:val="superscript"/>
              </w:rPr>
              <w:t>d</w:t>
            </w:r>
          </w:p>
          <w:p w:rsidR="00C017A6" w:rsidRPr="00BE6117" w:rsidRDefault="00C017A6" w:rsidP="009A2ABA">
            <w:pPr>
              <w:autoSpaceDE w:val="0"/>
              <w:autoSpaceDN w:val="0"/>
              <w:adjustRightInd w:val="0"/>
              <w:spacing w:line="480" w:lineRule="auto"/>
              <w:rPr>
                <w:color w:val="000000"/>
              </w:rPr>
            </w:pPr>
            <w:r w:rsidRPr="00BE6117">
              <w:rPr>
                <w:color w:val="000000"/>
              </w:rPr>
              <w:t>backward digit recall</w:t>
            </w:r>
            <w:r w:rsidRPr="00BE6117">
              <w:rPr>
                <w:color w:val="000000"/>
                <w:vertAlign w:val="superscript"/>
              </w:rPr>
              <w:t>d</w:t>
            </w:r>
          </w:p>
          <w:p w:rsidR="00C017A6" w:rsidRPr="00BE6117" w:rsidRDefault="00C017A6" w:rsidP="009A2ABA">
            <w:pPr>
              <w:autoSpaceDE w:val="0"/>
              <w:autoSpaceDN w:val="0"/>
              <w:adjustRightInd w:val="0"/>
              <w:spacing w:line="480" w:lineRule="auto"/>
              <w:rPr>
                <w:color w:val="000000"/>
              </w:rPr>
            </w:pPr>
            <w:r w:rsidRPr="00BE6117">
              <w:rPr>
                <w:color w:val="000000"/>
              </w:rPr>
              <w:t>Benton visual retention test</w:t>
            </w:r>
            <w:r w:rsidRPr="00BE6117">
              <w:rPr>
                <w:color w:val="000000"/>
                <w:vertAlign w:val="superscript"/>
              </w:rPr>
              <w:t>d</w:t>
            </w:r>
          </w:p>
        </w:tc>
        <w:tc>
          <w:tcPr>
            <w:tcW w:w="1021" w:type="dxa"/>
            <w:shd w:val="clear" w:color="auto" w:fill="auto"/>
          </w:tcPr>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r>
              <w:rPr>
                <w:color w:val="000000"/>
              </w:rPr>
              <w:t>-0.65 (0.02)</w:t>
            </w:r>
            <w:r w:rsidRPr="00D50CEF">
              <w:rPr>
                <w:color w:val="000000"/>
                <w:vertAlign w:val="superscript"/>
              </w:rPr>
              <w:t>g</w:t>
            </w: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r>
              <w:rPr>
                <w:color w:val="000000"/>
              </w:rPr>
              <w:t>-0.24 (0.01)</w:t>
            </w:r>
            <w:r w:rsidRPr="00D50CEF">
              <w:rPr>
                <w:color w:val="000000"/>
                <w:vertAlign w:val="superscript"/>
              </w:rPr>
              <w:t>h</w:t>
            </w:r>
          </w:p>
          <w:p w:rsidR="00C017A6" w:rsidRDefault="00C017A6" w:rsidP="009A2ABA">
            <w:pPr>
              <w:autoSpaceDE w:val="0"/>
              <w:autoSpaceDN w:val="0"/>
              <w:adjustRightInd w:val="0"/>
              <w:spacing w:line="480" w:lineRule="auto"/>
              <w:rPr>
                <w:color w:val="000000"/>
              </w:rPr>
            </w:pPr>
          </w:p>
          <w:p w:rsidR="00C017A6" w:rsidRPr="00BE6117" w:rsidRDefault="00C017A6" w:rsidP="009A2ABA">
            <w:pPr>
              <w:autoSpaceDE w:val="0"/>
              <w:autoSpaceDN w:val="0"/>
              <w:adjustRightInd w:val="0"/>
              <w:rPr>
                <w:color w:val="000000"/>
              </w:rPr>
            </w:pPr>
          </w:p>
        </w:tc>
        <w:tc>
          <w:tcPr>
            <w:tcW w:w="1928" w:type="dxa"/>
            <w:shd w:val="clear" w:color="auto" w:fill="auto"/>
          </w:tcPr>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r>
              <w:rPr>
                <w:color w:val="000000"/>
              </w:rPr>
              <w:t>-0.68          -0.62</w:t>
            </w: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r>
              <w:rPr>
                <w:color w:val="000000"/>
              </w:rPr>
              <w:t>-0.26         -0.23</w:t>
            </w:r>
          </w:p>
          <w:p w:rsidR="00C017A6" w:rsidRPr="00BE6117" w:rsidRDefault="00C017A6" w:rsidP="009A2ABA">
            <w:pPr>
              <w:autoSpaceDE w:val="0"/>
              <w:autoSpaceDN w:val="0"/>
              <w:adjustRightInd w:val="0"/>
              <w:rPr>
                <w:color w:val="000000"/>
              </w:rPr>
            </w:pPr>
          </w:p>
        </w:tc>
      </w:tr>
      <w:tr w:rsidR="00C017A6" w:rsidRPr="00BE6117" w:rsidTr="009A2ABA">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Li et al. (2012)</w:t>
            </w:r>
          </w:p>
          <w:p w:rsidR="00C017A6" w:rsidRPr="00BE6117" w:rsidRDefault="00C017A6" w:rsidP="009A2ABA">
            <w:pPr>
              <w:autoSpaceDE w:val="0"/>
              <w:autoSpaceDN w:val="0"/>
              <w:adjustRightInd w:val="0"/>
              <w:spacing w:line="480" w:lineRule="auto"/>
              <w:rPr>
                <w:color w:val="000000"/>
              </w:rPr>
            </w:pPr>
            <w:r w:rsidRPr="00BE6117">
              <w:rPr>
                <w:color w:val="000000"/>
              </w:rPr>
              <w:lastRenderedPageBreak/>
              <w:t>Group 2</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lastRenderedPageBreak/>
              <w:t>51</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63</w:t>
            </w:r>
            <w:r>
              <w:rPr>
                <w:color w:val="000000"/>
              </w:rPr>
              <w:t xml:space="preserve">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hypobaric</w:t>
            </w:r>
          </w:p>
        </w:tc>
        <w:tc>
          <w:tcPr>
            <w:tcW w:w="1745"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visual choice reaction time</w:t>
            </w:r>
            <w:r w:rsidRPr="00BE6117">
              <w:rPr>
                <w:color w:val="000000"/>
                <w:vertAlign w:val="superscript"/>
              </w:rPr>
              <w:t>c</w:t>
            </w:r>
          </w:p>
          <w:p w:rsidR="00C017A6" w:rsidRDefault="00C017A6" w:rsidP="009A2ABA">
            <w:pPr>
              <w:autoSpaceDE w:val="0"/>
              <w:autoSpaceDN w:val="0"/>
              <w:adjustRightInd w:val="0"/>
              <w:spacing w:line="480" w:lineRule="auto"/>
              <w:rPr>
                <w:color w:val="000000"/>
                <w:vertAlign w:val="superscript"/>
              </w:rPr>
            </w:pPr>
            <w:r w:rsidRPr="00BE6117">
              <w:rPr>
                <w:color w:val="000000"/>
              </w:rPr>
              <w:lastRenderedPageBreak/>
              <w:t>auditory choice reaction time</w:t>
            </w:r>
            <w:r w:rsidRPr="00BE6117">
              <w:rPr>
                <w:color w:val="000000"/>
                <w:vertAlign w:val="superscript"/>
              </w:rPr>
              <w:t>c</w:t>
            </w:r>
          </w:p>
          <w:p w:rsidR="00C017A6" w:rsidRPr="00BE6117" w:rsidRDefault="00C017A6" w:rsidP="009A2ABA">
            <w:pPr>
              <w:autoSpaceDE w:val="0"/>
              <w:autoSpaceDN w:val="0"/>
              <w:adjustRightInd w:val="0"/>
              <w:spacing w:line="480" w:lineRule="auto"/>
              <w:rPr>
                <w:color w:val="000000"/>
              </w:rPr>
            </w:pPr>
            <w:r w:rsidRPr="00BE6117">
              <w:rPr>
                <w:color w:val="000000"/>
              </w:rPr>
              <w:t>pursuit aiming</w:t>
            </w:r>
            <w:r w:rsidRPr="00C60883">
              <w:rPr>
                <w:color w:val="000000"/>
                <w:vertAlign w:val="superscript"/>
              </w:rPr>
              <w:t>c</w:t>
            </w:r>
          </w:p>
          <w:p w:rsidR="00C017A6" w:rsidRPr="00BE6117" w:rsidRDefault="00C017A6" w:rsidP="009A2ABA">
            <w:pPr>
              <w:autoSpaceDE w:val="0"/>
              <w:autoSpaceDN w:val="0"/>
              <w:adjustRightInd w:val="0"/>
              <w:spacing w:line="480" w:lineRule="auto"/>
              <w:rPr>
                <w:color w:val="000000"/>
              </w:rPr>
            </w:pPr>
            <w:r w:rsidRPr="00BE6117">
              <w:rPr>
                <w:color w:val="000000"/>
              </w:rPr>
              <w:t>forward digit recall</w:t>
            </w:r>
            <w:r w:rsidRPr="00BE6117">
              <w:rPr>
                <w:color w:val="000000"/>
                <w:vertAlign w:val="superscript"/>
              </w:rPr>
              <w:t>d</w:t>
            </w:r>
          </w:p>
          <w:p w:rsidR="00C017A6" w:rsidRPr="00BE6117" w:rsidRDefault="00C017A6" w:rsidP="009A2ABA">
            <w:pPr>
              <w:autoSpaceDE w:val="0"/>
              <w:autoSpaceDN w:val="0"/>
              <w:adjustRightInd w:val="0"/>
              <w:spacing w:line="480" w:lineRule="auto"/>
              <w:rPr>
                <w:color w:val="000000"/>
              </w:rPr>
            </w:pPr>
            <w:r w:rsidRPr="00BE6117">
              <w:rPr>
                <w:color w:val="000000"/>
              </w:rPr>
              <w:t>backward digit recall</w:t>
            </w:r>
            <w:r w:rsidRPr="00295E45">
              <w:rPr>
                <w:color w:val="000000"/>
                <w:vertAlign w:val="superscript"/>
              </w:rPr>
              <w:t>d</w:t>
            </w:r>
          </w:p>
          <w:p w:rsidR="00C017A6" w:rsidRPr="00BE6117" w:rsidRDefault="00C017A6" w:rsidP="009A2ABA">
            <w:pPr>
              <w:autoSpaceDE w:val="0"/>
              <w:autoSpaceDN w:val="0"/>
              <w:adjustRightInd w:val="0"/>
              <w:spacing w:line="480" w:lineRule="auto"/>
              <w:rPr>
                <w:color w:val="000000"/>
              </w:rPr>
            </w:pPr>
            <w:r w:rsidRPr="00BE6117">
              <w:rPr>
                <w:color w:val="000000"/>
              </w:rPr>
              <w:t>Benton visual retention test</w:t>
            </w:r>
            <w:r w:rsidRPr="00BE6117">
              <w:rPr>
                <w:color w:val="000000"/>
                <w:vertAlign w:val="superscript"/>
              </w:rPr>
              <w:t>d</w:t>
            </w:r>
          </w:p>
          <w:p w:rsidR="00C017A6" w:rsidRPr="00BE6117" w:rsidRDefault="00C017A6" w:rsidP="009A2ABA">
            <w:pPr>
              <w:autoSpaceDE w:val="0"/>
              <w:autoSpaceDN w:val="0"/>
              <w:adjustRightInd w:val="0"/>
              <w:spacing w:line="480" w:lineRule="auto"/>
              <w:rPr>
                <w:color w:val="000000"/>
              </w:rPr>
            </w:pPr>
          </w:p>
        </w:tc>
        <w:tc>
          <w:tcPr>
            <w:tcW w:w="1021" w:type="dxa"/>
            <w:shd w:val="clear" w:color="auto" w:fill="auto"/>
          </w:tcPr>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r>
              <w:rPr>
                <w:color w:val="000000"/>
              </w:rPr>
              <w:lastRenderedPageBreak/>
              <w:t>-0.29 (0.02)</w:t>
            </w:r>
            <w:r w:rsidRPr="00D50CEF">
              <w:rPr>
                <w:color w:val="000000"/>
                <w:vertAlign w:val="superscript"/>
              </w:rPr>
              <w:t>g</w:t>
            </w: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r>
              <w:rPr>
                <w:color w:val="000000"/>
              </w:rPr>
              <w:t>-0.26 (0.01)</w:t>
            </w:r>
            <w:r w:rsidRPr="00D50CEF">
              <w:rPr>
                <w:color w:val="000000"/>
                <w:vertAlign w:val="superscript"/>
              </w:rPr>
              <w:t>h</w:t>
            </w:r>
          </w:p>
          <w:p w:rsidR="00C017A6" w:rsidRDefault="00C017A6" w:rsidP="009A2ABA">
            <w:pPr>
              <w:autoSpaceDE w:val="0"/>
              <w:autoSpaceDN w:val="0"/>
              <w:adjustRightInd w:val="0"/>
              <w:spacing w:line="480" w:lineRule="auto"/>
              <w:rPr>
                <w:color w:val="000000"/>
              </w:rPr>
            </w:pPr>
          </w:p>
          <w:p w:rsidR="00C017A6" w:rsidRPr="00BE6117" w:rsidRDefault="00C017A6" w:rsidP="009A2ABA">
            <w:pPr>
              <w:autoSpaceDE w:val="0"/>
              <w:autoSpaceDN w:val="0"/>
              <w:adjustRightInd w:val="0"/>
              <w:rPr>
                <w:color w:val="000000"/>
              </w:rPr>
            </w:pPr>
          </w:p>
        </w:tc>
        <w:tc>
          <w:tcPr>
            <w:tcW w:w="1928" w:type="dxa"/>
            <w:shd w:val="clear" w:color="auto" w:fill="auto"/>
          </w:tcPr>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r>
              <w:rPr>
                <w:color w:val="000000"/>
              </w:rPr>
              <w:t>-0.32        -0.26</w:t>
            </w: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r>
              <w:rPr>
                <w:color w:val="000000"/>
              </w:rPr>
              <w:t>-0.28         -024</w:t>
            </w:r>
          </w:p>
          <w:p w:rsidR="00C017A6" w:rsidRPr="00BE6117" w:rsidRDefault="00C017A6" w:rsidP="009A2ABA">
            <w:pPr>
              <w:autoSpaceDE w:val="0"/>
              <w:autoSpaceDN w:val="0"/>
              <w:adjustRightInd w:val="0"/>
              <w:rPr>
                <w:color w:val="000000"/>
              </w:rPr>
            </w:pPr>
          </w:p>
        </w:tc>
      </w:tr>
      <w:tr w:rsidR="00C017A6" w:rsidRPr="00BE6117" w:rsidTr="009A2ABA">
        <w:trPr>
          <w:cnfStyle w:val="000000100000" w:firstRow="0" w:lastRow="0" w:firstColumn="0" w:lastColumn="0" w:oddVBand="0" w:evenVBand="0" w:oddHBand="1" w:evenHBand="0" w:firstRowFirstColumn="0" w:firstRowLastColumn="0" w:lastRowFirstColumn="0" w:lastRowLastColumn="0"/>
        </w:trPr>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lastRenderedPageBreak/>
              <w:t>Ando et al. (2013)</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12</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8</w:t>
            </w:r>
            <w:r>
              <w:rPr>
                <w:color w:val="000000"/>
              </w:rPr>
              <w:t>9 mmHg</w:t>
            </w:r>
            <w:r w:rsidRPr="00BE6117">
              <w:rPr>
                <w:color w:val="000000"/>
              </w:rPr>
              <w:t>: 7</w:t>
            </w:r>
            <w:r>
              <w:rPr>
                <w:color w:val="000000"/>
              </w:rPr>
              <w:t>5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normobaric</w:t>
            </w:r>
          </w:p>
        </w:tc>
        <w:tc>
          <w:tcPr>
            <w:tcW w:w="1745"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go/no go</w:t>
            </w:r>
            <w:r w:rsidRPr="00BE6117">
              <w:rPr>
                <w:color w:val="000000"/>
                <w:vertAlign w:val="superscript"/>
              </w:rPr>
              <w:t>a</w:t>
            </w:r>
          </w:p>
        </w:tc>
        <w:tc>
          <w:tcPr>
            <w:tcW w:w="1021" w:type="dxa"/>
            <w:shd w:val="clear" w:color="auto" w:fill="auto"/>
          </w:tcPr>
          <w:p w:rsidR="00C017A6" w:rsidRPr="00BE6117" w:rsidRDefault="00C017A6" w:rsidP="009A2ABA">
            <w:pPr>
              <w:autoSpaceDE w:val="0"/>
              <w:autoSpaceDN w:val="0"/>
              <w:adjustRightInd w:val="0"/>
              <w:rPr>
                <w:color w:val="000000"/>
              </w:rPr>
            </w:pPr>
            <w:r>
              <w:rPr>
                <w:color w:val="000000"/>
              </w:rPr>
              <w:t>-0.52 (0.06)</w:t>
            </w:r>
          </w:p>
        </w:tc>
        <w:tc>
          <w:tcPr>
            <w:tcW w:w="1928" w:type="dxa"/>
            <w:shd w:val="clear" w:color="auto" w:fill="auto"/>
          </w:tcPr>
          <w:p w:rsidR="00C017A6" w:rsidRPr="00BE6117" w:rsidRDefault="00C017A6" w:rsidP="009A2ABA">
            <w:pPr>
              <w:autoSpaceDE w:val="0"/>
              <w:autoSpaceDN w:val="0"/>
              <w:adjustRightInd w:val="0"/>
              <w:rPr>
                <w:color w:val="000000"/>
              </w:rPr>
            </w:pPr>
            <w:r>
              <w:rPr>
                <w:color w:val="000000"/>
              </w:rPr>
              <w:t>-0.63          -0.40</w:t>
            </w:r>
          </w:p>
        </w:tc>
      </w:tr>
      <w:tr w:rsidR="00C017A6" w:rsidRPr="00BE6117" w:rsidTr="009A2ABA">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Asmaro et al. (2013)</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35</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5</w:t>
            </w:r>
            <w:r>
              <w:rPr>
                <w:color w:val="000000"/>
              </w:rPr>
              <w:t>2 mmHg</w:t>
            </w:r>
            <w:r w:rsidRPr="00BE6117">
              <w:rPr>
                <w:color w:val="000000"/>
              </w:rPr>
              <w:t>: 3</w:t>
            </w:r>
            <w:r>
              <w:rPr>
                <w:color w:val="000000"/>
              </w:rPr>
              <w:t>7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normobaric</w:t>
            </w:r>
          </w:p>
        </w:tc>
        <w:tc>
          <w:tcPr>
            <w:tcW w:w="1745" w:type="dxa"/>
            <w:shd w:val="clear" w:color="auto" w:fill="auto"/>
          </w:tcPr>
          <w:p w:rsidR="00C017A6" w:rsidRDefault="00C017A6" w:rsidP="009A2ABA">
            <w:pPr>
              <w:autoSpaceDE w:val="0"/>
              <w:autoSpaceDN w:val="0"/>
              <w:adjustRightInd w:val="0"/>
              <w:spacing w:line="480" w:lineRule="auto"/>
              <w:rPr>
                <w:color w:val="000000"/>
                <w:vertAlign w:val="superscript"/>
              </w:rPr>
            </w:pPr>
            <w:r w:rsidRPr="00BE6117">
              <w:rPr>
                <w:color w:val="000000"/>
              </w:rPr>
              <w:t>Stroop color test</w:t>
            </w:r>
            <w:r w:rsidRPr="00BE6117">
              <w:rPr>
                <w:color w:val="000000"/>
                <w:vertAlign w:val="superscript"/>
              </w:rPr>
              <w:t>b</w:t>
            </w:r>
          </w:p>
          <w:p w:rsidR="00C017A6" w:rsidRDefault="00C017A6" w:rsidP="009A2ABA">
            <w:pPr>
              <w:autoSpaceDE w:val="0"/>
              <w:autoSpaceDN w:val="0"/>
              <w:adjustRightInd w:val="0"/>
              <w:spacing w:line="480" w:lineRule="auto"/>
              <w:rPr>
                <w:color w:val="000000"/>
                <w:vertAlign w:val="superscript"/>
              </w:rPr>
            </w:pPr>
            <w:r w:rsidRPr="00BE6117">
              <w:rPr>
                <w:color w:val="000000"/>
              </w:rPr>
              <w:t>trail making B</w:t>
            </w:r>
            <w:r w:rsidRPr="00BE6117">
              <w:rPr>
                <w:color w:val="000000"/>
                <w:vertAlign w:val="superscript"/>
              </w:rPr>
              <w:t>b</w:t>
            </w:r>
          </w:p>
          <w:p w:rsidR="00C017A6" w:rsidRPr="00BE6117" w:rsidRDefault="00C017A6" w:rsidP="009A2ABA">
            <w:pPr>
              <w:autoSpaceDE w:val="0"/>
              <w:autoSpaceDN w:val="0"/>
              <w:adjustRightInd w:val="0"/>
              <w:spacing w:line="480" w:lineRule="auto"/>
              <w:rPr>
                <w:color w:val="000000"/>
              </w:rPr>
            </w:pPr>
            <w:r w:rsidRPr="00BE6117">
              <w:rPr>
                <w:color w:val="000000"/>
              </w:rPr>
              <w:t>trail making A</w:t>
            </w:r>
            <w:r w:rsidRPr="00BE6117">
              <w:rPr>
                <w:color w:val="000000"/>
                <w:vertAlign w:val="superscript"/>
              </w:rPr>
              <w:t>c</w:t>
            </w:r>
          </w:p>
          <w:p w:rsidR="00C017A6" w:rsidRPr="00BE6117" w:rsidRDefault="00C017A6" w:rsidP="009A2ABA">
            <w:pPr>
              <w:autoSpaceDE w:val="0"/>
              <w:autoSpaceDN w:val="0"/>
              <w:adjustRightInd w:val="0"/>
              <w:spacing w:line="480" w:lineRule="auto"/>
              <w:rPr>
                <w:color w:val="000000"/>
              </w:rPr>
            </w:pPr>
            <w:r w:rsidRPr="00BE6117">
              <w:rPr>
                <w:color w:val="000000"/>
              </w:rPr>
              <w:t>forward digit recall</w:t>
            </w:r>
            <w:r w:rsidRPr="00BE6117">
              <w:rPr>
                <w:color w:val="000000"/>
                <w:vertAlign w:val="superscript"/>
              </w:rPr>
              <w:t>d</w:t>
            </w:r>
          </w:p>
          <w:p w:rsidR="00C017A6" w:rsidRPr="00BE6117" w:rsidRDefault="00C017A6" w:rsidP="009A2ABA">
            <w:pPr>
              <w:autoSpaceDE w:val="0"/>
              <w:autoSpaceDN w:val="0"/>
              <w:adjustRightInd w:val="0"/>
              <w:spacing w:line="480" w:lineRule="auto"/>
              <w:rPr>
                <w:color w:val="000000"/>
              </w:rPr>
            </w:pPr>
            <w:r w:rsidRPr="00BE6117">
              <w:rPr>
                <w:color w:val="000000"/>
              </w:rPr>
              <w:t>backward digit recall</w:t>
            </w:r>
            <w:r w:rsidRPr="00BE6117">
              <w:rPr>
                <w:color w:val="000000"/>
                <w:vertAlign w:val="superscript"/>
              </w:rPr>
              <w:t>d</w:t>
            </w:r>
          </w:p>
          <w:p w:rsidR="00C017A6" w:rsidRPr="00BE6117" w:rsidRDefault="00C017A6" w:rsidP="009A2ABA">
            <w:pPr>
              <w:autoSpaceDE w:val="0"/>
              <w:autoSpaceDN w:val="0"/>
              <w:adjustRightInd w:val="0"/>
              <w:rPr>
                <w:color w:val="000000"/>
              </w:rPr>
            </w:pPr>
          </w:p>
        </w:tc>
        <w:tc>
          <w:tcPr>
            <w:tcW w:w="1021" w:type="dxa"/>
            <w:shd w:val="clear" w:color="auto" w:fill="auto"/>
          </w:tcPr>
          <w:p w:rsidR="00C017A6" w:rsidRDefault="00C017A6" w:rsidP="009A2ABA">
            <w:pPr>
              <w:autoSpaceDE w:val="0"/>
              <w:autoSpaceDN w:val="0"/>
              <w:adjustRightInd w:val="0"/>
              <w:spacing w:line="480" w:lineRule="auto"/>
              <w:rPr>
                <w:color w:val="000000"/>
              </w:rPr>
            </w:pPr>
            <w:r>
              <w:rPr>
                <w:color w:val="000000"/>
              </w:rPr>
              <w:t>-0.57 (0.03)</w:t>
            </w:r>
            <w:r w:rsidRPr="00D50CEF">
              <w:rPr>
                <w:color w:val="000000"/>
                <w:vertAlign w:val="superscript"/>
              </w:rPr>
              <w:t>f</w:t>
            </w: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r>
              <w:rPr>
                <w:color w:val="000000"/>
              </w:rPr>
              <w:t>-3.61 (0.02)</w:t>
            </w:r>
            <w:r w:rsidRPr="00D50CEF">
              <w:rPr>
                <w:color w:val="000000"/>
                <w:vertAlign w:val="superscript"/>
              </w:rPr>
              <w:t>g</w:t>
            </w:r>
          </w:p>
          <w:p w:rsidR="00C017A6" w:rsidRDefault="00C017A6" w:rsidP="009A2ABA">
            <w:pPr>
              <w:autoSpaceDE w:val="0"/>
              <w:autoSpaceDN w:val="0"/>
              <w:adjustRightInd w:val="0"/>
              <w:spacing w:line="480" w:lineRule="auto"/>
              <w:rPr>
                <w:color w:val="000000"/>
              </w:rPr>
            </w:pPr>
            <w:r>
              <w:rPr>
                <w:color w:val="000000"/>
              </w:rPr>
              <w:t>-1.66 (0.03)</w:t>
            </w:r>
            <w:r w:rsidRPr="00D50CEF">
              <w:rPr>
                <w:color w:val="000000"/>
                <w:vertAlign w:val="superscript"/>
              </w:rPr>
              <w:t>h</w:t>
            </w:r>
          </w:p>
          <w:p w:rsidR="00C017A6" w:rsidRDefault="00C017A6" w:rsidP="009A2ABA">
            <w:pPr>
              <w:autoSpaceDE w:val="0"/>
              <w:autoSpaceDN w:val="0"/>
              <w:adjustRightInd w:val="0"/>
              <w:spacing w:line="480" w:lineRule="auto"/>
              <w:rPr>
                <w:color w:val="000000"/>
              </w:rPr>
            </w:pPr>
          </w:p>
          <w:p w:rsidR="00C017A6" w:rsidRPr="00BE6117" w:rsidRDefault="00C017A6" w:rsidP="009A2ABA">
            <w:pPr>
              <w:autoSpaceDE w:val="0"/>
              <w:autoSpaceDN w:val="0"/>
              <w:adjustRightInd w:val="0"/>
              <w:rPr>
                <w:color w:val="000000"/>
              </w:rPr>
            </w:pPr>
          </w:p>
        </w:tc>
        <w:tc>
          <w:tcPr>
            <w:tcW w:w="1928" w:type="dxa"/>
            <w:shd w:val="clear" w:color="auto" w:fill="auto"/>
          </w:tcPr>
          <w:p w:rsidR="00C017A6" w:rsidRDefault="00C017A6" w:rsidP="009A2ABA">
            <w:pPr>
              <w:autoSpaceDE w:val="0"/>
              <w:autoSpaceDN w:val="0"/>
              <w:adjustRightInd w:val="0"/>
              <w:spacing w:line="480" w:lineRule="auto"/>
              <w:rPr>
                <w:color w:val="000000"/>
              </w:rPr>
            </w:pPr>
            <w:r>
              <w:rPr>
                <w:color w:val="000000"/>
              </w:rPr>
              <w:t>-0.64           -0.51</w:t>
            </w: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r>
              <w:rPr>
                <w:color w:val="000000"/>
              </w:rPr>
              <w:t>-3.65        -3.57</w:t>
            </w: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r>
              <w:rPr>
                <w:color w:val="000000"/>
              </w:rPr>
              <w:t>-1.71         -1.61</w:t>
            </w: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Pr="00BE6117" w:rsidRDefault="00C017A6" w:rsidP="009A2ABA">
            <w:pPr>
              <w:autoSpaceDE w:val="0"/>
              <w:autoSpaceDN w:val="0"/>
              <w:adjustRightInd w:val="0"/>
              <w:rPr>
                <w:color w:val="000000"/>
              </w:rPr>
            </w:pPr>
          </w:p>
        </w:tc>
      </w:tr>
      <w:tr w:rsidR="00C017A6" w:rsidRPr="00BE6117" w:rsidTr="009A2ABA">
        <w:trPr>
          <w:cnfStyle w:val="000000100000" w:firstRow="0" w:lastRow="0" w:firstColumn="0" w:lastColumn="0" w:oddVBand="0" w:evenVBand="0" w:oddHBand="1" w:evenHBand="0" w:firstRowFirstColumn="0" w:firstRowLastColumn="0" w:lastRowFirstColumn="0" w:lastRowLastColumn="0"/>
        </w:trPr>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lastRenderedPageBreak/>
              <w:t>Stepanek et al. (2013)</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25</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4</w:t>
            </w:r>
            <w:r>
              <w:rPr>
                <w:color w:val="000000"/>
              </w:rPr>
              <w:t>0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normobaric</w:t>
            </w:r>
          </w:p>
        </w:tc>
        <w:tc>
          <w:tcPr>
            <w:tcW w:w="1745" w:type="dxa"/>
            <w:shd w:val="clear" w:color="auto" w:fill="auto"/>
          </w:tcPr>
          <w:p w:rsidR="00C017A6" w:rsidRPr="00BE6117" w:rsidRDefault="00C017A6" w:rsidP="009A2ABA">
            <w:pPr>
              <w:autoSpaceDE w:val="0"/>
              <w:autoSpaceDN w:val="0"/>
              <w:adjustRightInd w:val="0"/>
              <w:rPr>
                <w:color w:val="000000"/>
              </w:rPr>
            </w:pPr>
            <w:r w:rsidRPr="00BE6117">
              <w:rPr>
                <w:color w:val="000000"/>
              </w:rPr>
              <w:t>King-Devick test</w:t>
            </w:r>
            <w:r w:rsidRPr="00BE6117">
              <w:rPr>
                <w:color w:val="000000"/>
                <w:vertAlign w:val="superscript"/>
              </w:rPr>
              <w:t>c</w:t>
            </w:r>
          </w:p>
        </w:tc>
        <w:tc>
          <w:tcPr>
            <w:tcW w:w="1021" w:type="dxa"/>
            <w:shd w:val="clear" w:color="auto" w:fill="auto"/>
          </w:tcPr>
          <w:p w:rsidR="00C017A6" w:rsidRPr="00BE6117" w:rsidRDefault="00C017A6" w:rsidP="009A2ABA">
            <w:pPr>
              <w:autoSpaceDE w:val="0"/>
              <w:autoSpaceDN w:val="0"/>
              <w:adjustRightInd w:val="0"/>
              <w:spacing w:line="480" w:lineRule="auto"/>
              <w:rPr>
                <w:color w:val="000000"/>
              </w:rPr>
            </w:pPr>
            <w:r>
              <w:rPr>
                <w:color w:val="000000"/>
              </w:rPr>
              <w:t>-1.13 (0.02)</w:t>
            </w:r>
          </w:p>
        </w:tc>
        <w:tc>
          <w:tcPr>
            <w:tcW w:w="1928" w:type="dxa"/>
            <w:shd w:val="clear" w:color="auto" w:fill="auto"/>
          </w:tcPr>
          <w:p w:rsidR="00C017A6" w:rsidRPr="00BE6117" w:rsidRDefault="00C017A6" w:rsidP="009A2ABA">
            <w:pPr>
              <w:autoSpaceDE w:val="0"/>
              <w:autoSpaceDN w:val="0"/>
              <w:adjustRightInd w:val="0"/>
              <w:rPr>
                <w:color w:val="000000"/>
              </w:rPr>
            </w:pPr>
            <w:r>
              <w:rPr>
                <w:color w:val="000000"/>
              </w:rPr>
              <w:t>-1.17          -1.07</w:t>
            </w:r>
          </w:p>
        </w:tc>
      </w:tr>
      <w:tr w:rsidR="00C017A6" w:rsidRPr="00BE6117" w:rsidTr="009A2ABA">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Zhang et al. (2013)</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46</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65</w:t>
            </w:r>
            <w:r>
              <w:rPr>
                <w:color w:val="000000"/>
              </w:rPr>
              <w:t xml:space="preserve">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hypobaric</w:t>
            </w:r>
          </w:p>
        </w:tc>
        <w:tc>
          <w:tcPr>
            <w:tcW w:w="1745" w:type="dxa"/>
            <w:shd w:val="clear" w:color="auto" w:fill="auto"/>
          </w:tcPr>
          <w:p w:rsidR="00C017A6" w:rsidRDefault="00C017A6" w:rsidP="009A2ABA">
            <w:pPr>
              <w:autoSpaceDE w:val="0"/>
              <w:autoSpaceDN w:val="0"/>
              <w:adjustRightInd w:val="0"/>
              <w:spacing w:line="480" w:lineRule="auto"/>
              <w:rPr>
                <w:color w:val="000000"/>
                <w:vertAlign w:val="superscript"/>
              </w:rPr>
            </w:pPr>
            <w:r w:rsidRPr="00BE6117">
              <w:rPr>
                <w:color w:val="000000"/>
              </w:rPr>
              <w:t>choice reaction time</w:t>
            </w:r>
            <w:r w:rsidRPr="00BE6117">
              <w:rPr>
                <w:color w:val="000000"/>
                <w:vertAlign w:val="superscript"/>
              </w:rPr>
              <w:t>c</w:t>
            </w:r>
          </w:p>
          <w:p w:rsidR="00C017A6" w:rsidRPr="00BE6117" w:rsidRDefault="00C017A6" w:rsidP="009A2ABA">
            <w:pPr>
              <w:autoSpaceDE w:val="0"/>
              <w:autoSpaceDN w:val="0"/>
              <w:adjustRightInd w:val="0"/>
              <w:spacing w:line="480" w:lineRule="auto"/>
              <w:rPr>
                <w:color w:val="000000"/>
              </w:rPr>
            </w:pPr>
            <w:r w:rsidRPr="00BE6117">
              <w:rPr>
                <w:color w:val="000000"/>
              </w:rPr>
              <w:t>pursuit aiming</w:t>
            </w:r>
            <w:r w:rsidRPr="00BE6117">
              <w:rPr>
                <w:color w:val="000000"/>
                <w:vertAlign w:val="superscript"/>
              </w:rPr>
              <w:t>c</w:t>
            </w:r>
          </w:p>
          <w:p w:rsidR="00C017A6" w:rsidRPr="00BE6117" w:rsidRDefault="00C017A6" w:rsidP="009A2ABA">
            <w:pPr>
              <w:autoSpaceDE w:val="0"/>
              <w:autoSpaceDN w:val="0"/>
              <w:adjustRightInd w:val="0"/>
              <w:spacing w:line="480" w:lineRule="auto"/>
              <w:rPr>
                <w:color w:val="000000"/>
              </w:rPr>
            </w:pPr>
            <w:r w:rsidRPr="00BE6117">
              <w:rPr>
                <w:color w:val="000000"/>
              </w:rPr>
              <w:t>forward digit recall</w:t>
            </w:r>
            <w:r w:rsidRPr="00BE6117">
              <w:rPr>
                <w:color w:val="000000"/>
                <w:vertAlign w:val="superscript"/>
              </w:rPr>
              <w:t>d</w:t>
            </w:r>
          </w:p>
          <w:p w:rsidR="00C017A6" w:rsidRPr="00BE6117" w:rsidRDefault="00C017A6" w:rsidP="009A2ABA">
            <w:pPr>
              <w:autoSpaceDE w:val="0"/>
              <w:autoSpaceDN w:val="0"/>
              <w:adjustRightInd w:val="0"/>
              <w:spacing w:line="480" w:lineRule="auto"/>
              <w:rPr>
                <w:color w:val="000000"/>
              </w:rPr>
            </w:pPr>
            <w:r w:rsidRPr="00BE6117">
              <w:rPr>
                <w:color w:val="000000"/>
              </w:rPr>
              <w:t>backward digit recall</w:t>
            </w:r>
            <w:r w:rsidRPr="00BE6117">
              <w:rPr>
                <w:color w:val="000000"/>
                <w:vertAlign w:val="superscript"/>
              </w:rPr>
              <w:t>d</w:t>
            </w:r>
          </w:p>
          <w:p w:rsidR="00C017A6" w:rsidRPr="00BE6117" w:rsidRDefault="00C017A6" w:rsidP="009A2ABA">
            <w:pPr>
              <w:autoSpaceDE w:val="0"/>
              <w:autoSpaceDN w:val="0"/>
              <w:adjustRightInd w:val="0"/>
              <w:spacing w:line="480" w:lineRule="auto"/>
              <w:rPr>
                <w:color w:val="000000"/>
              </w:rPr>
            </w:pPr>
            <w:r w:rsidRPr="00BE6117">
              <w:rPr>
                <w:color w:val="000000"/>
              </w:rPr>
              <w:t>Benton visual retention</w:t>
            </w:r>
            <w:r w:rsidRPr="00BE6117">
              <w:rPr>
                <w:color w:val="000000"/>
                <w:vertAlign w:val="superscript"/>
              </w:rPr>
              <w:t>d</w:t>
            </w:r>
          </w:p>
          <w:p w:rsidR="00C017A6" w:rsidRPr="00BE6117" w:rsidRDefault="00C017A6" w:rsidP="009A2ABA">
            <w:pPr>
              <w:autoSpaceDE w:val="0"/>
              <w:autoSpaceDN w:val="0"/>
              <w:adjustRightInd w:val="0"/>
              <w:spacing w:line="480" w:lineRule="auto"/>
              <w:rPr>
                <w:color w:val="000000"/>
              </w:rPr>
            </w:pPr>
          </w:p>
        </w:tc>
        <w:tc>
          <w:tcPr>
            <w:tcW w:w="1021" w:type="dxa"/>
            <w:shd w:val="clear" w:color="auto" w:fill="auto"/>
          </w:tcPr>
          <w:p w:rsidR="00C017A6" w:rsidRDefault="00C017A6" w:rsidP="009A2ABA">
            <w:pPr>
              <w:autoSpaceDE w:val="0"/>
              <w:autoSpaceDN w:val="0"/>
              <w:adjustRightInd w:val="0"/>
              <w:spacing w:line="480" w:lineRule="auto"/>
              <w:rPr>
                <w:color w:val="000000"/>
              </w:rPr>
            </w:pPr>
            <w:r>
              <w:rPr>
                <w:color w:val="000000"/>
              </w:rPr>
              <w:t>-0.34 (0.01)</w:t>
            </w:r>
            <w:r w:rsidRPr="00D50CEF">
              <w:rPr>
                <w:color w:val="000000"/>
                <w:vertAlign w:val="superscript"/>
              </w:rPr>
              <w:t>g</w:t>
            </w: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r>
              <w:rPr>
                <w:color w:val="000000"/>
              </w:rPr>
              <w:t>-0.25 (0.01)</w:t>
            </w:r>
            <w:r w:rsidRPr="00D50CEF">
              <w:rPr>
                <w:color w:val="000000"/>
                <w:vertAlign w:val="superscript"/>
              </w:rPr>
              <w:t>h</w:t>
            </w: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Pr="00BE6117" w:rsidRDefault="00C017A6" w:rsidP="009A2ABA">
            <w:pPr>
              <w:autoSpaceDE w:val="0"/>
              <w:autoSpaceDN w:val="0"/>
              <w:adjustRightInd w:val="0"/>
              <w:rPr>
                <w:color w:val="000000"/>
              </w:rPr>
            </w:pPr>
          </w:p>
        </w:tc>
        <w:tc>
          <w:tcPr>
            <w:tcW w:w="1928" w:type="dxa"/>
            <w:shd w:val="clear" w:color="auto" w:fill="auto"/>
          </w:tcPr>
          <w:p w:rsidR="00C017A6" w:rsidRDefault="00C017A6" w:rsidP="009A2ABA">
            <w:pPr>
              <w:autoSpaceDE w:val="0"/>
              <w:autoSpaceDN w:val="0"/>
              <w:adjustRightInd w:val="0"/>
              <w:spacing w:line="480" w:lineRule="auto"/>
              <w:rPr>
                <w:color w:val="000000"/>
              </w:rPr>
            </w:pPr>
            <w:r>
              <w:rPr>
                <w:color w:val="000000"/>
              </w:rPr>
              <w:t>-0.37          -0.32</w:t>
            </w: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r>
              <w:rPr>
                <w:color w:val="000000"/>
              </w:rPr>
              <w:t>-0.27          -0.23</w:t>
            </w:r>
          </w:p>
          <w:p w:rsidR="00C017A6" w:rsidRPr="00BE6117" w:rsidRDefault="00C017A6" w:rsidP="009A2ABA">
            <w:pPr>
              <w:autoSpaceDE w:val="0"/>
              <w:autoSpaceDN w:val="0"/>
              <w:adjustRightInd w:val="0"/>
              <w:rPr>
                <w:color w:val="000000"/>
              </w:rPr>
            </w:pPr>
          </w:p>
        </w:tc>
      </w:tr>
      <w:tr w:rsidR="00C017A6" w:rsidRPr="00BE6117" w:rsidTr="009A2ABA">
        <w:trPr>
          <w:cnfStyle w:val="000000100000" w:firstRow="0" w:lastRow="0" w:firstColumn="0" w:lastColumn="0" w:oddVBand="0" w:evenVBand="0" w:oddHBand="1" w:evenHBand="0" w:firstRowFirstColumn="0" w:firstRowLastColumn="0" w:lastRowFirstColumn="0" w:lastRowLastColumn="0"/>
        </w:trPr>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Stepanek et al. (2014)</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25</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Pr>
                <w:color w:val="000000"/>
              </w:rPr>
              <w:t>35 mmHg</w:t>
            </w:r>
            <w:r w:rsidRPr="00BE6117">
              <w:rPr>
                <w:color w:val="000000"/>
              </w:rPr>
              <w:t>: 4</w:t>
            </w:r>
            <w:r>
              <w:rPr>
                <w:color w:val="000000"/>
              </w:rPr>
              <w:t>0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normobaric</w:t>
            </w:r>
          </w:p>
        </w:tc>
        <w:tc>
          <w:tcPr>
            <w:tcW w:w="1745" w:type="dxa"/>
            <w:shd w:val="clear" w:color="auto" w:fill="auto"/>
          </w:tcPr>
          <w:p w:rsidR="00C017A6" w:rsidRPr="00BE6117" w:rsidRDefault="00C017A6" w:rsidP="009A2ABA">
            <w:pPr>
              <w:autoSpaceDE w:val="0"/>
              <w:autoSpaceDN w:val="0"/>
              <w:adjustRightInd w:val="0"/>
              <w:rPr>
                <w:color w:val="000000"/>
              </w:rPr>
            </w:pPr>
            <w:r w:rsidRPr="00BE6117">
              <w:rPr>
                <w:color w:val="000000"/>
              </w:rPr>
              <w:t>King-Devick test</w:t>
            </w:r>
            <w:r w:rsidRPr="00BE6117">
              <w:rPr>
                <w:color w:val="000000"/>
                <w:vertAlign w:val="superscript"/>
              </w:rPr>
              <w:t>c</w:t>
            </w:r>
          </w:p>
        </w:tc>
        <w:tc>
          <w:tcPr>
            <w:tcW w:w="1021" w:type="dxa"/>
            <w:shd w:val="clear" w:color="auto" w:fill="auto"/>
          </w:tcPr>
          <w:p w:rsidR="00C017A6" w:rsidRPr="00BE6117" w:rsidRDefault="00C017A6" w:rsidP="009A2ABA">
            <w:pPr>
              <w:autoSpaceDE w:val="0"/>
              <w:autoSpaceDN w:val="0"/>
              <w:adjustRightInd w:val="0"/>
              <w:spacing w:line="480" w:lineRule="auto"/>
              <w:rPr>
                <w:color w:val="000000"/>
              </w:rPr>
            </w:pPr>
            <w:r>
              <w:rPr>
                <w:color w:val="000000"/>
              </w:rPr>
              <w:t>-0.71 (0.04)</w:t>
            </w:r>
          </w:p>
        </w:tc>
        <w:tc>
          <w:tcPr>
            <w:tcW w:w="1928" w:type="dxa"/>
            <w:shd w:val="clear" w:color="auto" w:fill="auto"/>
          </w:tcPr>
          <w:p w:rsidR="00C017A6" w:rsidRPr="00BE6117" w:rsidRDefault="00C017A6" w:rsidP="009A2ABA">
            <w:pPr>
              <w:autoSpaceDE w:val="0"/>
              <w:autoSpaceDN w:val="0"/>
              <w:adjustRightInd w:val="0"/>
              <w:rPr>
                <w:color w:val="000000"/>
              </w:rPr>
            </w:pPr>
            <w:r>
              <w:rPr>
                <w:color w:val="000000"/>
              </w:rPr>
              <w:t>-0.76           -0.64</w:t>
            </w:r>
          </w:p>
        </w:tc>
      </w:tr>
      <w:tr w:rsidR="00C017A6" w:rsidRPr="00BE6117" w:rsidTr="009A2ABA">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Komiyama et al. (2015)</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16</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7</w:t>
            </w:r>
            <w:r>
              <w:rPr>
                <w:color w:val="000000"/>
              </w:rPr>
              <w:t>5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normobaric</w:t>
            </w:r>
          </w:p>
        </w:tc>
        <w:tc>
          <w:tcPr>
            <w:tcW w:w="1745"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go/no go</w:t>
            </w:r>
            <w:r w:rsidRPr="00BE6117">
              <w:rPr>
                <w:color w:val="000000"/>
                <w:vertAlign w:val="superscript"/>
              </w:rPr>
              <w:t>b</w:t>
            </w:r>
          </w:p>
          <w:p w:rsidR="00C017A6" w:rsidRPr="00BE6117" w:rsidRDefault="00C017A6" w:rsidP="009A2ABA">
            <w:pPr>
              <w:autoSpaceDE w:val="0"/>
              <w:autoSpaceDN w:val="0"/>
              <w:adjustRightInd w:val="0"/>
              <w:spacing w:line="480" w:lineRule="auto"/>
              <w:rPr>
                <w:color w:val="000000"/>
              </w:rPr>
            </w:pPr>
            <w:r w:rsidRPr="00BE6117">
              <w:rPr>
                <w:color w:val="000000"/>
              </w:rPr>
              <w:t>spatial delay response</w:t>
            </w:r>
            <w:r w:rsidRPr="006F1FC8">
              <w:rPr>
                <w:color w:val="000000"/>
                <w:vertAlign w:val="superscript"/>
              </w:rPr>
              <w:t>d</w:t>
            </w:r>
          </w:p>
        </w:tc>
        <w:tc>
          <w:tcPr>
            <w:tcW w:w="1021" w:type="dxa"/>
            <w:shd w:val="clear" w:color="auto" w:fill="auto"/>
          </w:tcPr>
          <w:p w:rsidR="00C017A6" w:rsidRDefault="00C017A6" w:rsidP="009A2ABA">
            <w:pPr>
              <w:autoSpaceDE w:val="0"/>
              <w:autoSpaceDN w:val="0"/>
              <w:adjustRightInd w:val="0"/>
              <w:spacing w:line="480" w:lineRule="auto"/>
              <w:rPr>
                <w:color w:val="000000"/>
              </w:rPr>
            </w:pPr>
            <w:r>
              <w:rPr>
                <w:color w:val="000000"/>
              </w:rPr>
              <w:t>-0.64 (0.35)</w:t>
            </w:r>
            <w:r w:rsidRPr="00D50CEF">
              <w:rPr>
                <w:color w:val="000000"/>
                <w:vertAlign w:val="superscript"/>
              </w:rPr>
              <w:t>f</w:t>
            </w:r>
          </w:p>
          <w:p w:rsidR="00C017A6" w:rsidRDefault="00C017A6" w:rsidP="009A2ABA">
            <w:pPr>
              <w:autoSpaceDE w:val="0"/>
              <w:autoSpaceDN w:val="0"/>
              <w:adjustRightInd w:val="0"/>
              <w:spacing w:line="480" w:lineRule="auto"/>
              <w:rPr>
                <w:color w:val="000000"/>
              </w:rPr>
            </w:pPr>
            <w:r>
              <w:rPr>
                <w:color w:val="000000"/>
              </w:rPr>
              <w:t>0.10 (0.35)</w:t>
            </w:r>
            <w:r w:rsidRPr="00D50CEF">
              <w:rPr>
                <w:color w:val="000000"/>
                <w:vertAlign w:val="superscript"/>
              </w:rPr>
              <w:t>h</w:t>
            </w:r>
          </w:p>
          <w:p w:rsidR="00C017A6" w:rsidRPr="00BE6117" w:rsidRDefault="00C017A6" w:rsidP="009A2ABA">
            <w:pPr>
              <w:autoSpaceDE w:val="0"/>
              <w:autoSpaceDN w:val="0"/>
              <w:adjustRightInd w:val="0"/>
              <w:rPr>
                <w:color w:val="000000"/>
              </w:rPr>
            </w:pPr>
          </w:p>
        </w:tc>
        <w:tc>
          <w:tcPr>
            <w:tcW w:w="1928" w:type="dxa"/>
            <w:shd w:val="clear" w:color="auto" w:fill="auto"/>
          </w:tcPr>
          <w:p w:rsidR="00C017A6" w:rsidRDefault="00C017A6" w:rsidP="009A2ABA">
            <w:pPr>
              <w:autoSpaceDE w:val="0"/>
              <w:autoSpaceDN w:val="0"/>
              <w:adjustRightInd w:val="0"/>
              <w:spacing w:line="480" w:lineRule="auto"/>
              <w:rPr>
                <w:color w:val="000000"/>
              </w:rPr>
            </w:pPr>
            <w:r>
              <w:rPr>
                <w:color w:val="000000"/>
              </w:rPr>
              <w:t>-1.34           0.05</w:t>
            </w:r>
          </w:p>
          <w:p w:rsidR="00C017A6" w:rsidRDefault="00C017A6" w:rsidP="009A2ABA">
            <w:pPr>
              <w:autoSpaceDE w:val="0"/>
              <w:autoSpaceDN w:val="0"/>
              <w:adjustRightInd w:val="0"/>
              <w:spacing w:line="480" w:lineRule="auto"/>
              <w:rPr>
                <w:color w:val="000000"/>
              </w:rPr>
            </w:pPr>
          </w:p>
          <w:p w:rsidR="00C017A6" w:rsidRPr="00BE6117" w:rsidRDefault="00C017A6" w:rsidP="009A2ABA">
            <w:pPr>
              <w:autoSpaceDE w:val="0"/>
              <w:autoSpaceDN w:val="0"/>
              <w:adjustRightInd w:val="0"/>
              <w:rPr>
                <w:color w:val="000000"/>
              </w:rPr>
            </w:pPr>
            <w:r>
              <w:rPr>
                <w:color w:val="000000"/>
              </w:rPr>
              <w:t>-0.57            0.78</w:t>
            </w:r>
          </w:p>
        </w:tc>
      </w:tr>
    </w:tbl>
    <w:p w:rsidR="00F01E9B" w:rsidRDefault="00F01E9B"/>
    <w:p w:rsidR="00C017A6" w:rsidRDefault="00C017A6" w:rsidP="00C017A6">
      <w:pPr>
        <w:autoSpaceDE w:val="0"/>
        <w:autoSpaceDN w:val="0"/>
        <w:adjustRightInd w:val="0"/>
        <w:rPr>
          <w:color w:val="000000"/>
        </w:rPr>
      </w:pPr>
      <w:r w:rsidRPr="006E3241">
        <w:rPr>
          <w:color w:val="000000"/>
        </w:rPr>
        <w:t>N</w:t>
      </w:r>
      <w:r>
        <w:rPr>
          <w:color w:val="000000"/>
        </w:rPr>
        <w:t>ote</w:t>
      </w:r>
      <w:r w:rsidRPr="006E3241">
        <w:rPr>
          <w:color w:val="000000"/>
        </w:rPr>
        <w:t xml:space="preserve">. </w:t>
      </w:r>
      <w:r w:rsidRPr="006E3241">
        <w:rPr>
          <w:color w:val="000000"/>
          <w:vertAlign w:val="superscript"/>
        </w:rPr>
        <w:t>a</w:t>
      </w:r>
      <w:r>
        <w:rPr>
          <w:color w:val="000000"/>
        </w:rPr>
        <w:t xml:space="preserve"> P</w:t>
      </w:r>
      <w:r w:rsidR="004F1D02">
        <w:rPr>
          <w:color w:val="000000"/>
        </w:rPr>
        <w:t>a</w:t>
      </w:r>
      <w:r>
        <w:rPr>
          <w:color w:val="000000"/>
        </w:rPr>
        <w:t>O</w:t>
      </w:r>
      <w:r w:rsidRPr="006E3241">
        <w:rPr>
          <w:color w:val="000000"/>
          <w:vertAlign w:val="subscript"/>
        </w:rPr>
        <w:t>2</w:t>
      </w:r>
      <w:r>
        <w:rPr>
          <w:color w:val="000000"/>
        </w:rPr>
        <w:t xml:space="preserve"> (</w:t>
      </w:r>
      <w:r w:rsidR="004F1D02">
        <w:rPr>
          <w:color w:val="000000"/>
        </w:rPr>
        <w:t>a</w:t>
      </w:r>
      <w:r w:rsidR="00CC2806">
        <w:rPr>
          <w:color w:val="000000"/>
        </w:rPr>
        <w:t>r</w:t>
      </w:r>
      <w:r w:rsidR="004F1D02">
        <w:rPr>
          <w:color w:val="000000"/>
        </w:rPr>
        <w:t xml:space="preserve">terial </w:t>
      </w:r>
      <w:r w:rsidR="00CC2806">
        <w:rPr>
          <w:color w:val="000000"/>
        </w:rPr>
        <w:t xml:space="preserve">partial </w:t>
      </w:r>
      <w:r>
        <w:rPr>
          <w:color w:val="000000"/>
        </w:rPr>
        <w:t>pressure of oxygen) was estimated from actual altitude, estimated altitude equivalent or mean oxygen saturation, hence values are only approximate.</w:t>
      </w:r>
    </w:p>
    <w:p w:rsidR="00C017A6" w:rsidRDefault="00C017A6" w:rsidP="00C017A6">
      <w:pPr>
        <w:autoSpaceDE w:val="0"/>
        <w:autoSpaceDN w:val="0"/>
        <w:adjustRightInd w:val="0"/>
        <w:rPr>
          <w:color w:val="000000"/>
        </w:rPr>
      </w:pPr>
      <w:r w:rsidRPr="006E3241">
        <w:rPr>
          <w:color w:val="000000"/>
          <w:vertAlign w:val="superscript"/>
        </w:rPr>
        <w:t>b</w:t>
      </w:r>
      <w:r>
        <w:rPr>
          <w:color w:val="000000"/>
        </w:rPr>
        <w:t xml:space="preserve"> central executive task</w:t>
      </w:r>
    </w:p>
    <w:p w:rsidR="00C017A6" w:rsidRDefault="00C017A6" w:rsidP="00C017A6">
      <w:pPr>
        <w:autoSpaceDE w:val="0"/>
        <w:autoSpaceDN w:val="0"/>
        <w:adjustRightInd w:val="0"/>
        <w:rPr>
          <w:color w:val="000000"/>
        </w:rPr>
      </w:pPr>
      <w:r w:rsidRPr="006E3241">
        <w:rPr>
          <w:color w:val="000000"/>
          <w:vertAlign w:val="superscript"/>
        </w:rPr>
        <w:lastRenderedPageBreak/>
        <w:t>c</w:t>
      </w:r>
      <w:r>
        <w:rPr>
          <w:color w:val="000000"/>
        </w:rPr>
        <w:t xml:space="preserve"> perception/attention task</w:t>
      </w:r>
    </w:p>
    <w:p w:rsidR="00C017A6" w:rsidRPr="006E3241" w:rsidRDefault="00C017A6" w:rsidP="00C017A6">
      <w:pPr>
        <w:autoSpaceDE w:val="0"/>
        <w:autoSpaceDN w:val="0"/>
        <w:adjustRightInd w:val="0"/>
        <w:rPr>
          <w:color w:val="000000"/>
        </w:rPr>
      </w:pPr>
      <w:r w:rsidRPr="006E3241">
        <w:rPr>
          <w:color w:val="000000"/>
          <w:vertAlign w:val="superscript"/>
        </w:rPr>
        <w:t>d</w:t>
      </w:r>
      <w:r>
        <w:rPr>
          <w:color w:val="000000"/>
        </w:rPr>
        <w:t xml:space="preserve"> short-term memory task</w:t>
      </w:r>
    </w:p>
    <w:p w:rsidR="00C017A6" w:rsidRDefault="00C017A6" w:rsidP="00C017A6">
      <w:pPr>
        <w:autoSpaceDE w:val="0"/>
        <w:autoSpaceDN w:val="0"/>
        <w:adjustRightInd w:val="0"/>
        <w:rPr>
          <w:color w:val="000000"/>
        </w:rPr>
      </w:pPr>
      <w:r w:rsidRPr="00D50CEF">
        <w:rPr>
          <w:color w:val="000000"/>
          <w:vertAlign w:val="superscript"/>
        </w:rPr>
        <w:t>e</w:t>
      </w:r>
      <w:r>
        <w:rPr>
          <w:color w:val="000000"/>
        </w:rPr>
        <w:t xml:space="preserve"> SE standard error</w:t>
      </w:r>
    </w:p>
    <w:p w:rsidR="00C017A6" w:rsidRDefault="00C017A6" w:rsidP="00C017A6">
      <w:pPr>
        <w:autoSpaceDE w:val="0"/>
        <w:autoSpaceDN w:val="0"/>
        <w:adjustRightInd w:val="0"/>
        <w:rPr>
          <w:color w:val="000000"/>
        </w:rPr>
      </w:pPr>
      <w:r w:rsidRPr="00D50CEF">
        <w:rPr>
          <w:color w:val="000000"/>
          <w:vertAlign w:val="superscript"/>
        </w:rPr>
        <w:t>f</w:t>
      </w:r>
      <w:r>
        <w:rPr>
          <w:color w:val="000000"/>
        </w:rPr>
        <w:t xml:space="preserve"> g for central executive tasks</w:t>
      </w:r>
    </w:p>
    <w:p w:rsidR="00C017A6" w:rsidRDefault="00C017A6" w:rsidP="00C017A6">
      <w:pPr>
        <w:autoSpaceDE w:val="0"/>
        <w:autoSpaceDN w:val="0"/>
        <w:adjustRightInd w:val="0"/>
        <w:rPr>
          <w:color w:val="000000"/>
        </w:rPr>
      </w:pPr>
      <w:r w:rsidRPr="00D50CEF">
        <w:rPr>
          <w:color w:val="000000"/>
          <w:vertAlign w:val="superscript"/>
        </w:rPr>
        <w:t>g</w:t>
      </w:r>
      <w:r>
        <w:rPr>
          <w:color w:val="000000"/>
        </w:rPr>
        <w:t xml:space="preserve"> g for perception/attention tasks</w:t>
      </w:r>
    </w:p>
    <w:p w:rsidR="00C017A6" w:rsidRPr="006E3241" w:rsidRDefault="00C017A6" w:rsidP="00C017A6">
      <w:pPr>
        <w:autoSpaceDE w:val="0"/>
        <w:autoSpaceDN w:val="0"/>
        <w:adjustRightInd w:val="0"/>
        <w:rPr>
          <w:color w:val="000000"/>
        </w:rPr>
      </w:pPr>
      <w:r w:rsidRPr="00D50CEF">
        <w:rPr>
          <w:color w:val="000000"/>
          <w:vertAlign w:val="superscript"/>
        </w:rPr>
        <w:t>h</w:t>
      </w:r>
      <w:r>
        <w:rPr>
          <w:color w:val="000000"/>
        </w:rPr>
        <w:t xml:space="preserve"> g for short-term memory tasks</w:t>
      </w:r>
    </w:p>
    <w:p w:rsidR="00C017A6" w:rsidRPr="006E3241" w:rsidRDefault="00C017A6" w:rsidP="00C017A6">
      <w:pPr>
        <w:autoSpaceDE w:val="0"/>
        <w:autoSpaceDN w:val="0"/>
        <w:adjustRightInd w:val="0"/>
        <w:rPr>
          <w:color w:val="000000"/>
        </w:rPr>
      </w:pPr>
      <w:r w:rsidRPr="006172FF">
        <w:rPr>
          <w:color w:val="000000"/>
          <w:vertAlign w:val="superscript"/>
        </w:rPr>
        <w:t xml:space="preserve">i </w:t>
      </w:r>
      <w:r>
        <w:rPr>
          <w:color w:val="000000"/>
        </w:rPr>
        <w:t>CI confidence interval</w:t>
      </w:r>
    </w:p>
    <w:p w:rsidR="00C017A6" w:rsidRDefault="00C017A6"/>
    <w:sectPr w:rsidR="00C017A6" w:rsidSect="008F4E39">
      <w:headerReference w:type="default" r:id="rId86"/>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0A5" w:rsidRDefault="008350A5" w:rsidP="008F4E39">
      <w:pPr>
        <w:spacing w:line="240" w:lineRule="auto"/>
      </w:pPr>
      <w:r>
        <w:separator/>
      </w:r>
    </w:p>
  </w:endnote>
  <w:endnote w:type="continuationSeparator" w:id="0">
    <w:p w:rsidR="008350A5" w:rsidRDefault="008350A5" w:rsidP="008F4E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0A5" w:rsidRDefault="008350A5" w:rsidP="008F4E39">
      <w:pPr>
        <w:spacing w:line="240" w:lineRule="auto"/>
      </w:pPr>
      <w:r>
        <w:separator/>
      </w:r>
    </w:p>
  </w:footnote>
  <w:footnote w:type="continuationSeparator" w:id="0">
    <w:p w:rsidR="008350A5" w:rsidRDefault="008350A5" w:rsidP="008F4E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304756"/>
      <w:docPartObj>
        <w:docPartGallery w:val="Page Numbers (Top of Page)"/>
        <w:docPartUnique/>
      </w:docPartObj>
    </w:sdtPr>
    <w:sdtEndPr>
      <w:rPr>
        <w:noProof/>
      </w:rPr>
    </w:sdtEndPr>
    <w:sdtContent>
      <w:p w:rsidR="00065766" w:rsidRDefault="00065766">
        <w:pPr>
          <w:pStyle w:val="Header"/>
          <w:jc w:val="right"/>
        </w:pPr>
        <w:r>
          <w:fldChar w:fldCharType="begin"/>
        </w:r>
        <w:r>
          <w:instrText xml:space="preserve"> PAGE   \* MERGEFORMAT </w:instrText>
        </w:r>
        <w:r>
          <w:fldChar w:fldCharType="separate"/>
        </w:r>
        <w:r w:rsidR="00C11A18">
          <w:rPr>
            <w:noProof/>
          </w:rPr>
          <w:t>1</w:t>
        </w:r>
        <w:r>
          <w:rPr>
            <w:noProof/>
          </w:rPr>
          <w:fldChar w:fldCharType="end"/>
        </w:r>
      </w:p>
    </w:sdtContent>
  </w:sdt>
  <w:p w:rsidR="00065766" w:rsidRDefault="00065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B3492"/>
    <w:multiLevelType w:val="hybridMultilevel"/>
    <w:tmpl w:val="E488E23C"/>
    <w:lvl w:ilvl="0" w:tplc="1D9C7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88"/>
    <w:rsid w:val="00034CCC"/>
    <w:rsid w:val="00054F41"/>
    <w:rsid w:val="00065766"/>
    <w:rsid w:val="000A382B"/>
    <w:rsid w:val="000B6B2F"/>
    <w:rsid w:val="000C3F6A"/>
    <w:rsid w:val="000F3125"/>
    <w:rsid w:val="00133230"/>
    <w:rsid w:val="00151B44"/>
    <w:rsid w:val="00177DB0"/>
    <w:rsid w:val="001C2E8C"/>
    <w:rsid w:val="00204BE3"/>
    <w:rsid w:val="00212270"/>
    <w:rsid w:val="002B1715"/>
    <w:rsid w:val="002C70E3"/>
    <w:rsid w:val="002F02D6"/>
    <w:rsid w:val="002F2B1B"/>
    <w:rsid w:val="002F39F3"/>
    <w:rsid w:val="00305D9F"/>
    <w:rsid w:val="00352884"/>
    <w:rsid w:val="00354790"/>
    <w:rsid w:val="00387D1F"/>
    <w:rsid w:val="003B015F"/>
    <w:rsid w:val="003E4AA7"/>
    <w:rsid w:val="00427EE3"/>
    <w:rsid w:val="0045507E"/>
    <w:rsid w:val="004836C3"/>
    <w:rsid w:val="004855E4"/>
    <w:rsid w:val="004A1A27"/>
    <w:rsid w:val="004A70EC"/>
    <w:rsid w:val="004C4636"/>
    <w:rsid w:val="004F01E5"/>
    <w:rsid w:val="004F1D02"/>
    <w:rsid w:val="005459E6"/>
    <w:rsid w:val="00590482"/>
    <w:rsid w:val="00594CFB"/>
    <w:rsid w:val="005B3CC9"/>
    <w:rsid w:val="005C4B75"/>
    <w:rsid w:val="005D451B"/>
    <w:rsid w:val="005D6453"/>
    <w:rsid w:val="005F58F5"/>
    <w:rsid w:val="00624D33"/>
    <w:rsid w:val="006253BF"/>
    <w:rsid w:val="006449F5"/>
    <w:rsid w:val="006E337C"/>
    <w:rsid w:val="006F3905"/>
    <w:rsid w:val="006F7E27"/>
    <w:rsid w:val="00716550"/>
    <w:rsid w:val="0073563C"/>
    <w:rsid w:val="00741977"/>
    <w:rsid w:val="00746859"/>
    <w:rsid w:val="00766A35"/>
    <w:rsid w:val="007A6988"/>
    <w:rsid w:val="00806387"/>
    <w:rsid w:val="008350A5"/>
    <w:rsid w:val="00886659"/>
    <w:rsid w:val="008C379C"/>
    <w:rsid w:val="008C695A"/>
    <w:rsid w:val="008F4E39"/>
    <w:rsid w:val="009022AA"/>
    <w:rsid w:val="0092761B"/>
    <w:rsid w:val="00941EA3"/>
    <w:rsid w:val="00987C94"/>
    <w:rsid w:val="00995D6E"/>
    <w:rsid w:val="009A2ABA"/>
    <w:rsid w:val="009C153F"/>
    <w:rsid w:val="009E14AE"/>
    <w:rsid w:val="00A042EC"/>
    <w:rsid w:val="00A22D96"/>
    <w:rsid w:val="00A63F08"/>
    <w:rsid w:val="00A779AD"/>
    <w:rsid w:val="00A83241"/>
    <w:rsid w:val="00A842FA"/>
    <w:rsid w:val="00A97253"/>
    <w:rsid w:val="00AE3882"/>
    <w:rsid w:val="00AF76AA"/>
    <w:rsid w:val="00B2129B"/>
    <w:rsid w:val="00B40159"/>
    <w:rsid w:val="00B45E16"/>
    <w:rsid w:val="00B54E01"/>
    <w:rsid w:val="00BB5CD4"/>
    <w:rsid w:val="00C017A6"/>
    <w:rsid w:val="00C11A18"/>
    <w:rsid w:val="00C317B0"/>
    <w:rsid w:val="00C428D1"/>
    <w:rsid w:val="00CC2806"/>
    <w:rsid w:val="00CC68FD"/>
    <w:rsid w:val="00D11754"/>
    <w:rsid w:val="00D1692D"/>
    <w:rsid w:val="00D702BF"/>
    <w:rsid w:val="00D97439"/>
    <w:rsid w:val="00DB3074"/>
    <w:rsid w:val="00DC355E"/>
    <w:rsid w:val="00DD2B3B"/>
    <w:rsid w:val="00DE08F3"/>
    <w:rsid w:val="00DE592C"/>
    <w:rsid w:val="00E17D9A"/>
    <w:rsid w:val="00E50A8E"/>
    <w:rsid w:val="00E97894"/>
    <w:rsid w:val="00EB2362"/>
    <w:rsid w:val="00EB4971"/>
    <w:rsid w:val="00EB6C35"/>
    <w:rsid w:val="00EE7312"/>
    <w:rsid w:val="00F01E9B"/>
    <w:rsid w:val="00F36BC3"/>
    <w:rsid w:val="00F41CAF"/>
    <w:rsid w:val="00F9396A"/>
    <w:rsid w:val="00FB1767"/>
    <w:rsid w:val="00FD6095"/>
    <w:rsid w:val="00FE7B99"/>
    <w:rsid w:val="00FF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D9880-9A75-4ABB-A8A2-30F876F4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988"/>
  </w:style>
  <w:style w:type="paragraph" w:styleId="Heading1">
    <w:name w:val="heading 1"/>
    <w:basedOn w:val="Normal"/>
    <w:link w:val="Heading1Char"/>
    <w:uiPriority w:val="9"/>
    <w:qFormat/>
    <w:rsid w:val="0088665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9E6"/>
    <w:pPr>
      <w:ind w:left="720"/>
      <w:contextualSpacing/>
    </w:pPr>
  </w:style>
  <w:style w:type="character" w:styleId="LineNumber">
    <w:name w:val="line number"/>
    <w:basedOn w:val="DefaultParagraphFont"/>
    <w:uiPriority w:val="99"/>
    <w:semiHidden/>
    <w:unhideWhenUsed/>
    <w:rsid w:val="008F4E39"/>
  </w:style>
  <w:style w:type="paragraph" w:styleId="Header">
    <w:name w:val="header"/>
    <w:basedOn w:val="Normal"/>
    <w:link w:val="HeaderChar"/>
    <w:uiPriority w:val="99"/>
    <w:unhideWhenUsed/>
    <w:rsid w:val="008F4E39"/>
    <w:pPr>
      <w:tabs>
        <w:tab w:val="center" w:pos="4680"/>
        <w:tab w:val="right" w:pos="9360"/>
      </w:tabs>
      <w:spacing w:line="240" w:lineRule="auto"/>
    </w:pPr>
  </w:style>
  <w:style w:type="character" w:customStyle="1" w:styleId="HeaderChar">
    <w:name w:val="Header Char"/>
    <w:basedOn w:val="DefaultParagraphFont"/>
    <w:link w:val="Header"/>
    <w:uiPriority w:val="99"/>
    <w:rsid w:val="008F4E39"/>
  </w:style>
  <w:style w:type="paragraph" w:styleId="Footer">
    <w:name w:val="footer"/>
    <w:basedOn w:val="Normal"/>
    <w:link w:val="FooterChar"/>
    <w:uiPriority w:val="99"/>
    <w:unhideWhenUsed/>
    <w:rsid w:val="008F4E39"/>
    <w:pPr>
      <w:tabs>
        <w:tab w:val="center" w:pos="4680"/>
        <w:tab w:val="right" w:pos="9360"/>
      </w:tabs>
      <w:spacing w:line="240" w:lineRule="auto"/>
    </w:pPr>
  </w:style>
  <w:style w:type="character" w:customStyle="1" w:styleId="FooterChar">
    <w:name w:val="Footer Char"/>
    <w:basedOn w:val="DefaultParagraphFont"/>
    <w:link w:val="Footer"/>
    <w:uiPriority w:val="99"/>
    <w:rsid w:val="008F4E39"/>
  </w:style>
  <w:style w:type="character" w:styleId="Emphasis">
    <w:name w:val="Emphasis"/>
    <w:basedOn w:val="DefaultParagraphFont"/>
    <w:uiPriority w:val="20"/>
    <w:qFormat/>
    <w:rsid w:val="00034CCC"/>
    <w:rPr>
      <w:i/>
      <w:iCs/>
    </w:rPr>
  </w:style>
  <w:style w:type="character" w:customStyle="1" w:styleId="Heading1Char">
    <w:name w:val="Heading 1 Char"/>
    <w:basedOn w:val="DefaultParagraphFont"/>
    <w:link w:val="Heading1"/>
    <w:uiPriority w:val="9"/>
    <w:rsid w:val="00886659"/>
    <w:rPr>
      <w:rFonts w:eastAsia="Times New Roman"/>
      <w:b/>
      <w:bCs/>
      <w:kern w:val="36"/>
      <w:sz w:val="48"/>
      <w:szCs w:val="48"/>
    </w:rPr>
  </w:style>
  <w:style w:type="character" w:styleId="Hyperlink">
    <w:name w:val="Hyperlink"/>
    <w:basedOn w:val="DefaultParagraphFont"/>
    <w:uiPriority w:val="99"/>
    <w:unhideWhenUsed/>
    <w:rsid w:val="00886659"/>
    <w:rPr>
      <w:color w:val="0563C1" w:themeColor="hyperlink"/>
      <w:u w:val="single"/>
    </w:rPr>
  </w:style>
  <w:style w:type="character" w:customStyle="1" w:styleId="apple-converted-space">
    <w:name w:val="apple-converted-space"/>
    <w:basedOn w:val="DefaultParagraphFont"/>
    <w:rsid w:val="00886659"/>
  </w:style>
  <w:style w:type="paragraph" w:customStyle="1" w:styleId="Title1">
    <w:name w:val="Title1"/>
    <w:basedOn w:val="Normal"/>
    <w:rsid w:val="00886659"/>
    <w:pPr>
      <w:spacing w:before="100" w:beforeAutospacing="1" w:after="100" w:afterAutospacing="1" w:line="240" w:lineRule="auto"/>
    </w:pPr>
    <w:rPr>
      <w:rFonts w:eastAsia="Times New Roman"/>
    </w:rPr>
  </w:style>
  <w:style w:type="paragraph" w:customStyle="1" w:styleId="desc">
    <w:name w:val="desc"/>
    <w:basedOn w:val="Normal"/>
    <w:rsid w:val="00886659"/>
    <w:pPr>
      <w:spacing w:before="100" w:beforeAutospacing="1" w:after="100" w:afterAutospacing="1" w:line="240" w:lineRule="auto"/>
    </w:pPr>
    <w:rPr>
      <w:rFonts w:eastAsia="Times New Roman"/>
    </w:rPr>
  </w:style>
  <w:style w:type="character" w:customStyle="1" w:styleId="jrnl">
    <w:name w:val="jrnl"/>
    <w:basedOn w:val="DefaultParagraphFont"/>
    <w:rsid w:val="00886659"/>
  </w:style>
  <w:style w:type="paragraph" w:customStyle="1" w:styleId="Title3">
    <w:name w:val="Title3"/>
    <w:basedOn w:val="Normal"/>
    <w:rsid w:val="00886659"/>
    <w:pPr>
      <w:spacing w:before="100" w:beforeAutospacing="1" w:after="100" w:afterAutospacing="1" w:line="240" w:lineRule="auto"/>
    </w:pPr>
    <w:rPr>
      <w:rFonts w:eastAsia="Times New Roman"/>
    </w:rPr>
  </w:style>
  <w:style w:type="character" w:customStyle="1" w:styleId="highlight">
    <w:name w:val="highlight"/>
    <w:basedOn w:val="DefaultParagraphFont"/>
    <w:rsid w:val="00886659"/>
  </w:style>
  <w:style w:type="table" w:styleId="ListTable6Colorful">
    <w:name w:val="List Table 6 Colorful"/>
    <w:basedOn w:val="TableNormal"/>
    <w:uiPriority w:val="51"/>
    <w:rsid w:val="00C017A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7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Schneider%20JS%5BAuthor%5D&amp;cauthor=true&amp;cauthor_uid=19368843" TargetMode="External"/><Relationship Id="rId18" Type="http://schemas.openxmlformats.org/officeDocument/2006/relationships/hyperlink" Target="https://www.ncbi.nlm.nih.gov/pubmed/?term=Faes%20C%5BAuthor%5D&amp;cauthor=true&amp;cauthor_uid=22895381" TargetMode="External"/><Relationship Id="rId26" Type="http://schemas.openxmlformats.org/officeDocument/2006/relationships/hyperlink" Target="https://www.ncbi.nlm.nih.gov/pubmed/19686871" TargetMode="External"/><Relationship Id="rId39" Type="http://schemas.openxmlformats.org/officeDocument/2006/relationships/hyperlink" Target="https://www.ncbi.nlm.nih.gov/pubmed/?term=Malle%20C%5BAuthor%5D&amp;cauthor=true&amp;cauthor_uid=27548274" TargetMode="External"/><Relationship Id="rId21" Type="http://schemas.openxmlformats.org/officeDocument/2006/relationships/hyperlink" Target="https://www.ncbi.nlm.nih.gov/pubmed/22895381" TargetMode="External"/><Relationship Id="rId34" Type="http://schemas.openxmlformats.org/officeDocument/2006/relationships/hyperlink" Target="https://www.ncbi.nlm.nih.gov/pubmed/?term=Ownby%20RL%5BAuthor%5D&amp;cauthor=true&amp;cauthor_uid=21165787" TargetMode="External"/><Relationship Id="rId42" Type="http://schemas.openxmlformats.org/officeDocument/2006/relationships/hyperlink" Target="https://www.ncbi.nlm.nih.gov/pubmed?term=((Malle%20C%5BAuthor%5D)%20AND%20altitude)%20AND%20(%222016%2F01%2F01%22%5BDate%20-%20Publication%5D%20%3A%20%223000%22%5BDate%20-%20Publication%5D)" TargetMode="External"/><Relationship Id="rId47" Type="http://schemas.openxmlformats.org/officeDocument/2006/relationships/hyperlink" Target="http://www.ncbi.nlm.nih.gov/pubmed/15672983" TargetMode="External"/><Relationship Id="rId50" Type="http://schemas.openxmlformats.org/officeDocument/2006/relationships/hyperlink" Target="https://www.ncbi.nlm.nih.gov/pubmed/?term=Duplain%20H%5BAuthor%5D&amp;cauthor=true&amp;cauthor_uid=26541425" TargetMode="External"/><Relationship Id="rId55" Type="http://schemas.openxmlformats.org/officeDocument/2006/relationships/hyperlink" Target="https://www.ncbi.nlm.nih.gov/pubmed/?term=Ayaviri%20A%5BAuthor%5D&amp;cauthor=true&amp;cauthor_uid=26541425" TargetMode="External"/><Relationship Id="rId63" Type="http://schemas.openxmlformats.org/officeDocument/2006/relationships/hyperlink" Target="https://www.ncbi.nlm.nih.gov/pubmed/?term=Fisch%20HU%5BAuthor%5D&amp;cauthor=true&amp;cauthor_uid=1335403" TargetMode="External"/><Relationship Id="rId68" Type="http://schemas.openxmlformats.org/officeDocument/2006/relationships/hyperlink" Target="http://www.ncbi.nlm.nih.gov/pubmed/24261052" TargetMode="External"/><Relationship Id="rId76" Type="http://schemas.openxmlformats.org/officeDocument/2006/relationships/hyperlink" Target="https://www.ncbi.nlm.nih.gov/pubmed/?term=Kamimori%20G%5BAuthor%5D&amp;cauthor=true&amp;cauthor_uid=8424737" TargetMode="External"/><Relationship Id="rId84" Type="http://schemas.openxmlformats.org/officeDocument/2006/relationships/hyperlink" Target="http://www.ncbi.nlm.nih.gov/pubmed/11543373" TargetMode="External"/><Relationship Id="rId7" Type="http://schemas.openxmlformats.org/officeDocument/2006/relationships/hyperlink" Target="http://dx.doi.org/10.1016/j.biopsych" TargetMode="External"/><Relationship Id="rId71" Type="http://schemas.openxmlformats.org/officeDocument/2006/relationships/hyperlink" Target="http://www.ncbi.nlm.nih.gov/pubmed/18456548" TargetMode="External"/><Relationship Id="rId2" Type="http://schemas.openxmlformats.org/officeDocument/2006/relationships/styles" Target="styles.xml"/><Relationship Id="rId16" Type="http://schemas.openxmlformats.org/officeDocument/2006/relationships/hyperlink" Target="https://www.ncbi.nlm.nih.gov/pubmed/?term=Pialoux%20V%5BAuthor%5D&amp;cauthor=true&amp;cauthor_uid=22895381" TargetMode="External"/><Relationship Id="rId29" Type="http://schemas.openxmlformats.org/officeDocument/2006/relationships/hyperlink" Target="https://www.ncbi.nlm.nih.gov/pubmed/?term=Ruyle%20BC%5BAuthor%5D&amp;cauthor=true&amp;cauthor_uid=24049118" TargetMode="External"/><Relationship Id="rId11" Type="http://schemas.openxmlformats.org/officeDocument/2006/relationships/hyperlink" Target="http://www.ncbi.nlm.nih.gov/pubmed/10544398" TargetMode="External"/><Relationship Id="rId24" Type="http://schemas.openxmlformats.org/officeDocument/2006/relationships/hyperlink" Target="https://www.ncbi.nlm.nih.gov/pubmed/?term=Hemmingsson%20T%5BAuthor%5D&amp;cauthor=true&amp;cauthor_uid=19686871" TargetMode="External"/><Relationship Id="rId32" Type="http://schemas.openxmlformats.org/officeDocument/2006/relationships/hyperlink" Target="https://www.ncbi.nlm.nih.gov/pubmed/24049118" TargetMode="External"/><Relationship Id="rId37" Type="http://schemas.openxmlformats.org/officeDocument/2006/relationships/hyperlink" Target="https://www.ncbi.nlm.nih.gov/pubmed/?term=Kumar%20M%5BAuthor%5D&amp;cauthor=true&amp;cauthor_uid=21165787" TargetMode="External"/><Relationship Id="rId40" Type="http://schemas.openxmlformats.org/officeDocument/2006/relationships/hyperlink" Target="https://www.ncbi.nlm.nih.gov/pubmed/?term=Ginon%20B%5BAuthor%5D&amp;cauthor=true&amp;cauthor_uid=27548274" TargetMode="External"/><Relationship Id="rId45" Type="http://schemas.openxmlformats.org/officeDocument/2006/relationships/hyperlink" Target="http://www.ncbi.nlm.nih.gov/pubmed/8517509" TargetMode="External"/><Relationship Id="rId53" Type="http://schemas.openxmlformats.org/officeDocument/2006/relationships/hyperlink" Target="https://www.ncbi.nlm.nih.gov/pubmed/?term=Allemann%20Y%5BAuthor%5D&amp;cauthor=true&amp;cauthor_uid=26541425" TargetMode="External"/><Relationship Id="rId58" Type="http://schemas.openxmlformats.org/officeDocument/2006/relationships/hyperlink" Target="https://www.ncbi.nlm.nih.gov/pubmed/?term=Scherrer%20U%5BAuthor%5D&amp;cauthor=true&amp;cauthor_uid=26541425" TargetMode="External"/><Relationship Id="rId66" Type="http://schemas.openxmlformats.org/officeDocument/2006/relationships/hyperlink" Target="http://www.ncbi.nlm.nih.gov/pubmed/15347858" TargetMode="External"/><Relationship Id="rId74" Type="http://schemas.openxmlformats.org/officeDocument/2006/relationships/hyperlink" Target="https://www.ncbi.nlm.nih.gov/pubmed/?term=Crowley%20J%5BAuthor%5D&amp;cauthor=true&amp;cauthor_uid=8424737" TargetMode="External"/><Relationship Id="rId79" Type="http://schemas.openxmlformats.org/officeDocument/2006/relationships/hyperlink" Target="https://www.ncbi.nlm.nih.gov/pubmed/?term=Devine%20J%5BAuthor%5D&amp;cauthor=true&amp;cauthor_uid=8424737"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ncbi.nlm.nih.gov/pubmed/?term=Schlaepfer%20TE%5BAuthor%5D&amp;cauthor=true&amp;cauthor_uid=1335403" TargetMode="External"/><Relationship Id="rId82" Type="http://schemas.openxmlformats.org/officeDocument/2006/relationships/hyperlink" Target="https://www.ncbi.nlm.nih.gov/pubmed/8424737" TargetMode="External"/><Relationship Id="rId19" Type="http://schemas.openxmlformats.org/officeDocument/2006/relationships/hyperlink" Target="https://www.ncbi.nlm.nih.gov/pubmed/?term=D%C3%A9riaz%20O%5BAuthor%5D&amp;cauthor=true&amp;cauthor_uid=22895381" TargetMode="External"/><Relationship Id="rId4" Type="http://schemas.openxmlformats.org/officeDocument/2006/relationships/webSettings" Target="webSettings.xml"/><Relationship Id="rId9" Type="http://schemas.openxmlformats.org/officeDocument/2006/relationships/hyperlink" Target="http://www.ncbi.nlm.nih.gov/pubmed/24279229" TargetMode="External"/><Relationship Id="rId14" Type="http://schemas.openxmlformats.org/officeDocument/2006/relationships/hyperlink" Target="https://www.ncbi.nlm.nih.gov/pubmed?term=((Decamp%20E%5BAuthor%5D)%20AND%20cognition)%20AND%20(%222009%2F01%2F01%22%5BDate%20-%20Publication%5D%20%3A%20%222010%2F01%2F01%22%5BDate%20-%20Publication%5D)" TargetMode="External"/><Relationship Id="rId22" Type="http://schemas.openxmlformats.org/officeDocument/2006/relationships/hyperlink" Target="http://www.ncbi.nlm.nih.gov/pubmed/7945132" TargetMode="External"/><Relationship Id="rId27" Type="http://schemas.openxmlformats.org/officeDocument/2006/relationships/hyperlink" Target="https://www.ncbi.nlm.nih.gov/pubmed/?term=King%20TL%5BAuthor%5D&amp;cauthor=true&amp;cauthor_uid=24049118" TargetMode="External"/><Relationship Id="rId30" Type="http://schemas.openxmlformats.org/officeDocument/2006/relationships/hyperlink" Target="https://www.ncbi.nlm.nih.gov/pubmed/?term=Heesch%20CM%5BAuthor%5D&amp;cauthor=true&amp;cauthor_uid=24049118" TargetMode="External"/><Relationship Id="rId35" Type="http://schemas.openxmlformats.org/officeDocument/2006/relationships/hyperlink" Target="https://www.ncbi.nlm.nih.gov/pubmed/?term=Waldrop-Valverde%20D%5BAuthor%5D&amp;cauthor=true&amp;cauthor_uid=21165787" TargetMode="External"/><Relationship Id="rId43" Type="http://schemas.openxmlformats.org/officeDocument/2006/relationships/hyperlink" Target="https://dx.doi.org/10.1089/ham.2016.0022" TargetMode="External"/><Relationship Id="rId48" Type="http://schemas.openxmlformats.org/officeDocument/2006/relationships/hyperlink" Target="https://www.ncbi.nlm.nih.gov/pubmed/?term=Rimoldi%20SF%5BAuthor%5D&amp;cauthor=true&amp;cauthor_uid=26541425" TargetMode="External"/><Relationship Id="rId56" Type="http://schemas.openxmlformats.org/officeDocument/2006/relationships/hyperlink" Target="https://www.ncbi.nlm.nih.gov/pubmed/?term=Salinas%20C%5BAuthor%5D&amp;cauthor=true&amp;cauthor_uid=26541425" TargetMode="External"/><Relationship Id="rId64" Type="http://schemas.openxmlformats.org/officeDocument/2006/relationships/hyperlink" Target="https://www.ncbi.nlm.nih.gov/pubmed/1335403" TargetMode="External"/><Relationship Id="rId69" Type="http://schemas.openxmlformats.org/officeDocument/2006/relationships/hyperlink" Target="http://www.ncbi.nlm.nih.gov/pubmed/25022157" TargetMode="External"/><Relationship Id="rId77" Type="http://schemas.openxmlformats.org/officeDocument/2006/relationships/hyperlink" Target="https://www.ncbi.nlm.nih.gov/pubmed/?term=Iwanyk%20E%5BAuthor%5D&amp;cauthor=true&amp;cauthor_uid=8424737" TargetMode="External"/><Relationship Id="rId8" Type="http://schemas.openxmlformats.org/officeDocument/2006/relationships/hyperlink" Target="http://www.ncbi.nlm.nih.gov/pubmed/24279229" TargetMode="External"/><Relationship Id="rId51" Type="http://schemas.openxmlformats.org/officeDocument/2006/relationships/hyperlink" Target="https://www.ncbi.nlm.nih.gov/pubmed/?term=Urben%20S%5BAuthor%5D&amp;cauthor=true&amp;cauthor_uid=26541425" TargetMode="External"/><Relationship Id="rId72" Type="http://schemas.openxmlformats.org/officeDocument/2006/relationships/hyperlink" Target="http://www.ncbi.nlm.nih.gov/pubmed/18456548" TargetMode="External"/><Relationship Id="rId80" Type="http://schemas.openxmlformats.org/officeDocument/2006/relationships/hyperlink" Target="https://www.ncbi.nlm.nih.gov/pubmed/?term=Belenky%20G%5BAuthor%5D&amp;cauthor=true&amp;cauthor_uid=8424737" TargetMode="External"/><Relationship Id="rId85" Type="http://schemas.openxmlformats.org/officeDocument/2006/relationships/hyperlink" Target="http://www.ncbi.nlm.nih.gov/pubmed/24377340" TargetMode="External"/><Relationship Id="rId3" Type="http://schemas.openxmlformats.org/officeDocument/2006/relationships/settings" Target="settings.xml"/><Relationship Id="rId12" Type="http://schemas.openxmlformats.org/officeDocument/2006/relationships/hyperlink" Target="https://www.ncbi.nlm.nih.gov/pubmed/?term=Decamp%20E%5BAuthor%5D&amp;cauthor=true&amp;cauthor_uid=19368843" TargetMode="External"/><Relationship Id="rId17" Type="http://schemas.openxmlformats.org/officeDocument/2006/relationships/hyperlink" Target="https://www.ncbi.nlm.nih.gov/pubmed/?term=Sartori%20C%5BAuthor%5D&amp;cauthor=true&amp;cauthor_uid=22895381" TargetMode="External"/><Relationship Id="rId25" Type="http://schemas.openxmlformats.org/officeDocument/2006/relationships/hyperlink" Target="https://www.ncbi.nlm.nih.gov/pubmed/?term=Linnarsson%20D%5BAuthor%5D&amp;cauthor=true&amp;cauthor_uid=19686871" TargetMode="External"/><Relationship Id="rId33" Type="http://schemas.openxmlformats.org/officeDocument/2006/relationships/hyperlink" Target="https://www.ncbi.nlm.nih.gov/pubmed/?term=Kumar%20AM%5BAuthor%5D&amp;cauthor=true&amp;cauthor_uid=21165787" TargetMode="External"/><Relationship Id="rId38" Type="http://schemas.openxmlformats.org/officeDocument/2006/relationships/hyperlink" Target="https://www.ncbi.nlm.nih.gov/pubmed?term=((Kumar%20AM%5BAuthor%5D)%20AND%20dopamine)%20AND%20(%222011%2F01%2F01%22%5BDate%20-%20Publication%5D%20%3A%20%222012%2F01%2F01%22%5BDate%20-%20Publication%5D)" TargetMode="External"/><Relationship Id="rId46" Type="http://schemas.openxmlformats.org/officeDocument/2006/relationships/hyperlink" Target="http://www.ncbi.nlm.nih.gov/pubmed/15672983" TargetMode="External"/><Relationship Id="rId59" Type="http://schemas.openxmlformats.org/officeDocument/2006/relationships/hyperlink" Target="https://www.ncbi.nlm.nih.gov/pubmed/?term=Sartori%20C%5BAuthor%5D&amp;cauthor=true&amp;cauthor_uid=26541425" TargetMode="External"/><Relationship Id="rId67" Type="http://schemas.openxmlformats.org/officeDocument/2006/relationships/hyperlink" Target="http://www.ncbi.nlm.nih.gov/pubmed/24261052" TargetMode="External"/><Relationship Id="rId20" Type="http://schemas.openxmlformats.org/officeDocument/2006/relationships/hyperlink" Target="https://www.ncbi.nlm.nih.gov/pubmed/?term=Millet%20GP%5BAuthor%5D&amp;cauthor=true&amp;cauthor_uid=22895381" TargetMode="External"/><Relationship Id="rId41" Type="http://schemas.openxmlformats.org/officeDocument/2006/relationships/hyperlink" Target="https://www.ncbi.nlm.nih.gov/pubmed/?term=Bourrilhon%20C%5BAuthor%5D&amp;cauthor=true&amp;cauthor_uid=27548274" TargetMode="External"/><Relationship Id="rId54" Type="http://schemas.openxmlformats.org/officeDocument/2006/relationships/hyperlink" Target="https://www.ncbi.nlm.nih.gov/pubmed/?term=Romero%20C%5BAuthor%5D&amp;cauthor=true&amp;cauthor_uid=26541425" TargetMode="External"/><Relationship Id="rId62" Type="http://schemas.openxmlformats.org/officeDocument/2006/relationships/hyperlink" Target="https://www.ncbi.nlm.nih.gov/pubmed/?term=B%C3%A4rtsch%20P%5BAuthor%5D&amp;cauthor=true&amp;cauthor_uid=1335403" TargetMode="External"/><Relationship Id="rId70" Type="http://schemas.openxmlformats.org/officeDocument/2006/relationships/hyperlink" Target="http://www.ncbi.nlm.nih.gov/pubmed/25022157" TargetMode="External"/><Relationship Id="rId75" Type="http://schemas.openxmlformats.org/officeDocument/2006/relationships/hyperlink" Target="https://www.ncbi.nlm.nih.gov/pubmed/?term=Balkin%20T%5BAuthor%5D&amp;cauthor=true&amp;cauthor_uid=8424737" TargetMode="External"/><Relationship Id="rId83" Type="http://schemas.openxmlformats.org/officeDocument/2006/relationships/hyperlink" Target="http://www.ncbi.nlm.nih.gov/pubmed/11543373"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cbi.nlm.nih.gov/pubmed/?term=Faiss%20R%5BAuthor%5D&amp;cauthor=true&amp;cauthor_uid=22895381" TargetMode="External"/><Relationship Id="rId23" Type="http://schemas.openxmlformats.org/officeDocument/2006/relationships/hyperlink" Target="http://www.ncbi.nlm.nih.gov/pubmed/7945132" TargetMode="External"/><Relationship Id="rId28" Type="http://schemas.openxmlformats.org/officeDocument/2006/relationships/hyperlink" Target="https://www.ncbi.nlm.nih.gov/pubmed/?term=Kline%20DD%5BAuthor%5D&amp;cauthor=true&amp;cauthor_uid=24049118" TargetMode="External"/><Relationship Id="rId36" Type="http://schemas.openxmlformats.org/officeDocument/2006/relationships/hyperlink" Target="https://www.ncbi.nlm.nih.gov/pubmed/?term=Fernandez%20B%5BAuthor%5D&amp;cauthor=true&amp;cauthor_uid=21165787" TargetMode="External"/><Relationship Id="rId49" Type="http://schemas.openxmlformats.org/officeDocument/2006/relationships/hyperlink" Target="https://www.ncbi.nlm.nih.gov/pubmed/?term=Rexhaj%20E%5BAuthor%5D&amp;cauthor=true&amp;cauthor_uid=26541425" TargetMode="External"/><Relationship Id="rId57" Type="http://schemas.openxmlformats.org/officeDocument/2006/relationships/hyperlink" Target="https://www.ncbi.nlm.nih.gov/pubmed/?term=Villena%20M%5BAuthor%5D&amp;cauthor=true&amp;cauthor_uid=26541425" TargetMode="External"/><Relationship Id="rId10" Type="http://schemas.openxmlformats.org/officeDocument/2006/relationships/hyperlink" Target="http://www.ncbi.nlm.nih.gov/pubmed/10544398" TargetMode="External"/><Relationship Id="rId31" Type="http://schemas.openxmlformats.org/officeDocument/2006/relationships/hyperlink" Target="https://www.ncbi.nlm.nih.gov/pubmed/?term=Hasser%20EM%5BAuthor%5D&amp;cauthor=true&amp;cauthor_uid=24049118" TargetMode="External"/><Relationship Id="rId44" Type="http://schemas.openxmlformats.org/officeDocument/2006/relationships/hyperlink" Target="http://www.ncbi.nlm.nih.gov/pubmed/8517509" TargetMode="External"/><Relationship Id="rId52" Type="http://schemas.openxmlformats.org/officeDocument/2006/relationships/hyperlink" Target="https://www.ncbi.nlm.nih.gov/pubmed/?term=Billieux%20J%5BAuthor%5D&amp;cauthor=true&amp;cauthor_uid=26541425" TargetMode="External"/><Relationship Id="rId60" Type="http://schemas.openxmlformats.org/officeDocument/2006/relationships/hyperlink" Target="https://www.ncbi.nlm.nih.gov/pubmed?term=(Rimoldi%20SF%5BAuthor%5D)%20AND%20cognition" TargetMode="External"/><Relationship Id="rId65" Type="http://schemas.openxmlformats.org/officeDocument/2006/relationships/hyperlink" Target="http://www.ncbi.nlm.nih.gov/pubmed/15347858" TargetMode="External"/><Relationship Id="rId73" Type="http://schemas.openxmlformats.org/officeDocument/2006/relationships/hyperlink" Target="https://www.ncbi.nlm.nih.gov/pubmed/?term=Wesensten%20NJ%5BAuthor%5D&amp;cauthor=true&amp;cauthor_uid=8424737" TargetMode="External"/><Relationship Id="rId78" Type="http://schemas.openxmlformats.org/officeDocument/2006/relationships/hyperlink" Target="https://www.ncbi.nlm.nih.gov/pubmed/?term=Pearson%20N%5BAuthor%5D&amp;cauthor=true&amp;cauthor_uid=8424737" TargetMode="External"/><Relationship Id="rId81" Type="http://schemas.openxmlformats.org/officeDocument/2006/relationships/hyperlink" Target="https://www.ncbi.nlm.nih.gov/pubmed/?term=Cymerman%20A%5BAuthor%5D&amp;cauthor=true&amp;cauthor_uid=8424737" TargetMode="External"/><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9398</Words>
  <Characters>53574</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McMorris</dc:creator>
  <cp:keywords/>
  <dc:description/>
  <cp:lastModifiedBy>Beverley Hale</cp:lastModifiedBy>
  <cp:revision>2</cp:revision>
  <dcterms:created xsi:type="dcterms:W3CDTF">2017-01-31T17:29:00Z</dcterms:created>
  <dcterms:modified xsi:type="dcterms:W3CDTF">2017-01-31T17:29:00Z</dcterms:modified>
</cp:coreProperties>
</file>