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66441" w14:textId="77777777" w:rsidR="00562BF4" w:rsidRPr="00562BF4" w:rsidRDefault="00562BF4">
      <w:pPr>
        <w:rPr>
          <w:b/>
        </w:rPr>
      </w:pPr>
      <w:bookmarkStart w:id="0" w:name="_GoBack"/>
      <w:bookmarkEnd w:id="0"/>
      <w:r w:rsidRPr="00562BF4">
        <w:rPr>
          <w:b/>
        </w:rPr>
        <w:t>Playing position influences the relative age effect in senior rugby union</w:t>
      </w:r>
    </w:p>
    <w:p w14:paraId="708D606B" w14:textId="77777777" w:rsidR="00562BF4" w:rsidRDefault="00562BF4">
      <w:r w:rsidRPr="00562BF4">
        <w:t>Kearney, P. E.</w:t>
      </w:r>
    </w:p>
    <w:p w14:paraId="1E46241A" w14:textId="77777777" w:rsidR="00562BF4" w:rsidRDefault="00562BF4">
      <w:r w:rsidRPr="00562BF4">
        <w:t>Department of Sport &amp; Exercise Sciences, University of Chichester, UK</w:t>
      </w:r>
    </w:p>
    <w:p w14:paraId="66D40E04" w14:textId="2A0D9FA5" w:rsidR="00562BF4" w:rsidRDefault="00562BF4">
      <w:r>
        <w:t>Corresponde</w:t>
      </w:r>
      <w:r w:rsidRPr="00562BF4">
        <w:t>nce</w:t>
      </w:r>
      <w:r>
        <w:t xml:space="preserve"> </w:t>
      </w:r>
      <w:r w:rsidRPr="00562BF4">
        <w:t>to be addressed to Philip Kearney, tel. 01243 816353, e mail</w:t>
      </w:r>
      <w:r>
        <w:t xml:space="preserve"> </w:t>
      </w:r>
      <w:hyperlink r:id="rId8" w:history="1">
        <w:r w:rsidRPr="008169CD">
          <w:rPr>
            <w:rStyle w:val="Hyperlink"/>
          </w:rPr>
          <w:t>p.kearney@chi.ac.uk</w:t>
        </w:r>
      </w:hyperlink>
      <w:r>
        <w:t xml:space="preserve"> </w:t>
      </w:r>
      <w:r>
        <w:br w:type="page"/>
      </w:r>
    </w:p>
    <w:p w14:paraId="5568DB02" w14:textId="6052E2CF" w:rsidR="0020482B" w:rsidRDefault="00025E45" w:rsidP="00B71F9F">
      <w:pPr>
        <w:spacing w:line="240" w:lineRule="auto"/>
        <w:rPr>
          <w:iCs/>
        </w:rPr>
      </w:pPr>
      <w:r>
        <w:lastRenderedPageBreak/>
        <w:t xml:space="preserve">English </w:t>
      </w:r>
      <w:r w:rsidR="0020482B">
        <w:rPr>
          <w:iCs/>
        </w:rPr>
        <w:t>Abstract</w:t>
      </w:r>
    </w:p>
    <w:p w14:paraId="32A6C394" w14:textId="5F28EA7C" w:rsidR="0020482B" w:rsidRDefault="351051A6" w:rsidP="00B71F9F">
      <w:pPr>
        <w:spacing w:line="240" w:lineRule="auto"/>
      </w:pPr>
      <w:r w:rsidRPr="351051A6">
        <w:rPr>
          <w:i/>
          <w:iCs/>
        </w:rPr>
        <w:t xml:space="preserve">Objective. – </w:t>
      </w:r>
      <w:r>
        <w:t>To establish whether playing position influenced the existence of the relative age effect (RAE) in senior rugby union.</w:t>
      </w:r>
    </w:p>
    <w:p w14:paraId="08638247" w14:textId="0C5789AE" w:rsidR="0020482B" w:rsidRPr="00D71A01" w:rsidRDefault="351051A6" w:rsidP="00B71F9F">
      <w:pPr>
        <w:spacing w:line="240" w:lineRule="auto"/>
        <w:rPr>
          <w:iCs/>
        </w:rPr>
      </w:pPr>
      <w:r w:rsidRPr="351051A6">
        <w:rPr>
          <w:i/>
          <w:iCs/>
        </w:rPr>
        <w:t>Summary of facts and results</w:t>
      </w:r>
      <w:r>
        <w:t>. – The birth dates and playing position of 1991 senior French rugby union players registered during the 2014/15 season were obtained from an on-line statistics database. The distribution of player births was compared with the distribution of births in the general French population across the period in question. Results indicated that a RAE existed for forwards but not backline players.  Back row forwards in particular showed a pronounced RAE.</w:t>
      </w:r>
    </w:p>
    <w:p w14:paraId="1EE600FA" w14:textId="1FEC9F34" w:rsidR="00025E45" w:rsidRDefault="0020482B" w:rsidP="00B71F9F">
      <w:pPr>
        <w:spacing w:line="240" w:lineRule="auto"/>
      </w:pPr>
      <w:r w:rsidRPr="472373D8">
        <w:rPr>
          <w:i/>
          <w:iCs/>
        </w:rPr>
        <w:t>Conclusion</w:t>
      </w:r>
      <w:r>
        <w:t>. – The existence of the RAE within senior French rugby union is influenced by player position</w:t>
      </w:r>
      <w:r w:rsidR="00A77A5B">
        <w:t>.</w:t>
      </w:r>
    </w:p>
    <w:p w14:paraId="3D624E3F" w14:textId="77777777" w:rsidR="00C37CBC" w:rsidRDefault="00C37CBC" w:rsidP="00C37CBC">
      <w:pPr>
        <w:spacing w:line="240" w:lineRule="auto"/>
      </w:pPr>
      <w:r>
        <w:t>Key words</w:t>
      </w:r>
    </w:p>
    <w:p w14:paraId="53A45539" w14:textId="731EE8E4" w:rsidR="00C37CBC" w:rsidRDefault="00C37CBC" w:rsidP="00B71F9F">
      <w:pPr>
        <w:spacing w:line="240" w:lineRule="auto"/>
      </w:pPr>
      <w:r>
        <w:t>Birth date; team sport</w:t>
      </w:r>
    </w:p>
    <w:p w14:paraId="12C2ED97" w14:textId="77777777" w:rsidR="00E92613" w:rsidRDefault="00E92613" w:rsidP="00A30727">
      <w:pPr>
        <w:rPr>
          <w:color w:val="000000" w:themeColor="text1"/>
        </w:rPr>
      </w:pPr>
    </w:p>
    <w:p w14:paraId="499B01CB" w14:textId="77777777" w:rsidR="0020482B" w:rsidRPr="00A30727" w:rsidRDefault="0020482B" w:rsidP="00A30727">
      <w:pPr>
        <w:rPr>
          <w:color w:val="000000" w:themeColor="text1"/>
        </w:rPr>
      </w:pPr>
      <w:r w:rsidRPr="00A30727">
        <w:rPr>
          <w:color w:val="000000" w:themeColor="text1"/>
        </w:rPr>
        <w:t>Résumé</w:t>
      </w:r>
    </w:p>
    <w:p w14:paraId="2F75271D" w14:textId="7CEDA8C4" w:rsidR="00193C94" w:rsidRPr="00A30727" w:rsidRDefault="04B5BF65" w:rsidP="00A30727">
      <w:pPr>
        <w:rPr>
          <w:color w:val="000000" w:themeColor="text1"/>
        </w:rPr>
      </w:pPr>
      <w:r w:rsidRPr="00A30727">
        <w:rPr>
          <w:i/>
          <w:iCs/>
          <w:color w:val="000000" w:themeColor="text1"/>
        </w:rPr>
        <w:t xml:space="preserve">Objectif. – </w:t>
      </w:r>
      <w:r w:rsidR="00A30727" w:rsidRPr="00A30727">
        <w:rPr>
          <w:i/>
          <w:iCs/>
          <w:color w:val="000000" w:themeColor="text1"/>
          <w:lang w:val="fr-FR"/>
        </w:rPr>
        <w:t xml:space="preserve">– </w:t>
      </w:r>
      <w:r w:rsidR="00A30727" w:rsidRPr="00A30727">
        <w:rPr>
          <w:iCs/>
          <w:color w:val="000000" w:themeColor="text1"/>
          <w:lang w:val="fr-FR"/>
        </w:rPr>
        <w:t>Déterminer si le poste de jeu influence l’existence</w:t>
      </w:r>
      <w:r w:rsidR="00A30727" w:rsidRPr="00A30727">
        <w:rPr>
          <w:color w:val="000000" w:themeColor="text1"/>
        </w:rPr>
        <w:t xml:space="preserve"> </w:t>
      </w:r>
      <w:r w:rsidR="000A53AB" w:rsidRPr="00A30727">
        <w:rPr>
          <w:color w:val="000000" w:themeColor="text1"/>
        </w:rPr>
        <w:t>d</w:t>
      </w:r>
      <w:r w:rsidR="0093483F" w:rsidRPr="00A30727">
        <w:rPr>
          <w:color w:val="000000" w:themeColor="text1"/>
        </w:rPr>
        <w:t xml:space="preserve">’un effet d’âge relatif (RAE) </w:t>
      </w:r>
      <w:r w:rsidR="00E16E15" w:rsidRPr="00A30727">
        <w:rPr>
          <w:color w:val="000000" w:themeColor="text1"/>
        </w:rPr>
        <w:t>chez d</w:t>
      </w:r>
      <w:r w:rsidR="000A53AB" w:rsidRPr="00A30727">
        <w:rPr>
          <w:color w:val="000000" w:themeColor="text1"/>
        </w:rPr>
        <w:t xml:space="preserve">es rugbymen </w:t>
      </w:r>
      <w:r w:rsidR="00E16E15" w:rsidRPr="00A30727">
        <w:rPr>
          <w:color w:val="000000" w:themeColor="text1"/>
        </w:rPr>
        <w:t xml:space="preserve">de haut niveau. </w:t>
      </w:r>
    </w:p>
    <w:p w14:paraId="709A3AEF" w14:textId="4B793AC0" w:rsidR="00193C94" w:rsidRPr="00A30727" w:rsidRDefault="04B5BF65" w:rsidP="00A30727">
      <w:pPr>
        <w:rPr>
          <w:iCs/>
          <w:color w:val="000000" w:themeColor="text1"/>
          <w:lang w:val="fr-FR"/>
        </w:rPr>
      </w:pPr>
      <w:r w:rsidRPr="00A30727">
        <w:rPr>
          <w:rFonts w:eastAsia="Times New Roman"/>
          <w:i/>
          <w:iCs/>
          <w:color w:val="000000" w:themeColor="text1"/>
        </w:rPr>
        <w:t>Synthèse des faits et résultats</w:t>
      </w:r>
      <w:r w:rsidRPr="00A30727">
        <w:rPr>
          <w:i/>
          <w:iCs/>
          <w:color w:val="000000" w:themeColor="text1"/>
        </w:rPr>
        <w:t xml:space="preserve">. – </w:t>
      </w:r>
      <w:r w:rsidR="00A30727" w:rsidRPr="00A30727">
        <w:rPr>
          <w:iCs/>
          <w:color w:val="000000" w:themeColor="text1"/>
          <w:lang w:val="fr-FR"/>
        </w:rPr>
        <w:t>Les dates de naissance et les postes de jeu de 1991 rugbymen français de haut niveau ont été recueillies à partir d’une base de données statistique en ligne, lors de la saison 2014/15. La répartition des dates de naissance des joueurs a été comparée à la répartition des naissances dans la population française globale, lors de la période choisie pour l’étude. Les résultats ont révélé l’existence d’un RAE pour les joueurs avants, mais pas pour les arrières. Le poste de la troisième ligne a montré un RAE particulièrement prononcé.</w:t>
      </w:r>
    </w:p>
    <w:p w14:paraId="108B83D5" w14:textId="0A68923C" w:rsidR="00025E45" w:rsidRDefault="00193C94" w:rsidP="00B71F9F">
      <w:pPr>
        <w:spacing w:line="240" w:lineRule="auto"/>
        <w:rPr>
          <w:color w:val="FF0000"/>
        </w:rPr>
      </w:pPr>
      <w:r w:rsidRPr="00974C04">
        <w:rPr>
          <w:i/>
        </w:rPr>
        <w:t>Conclusion</w:t>
      </w:r>
      <w:r w:rsidRPr="00B71F9F">
        <w:rPr>
          <w:i/>
          <w:color w:val="FF0000"/>
        </w:rPr>
        <w:t xml:space="preserve">. – </w:t>
      </w:r>
      <w:r w:rsidRPr="00B71F9F">
        <w:rPr>
          <w:color w:val="FF0000"/>
        </w:rPr>
        <w:t xml:space="preserve"> </w:t>
      </w:r>
      <w:r w:rsidR="00A30727">
        <w:rPr>
          <w:lang w:val="fr-FR"/>
        </w:rPr>
        <w:t>Le RAE chez des joueurs de rugby français de haut niveau est influencée par le poste des joueurs.</w:t>
      </w:r>
    </w:p>
    <w:p w14:paraId="26759B43" w14:textId="467D7A76" w:rsidR="00C37CBC" w:rsidRPr="00A30727" w:rsidRDefault="00C37CBC" w:rsidP="00B71F9F">
      <w:pPr>
        <w:spacing w:line="240" w:lineRule="auto"/>
        <w:rPr>
          <w:i/>
          <w:color w:val="000000" w:themeColor="text1"/>
        </w:rPr>
      </w:pPr>
      <w:r w:rsidRPr="00A30727">
        <w:rPr>
          <w:i/>
          <w:color w:val="000000" w:themeColor="text1"/>
        </w:rPr>
        <w:t>Mots clés</w:t>
      </w:r>
    </w:p>
    <w:p w14:paraId="56CFD3BD" w14:textId="4E48AEA6" w:rsidR="00C37CBC" w:rsidRPr="00A30727" w:rsidRDefault="00C37CBC" w:rsidP="00B71F9F">
      <w:pPr>
        <w:spacing w:line="240" w:lineRule="auto"/>
        <w:rPr>
          <w:color w:val="000000" w:themeColor="text1"/>
        </w:rPr>
      </w:pPr>
      <w:r w:rsidRPr="00A30727">
        <w:rPr>
          <w:color w:val="000000" w:themeColor="text1"/>
        </w:rPr>
        <w:t>Date de naissance, Sport collectif</w:t>
      </w:r>
    </w:p>
    <w:p w14:paraId="536C034E" w14:textId="77777777" w:rsidR="00025E45" w:rsidRPr="00414AF3" w:rsidRDefault="00025E45" w:rsidP="00B71F9F">
      <w:pPr>
        <w:pStyle w:val="ListParagraph"/>
        <w:numPr>
          <w:ilvl w:val="0"/>
          <w:numId w:val="3"/>
        </w:numPr>
        <w:spacing w:line="240" w:lineRule="auto"/>
        <w:ind w:left="284" w:hanging="284"/>
        <w:rPr>
          <w:b/>
        </w:rPr>
      </w:pPr>
      <w:r>
        <w:br w:type="page"/>
      </w:r>
      <w:r w:rsidRPr="00414AF3">
        <w:rPr>
          <w:b/>
        </w:rPr>
        <w:lastRenderedPageBreak/>
        <w:t>Introduction</w:t>
      </w:r>
    </w:p>
    <w:p w14:paraId="087C55B7" w14:textId="2966825F" w:rsidR="351051A6" w:rsidRDefault="351051A6" w:rsidP="351051A6">
      <w:pPr>
        <w:spacing w:line="480" w:lineRule="auto"/>
      </w:pPr>
      <w:r>
        <w:t>Within youth sport, children are frequently assigned to groups based upon their age on a specified cut-off date (e.g., January 1</w:t>
      </w:r>
      <w:r w:rsidRPr="351051A6">
        <w:rPr>
          <w:vertAlign w:val="superscript"/>
        </w:rPr>
        <w:t>st</w:t>
      </w:r>
      <w:r>
        <w:t>). An unintended consequence of this age-banding is that, within many high level youth and professional sport contexts, teams demonstrate an over-representation of individuals born soon after the cut-off date, and an under-representation of individuals born shortly before the cut-off date (1). This uneven distribution of birth dates is known as the relative age effect (RAE). Within team sports, playing position has been found to influence the existence of the RAE (2). Within the sport of rugby union, a RAE has been identified in professional players in France (3), however no investigation to date has considered the influence of playing position on the RAE in rugby union. Rugby union potentially accommodates a broader range of body types than many other field sports, with several playing positions associated with particular body morphologies (4). For example, scrum halves are typically the shortest players on the pitch, and their role is focused on the distribution of the ball. In contrast, lock forwards are typically the tallest players on the pitch, and their role is focused around competing for the ball in the air, and more physically demanding aspects of the game. Consequently, it is reasonable to hypothesise that the existence of RAEs in rugby union may be influenced by playing position.</w:t>
      </w:r>
    </w:p>
    <w:p w14:paraId="0C77649F" w14:textId="77777777" w:rsidR="00CE578E" w:rsidRPr="00414AF3" w:rsidRDefault="00CE578E" w:rsidP="00CE578E">
      <w:pPr>
        <w:pStyle w:val="ListParagraph"/>
        <w:numPr>
          <w:ilvl w:val="0"/>
          <w:numId w:val="2"/>
        </w:numPr>
        <w:spacing w:line="480" w:lineRule="auto"/>
        <w:ind w:left="284" w:hanging="284"/>
        <w:rPr>
          <w:b/>
        </w:rPr>
      </w:pPr>
      <w:r w:rsidRPr="00414AF3">
        <w:rPr>
          <w:b/>
        </w:rPr>
        <w:t>Materials and Methods</w:t>
      </w:r>
    </w:p>
    <w:p w14:paraId="5B5BDFBB" w14:textId="77777777" w:rsidR="00CE578E" w:rsidRDefault="00CE578E" w:rsidP="00CE578E">
      <w:pPr>
        <w:spacing w:line="480" w:lineRule="auto"/>
      </w:pPr>
      <w:r>
        <w:t>2.1. Subjects</w:t>
      </w:r>
    </w:p>
    <w:p w14:paraId="6EA2FD12" w14:textId="56565310" w:rsidR="00CE578E" w:rsidRDefault="351051A6" w:rsidP="00CE578E">
      <w:pPr>
        <w:spacing w:line="480" w:lineRule="auto"/>
      </w:pPr>
      <w:r>
        <w:t xml:space="preserve"> Subjects were senior male rugby players of French nationality registered to play during the 2014/15 season in the top three divisions of French rugby: the Top 14, Pro D2, and Federale 1.  Players were initially grouped according to the main positional division in rugby union into forwards (N = 1116) or backs (N = 875).  Players were also classified according to playing positions (4) (see Table 1). </w:t>
      </w:r>
    </w:p>
    <w:p w14:paraId="7DD38A34" w14:textId="77777777" w:rsidR="00CE578E" w:rsidRDefault="00CE578E" w:rsidP="00CE578E">
      <w:pPr>
        <w:spacing w:line="480" w:lineRule="auto"/>
      </w:pPr>
      <w:r>
        <w:lastRenderedPageBreak/>
        <w:t>2.2. Procedure</w:t>
      </w:r>
    </w:p>
    <w:p w14:paraId="3769F809" w14:textId="77777777" w:rsidR="00CE578E" w:rsidRDefault="00CE578E" w:rsidP="00CE578E">
      <w:pPr>
        <w:spacing w:line="480" w:lineRule="auto"/>
      </w:pPr>
      <w:r>
        <w:t>A review of an on-line database (</w:t>
      </w:r>
      <w:hyperlink r:id="rId9">
        <w:r w:rsidRPr="61BEA72A">
          <w:rPr>
            <w:rStyle w:val="Hyperlink"/>
          </w:rPr>
          <w:t>http://www.itsrugby.co.uk/</w:t>
        </w:r>
      </w:hyperlink>
      <w:r>
        <w:t>) revealed the names of 2135 players of French nationality. Dates of birth were available for 1991 of these players (93% of the sample).  A sample of birth dates was validated using team rosters available on the official websites of the relevant clubs. As the reported data is freely available on-line, informed consent was not required. However, all data is reported anonymously. Data on population statistics for the years in which the players within this study were born was obtained from the United Nations Statistics Division (</w:t>
      </w:r>
      <w:hyperlink r:id="rId10" w:history="1">
        <w:r w:rsidRPr="00644A5E">
          <w:rPr>
            <w:rStyle w:val="Hyperlink"/>
          </w:rPr>
          <w:t>http://data.un.org/Default.aspx</w:t>
        </w:r>
      </w:hyperlink>
      <w:r>
        <w:t xml:space="preserve">). </w:t>
      </w:r>
    </w:p>
    <w:p w14:paraId="775D3095" w14:textId="77777777" w:rsidR="00CE578E" w:rsidRDefault="00CE578E" w:rsidP="00CE578E">
      <w:pPr>
        <w:spacing w:line="480" w:lineRule="auto"/>
      </w:pPr>
      <w:r>
        <w:t>2.3. Data Analysis</w:t>
      </w:r>
    </w:p>
    <w:p w14:paraId="6E23F356" w14:textId="5CEF199E" w:rsidR="00E70E20" w:rsidRDefault="351051A6" w:rsidP="00E70E20">
      <w:pPr>
        <w:spacing w:line="480" w:lineRule="auto"/>
        <w:rPr>
          <w:b/>
        </w:rPr>
      </w:pPr>
      <w:r w:rsidRPr="351051A6">
        <w:rPr>
          <w:rFonts w:eastAsia="Times New Roman"/>
        </w:rPr>
        <w:t xml:space="preserve">Consistent with the selection year, players’ birth dates were categorised into four quarters (Q), starting with January-February-March (Q1) and finishing with October-November-December (Q4). </w:t>
      </w:r>
      <w:r>
        <w:t>Chi-squared Goodness of Fit tests were used to examine whether the distribution of births differed from that of the general French population across the period in question (1974-1996). Cohen’s w provided a measure of effect size, with w values of 0.1, 0.3 and 0.5 indicating a small, medium and large effect size, respectively. Where significant chi-square results were found, standardized residuals (SR) provided a post-hoc test to identify in which quarters there were significant deviations from the expected frequencies. A positive SR indicated a higher than expected number of births in that quarter. A negative SR indicated a lower than expected number of births in that quarter. SRs ≥ ±1.96 were deemed noteworthy.</w:t>
      </w:r>
    </w:p>
    <w:p w14:paraId="743B286B" w14:textId="77777777" w:rsidR="00E70E20" w:rsidRPr="00414AF3" w:rsidRDefault="00E70E20" w:rsidP="00E70E20">
      <w:pPr>
        <w:pStyle w:val="ListParagraph"/>
        <w:numPr>
          <w:ilvl w:val="0"/>
          <w:numId w:val="2"/>
        </w:numPr>
        <w:spacing w:line="480" w:lineRule="auto"/>
        <w:ind w:left="284" w:hanging="284"/>
        <w:rPr>
          <w:b/>
        </w:rPr>
      </w:pPr>
      <w:r w:rsidRPr="00414AF3">
        <w:rPr>
          <w:b/>
        </w:rPr>
        <w:t>Results</w:t>
      </w:r>
    </w:p>
    <w:p w14:paraId="1C8A8C95" w14:textId="371B445E" w:rsidR="00E70E20" w:rsidRDefault="351051A6" w:rsidP="00E70E20">
      <w:pPr>
        <w:spacing w:line="480" w:lineRule="auto"/>
      </w:pPr>
      <w:r>
        <w:t xml:space="preserve">A RAE was evident for the total population (Table 1). Post hoc tests revealed an under-representation of players born in Q4 (SR = -3.49). A significant RAE was evident amongst forwards, but not for backline players.  Post-hoc tests revealed that amongst forwards there </w:t>
      </w:r>
      <w:r>
        <w:lastRenderedPageBreak/>
        <w:t>was an over-representation of players born in Q1 (SR = 2.68) and an under-representation of players born in Q4 (SR = -2.43). Analysis of the more specific playing positions indicated deviations from an even distribution of births amongst back row players only. Post-hoc tests indicated an over-representation of players born in Q1 (SR = 2.66) and an under-representation of players born in Q4 (SR = -2.88).</w:t>
      </w:r>
    </w:p>
    <w:p w14:paraId="1E88407B" w14:textId="77777777" w:rsidR="00E70E20" w:rsidRPr="00E70E20" w:rsidRDefault="00E70E20" w:rsidP="00E70E20">
      <w:pPr>
        <w:pStyle w:val="ListParagraph"/>
        <w:numPr>
          <w:ilvl w:val="0"/>
          <w:numId w:val="2"/>
        </w:numPr>
        <w:spacing w:line="480" w:lineRule="auto"/>
        <w:ind w:left="284" w:hanging="284"/>
        <w:rPr>
          <w:b/>
        </w:rPr>
      </w:pPr>
      <w:r>
        <w:rPr>
          <w:b/>
        </w:rPr>
        <w:t>Discussion</w:t>
      </w:r>
    </w:p>
    <w:p w14:paraId="6C1E7BC8" w14:textId="732752BA" w:rsidR="00E70E20" w:rsidRDefault="351051A6" w:rsidP="00E70E20">
      <w:pPr>
        <w:spacing w:line="480" w:lineRule="auto"/>
      </w:pPr>
      <w:r>
        <w:t>Consistent with previous research by Delorme et al. (3), a weak RAE was found in the total population of senior French rugby union players registered for the 2014/15 season. Given the nature of their role on the pitch, the finding that a RAE was present within forwards but not backline players is consistent with the finding that RAEs are typically associated with more physically demanding sports (1). More specifically, the findings indicate that back row players in particular are at risk of bias during their development in the French rugby system. Specialist forward positions such as props (typically the heaviest players on the pitch) and locks (typically the tallest players on the pitch) have particular body shapes which may lead to their being designated for a specific position early in their development. The fact that the role of back row players requires size and physical strength, but is not associated with an extreme body shape may be the reason why back row forwards demonstrate the strongest RAE. As RAEs at senior level are symptomatic of underlying problems at youth level (1), junior rugby coaches should be vigilant that relative age does not bias coaching practice, particularly in relation to back row players.</w:t>
      </w:r>
    </w:p>
    <w:p w14:paraId="73C5CC1C" w14:textId="2B20A95E" w:rsidR="00E70E20" w:rsidRDefault="007E03D0" w:rsidP="00953852">
      <w:pPr>
        <w:spacing w:line="480" w:lineRule="auto"/>
        <w:rPr>
          <w:b/>
        </w:rPr>
      </w:pPr>
      <w:r>
        <w:rPr>
          <w:b/>
        </w:rPr>
        <w:t>Conclusion</w:t>
      </w:r>
    </w:p>
    <w:p w14:paraId="63DC878E" w14:textId="29072F8D" w:rsidR="2A003B51" w:rsidRDefault="007E03D0" w:rsidP="007E03D0">
      <w:pPr>
        <w:spacing w:line="480" w:lineRule="auto"/>
      </w:pPr>
      <w:r>
        <w:t>The relative age effect in rugby union appears to be more prominent in forward players, and in back row players in particular.</w:t>
      </w:r>
      <w:r w:rsidR="2A003B51">
        <w:br w:type="page"/>
      </w:r>
    </w:p>
    <w:p w14:paraId="3338477D" w14:textId="77777777" w:rsidR="00025E45" w:rsidRDefault="00025E45" w:rsidP="004C5FD8">
      <w:pPr>
        <w:spacing w:line="480" w:lineRule="auto"/>
      </w:pPr>
      <w:r>
        <w:lastRenderedPageBreak/>
        <w:t>Disclosure of interest</w:t>
      </w:r>
    </w:p>
    <w:p w14:paraId="02A22124" w14:textId="77777777" w:rsidR="00025E45" w:rsidRDefault="004C5FD8" w:rsidP="004C5FD8">
      <w:pPr>
        <w:spacing w:line="480" w:lineRule="auto"/>
      </w:pPr>
      <w:r>
        <w:t>The author declares that he has no conflicts of interest concerning this article.</w:t>
      </w:r>
    </w:p>
    <w:p w14:paraId="71A12E8A" w14:textId="77777777" w:rsidR="007E03D0" w:rsidRDefault="007E03D0" w:rsidP="004C5FD8">
      <w:pPr>
        <w:spacing w:line="480" w:lineRule="auto"/>
      </w:pPr>
    </w:p>
    <w:p w14:paraId="6C41264E" w14:textId="0BCDCF95" w:rsidR="007E03D0" w:rsidRDefault="007E03D0" w:rsidP="004C5FD8">
      <w:pPr>
        <w:spacing w:line="480" w:lineRule="auto"/>
      </w:pPr>
      <w:r>
        <w:t>References</w:t>
      </w:r>
    </w:p>
    <w:p w14:paraId="436CBC46" w14:textId="77777777" w:rsidR="00C3202A" w:rsidRDefault="00C3202A" w:rsidP="00FC0C2C">
      <w:pPr>
        <w:pStyle w:val="ListParagraph"/>
        <w:numPr>
          <w:ilvl w:val="0"/>
          <w:numId w:val="4"/>
        </w:numPr>
        <w:spacing w:line="480" w:lineRule="auto"/>
      </w:pPr>
      <w:r w:rsidRPr="00C3202A">
        <w:t>Cobley S, Baker J, Wattie N, McKenna J. Annual age-grouping and athlete development: a meta-analytical review of relative age effects in sport. Sports Med. 2009;39:235–56.</w:t>
      </w:r>
    </w:p>
    <w:p w14:paraId="123D9481" w14:textId="77777777" w:rsidR="00C3202A" w:rsidRDefault="00DB5033" w:rsidP="00FC0C2C">
      <w:pPr>
        <w:pStyle w:val="ListParagraph"/>
        <w:numPr>
          <w:ilvl w:val="0"/>
          <w:numId w:val="4"/>
        </w:numPr>
        <w:spacing w:line="480" w:lineRule="auto"/>
      </w:pPr>
      <w:r w:rsidRPr="00DB5033">
        <w:t>Romann M, Fuchslocher J. Influences of player nationality, playing position, and height on relative age effects at women's under-17 FIFA World Cup. J Sports Sci. 2013;31:32–40.</w:t>
      </w:r>
    </w:p>
    <w:p w14:paraId="6E25586D" w14:textId="77777777" w:rsidR="00C3202A" w:rsidRDefault="007E03D0" w:rsidP="004C5FD8">
      <w:pPr>
        <w:pStyle w:val="ListParagraph"/>
        <w:numPr>
          <w:ilvl w:val="0"/>
          <w:numId w:val="4"/>
        </w:numPr>
        <w:spacing w:line="480" w:lineRule="auto"/>
      </w:pPr>
      <w:r w:rsidRPr="007E03D0">
        <w:t>Delorme N, Boiche J, Raspaud M. The relative age effect in elite sport: the French case. Research Quarterly for Exercise &amp; Sport. 2009;80:336–44.</w:t>
      </w:r>
    </w:p>
    <w:p w14:paraId="77857EA3" w14:textId="29BE35C0" w:rsidR="00DB5033" w:rsidRDefault="00DB5033" w:rsidP="004C5FD8">
      <w:pPr>
        <w:pStyle w:val="ListParagraph"/>
        <w:numPr>
          <w:ilvl w:val="0"/>
          <w:numId w:val="4"/>
        </w:numPr>
        <w:spacing w:line="480" w:lineRule="auto"/>
      </w:pPr>
      <w:r w:rsidRPr="00DB5033">
        <w:t>Delahunt E, Byrne RB, Doolin RK, McInerney RG, Ruddock CT, Green BS. Anthropometric profile and body composition of Irish adolescent rugby union players aged 16-18. J Strength Cond Res. 2013;27:3252–8.</w:t>
      </w:r>
    </w:p>
    <w:p w14:paraId="782990D9" w14:textId="77777777" w:rsidR="007E03D0" w:rsidRDefault="007E03D0" w:rsidP="004C5FD8">
      <w:pPr>
        <w:spacing w:line="480" w:lineRule="auto"/>
      </w:pPr>
    </w:p>
    <w:p w14:paraId="1A676657" w14:textId="77777777" w:rsidR="007E03D0" w:rsidRDefault="007E03D0" w:rsidP="004C5FD8">
      <w:pPr>
        <w:spacing w:line="480" w:lineRule="auto"/>
      </w:pPr>
    </w:p>
    <w:p w14:paraId="229F4A2F" w14:textId="4186D7D8" w:rsidR="2A003B51" w:rsidRDefault="2A003B51"/>
    <w:p w14:paraId="1AC0203E" w14:textId="77777777" w:rsidR="00AD6703" w:rsidRDefault="00AD6703">
      <w:r>
        <w:br w:type="page"/>
      </w:r>
    </w:p>
    <w:p w14:paraId="169218B0" w14:textId="13B803E0" w:rsidR="00AD6703" w:rsidRDefault="00AD6703" w:rsidP="00AD6703">
      <w:pPr>
        <w:spacing w:line="480" w:lineRule="auto"/>
      </w:pPr>
      <w:r>
        <w:lastRenderedPageBreak/>
        <w:t xml:space="preserve">Table 1. Relative </w:t>
      </w:r>
      <w:r w:rsidR="00632B51">
        <w:t>a</w:t>
      </w:r>
      <w:r>
        <w:t>ge distribution of French rugby union players during the 2014-2015 season according to playing position.</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127"/>
        <w:gridCol w:w="1005"/>
        <w:gridCol w:w="923"/>
        <w:gridCol w:w="915"/>
        <w:gridCol w:w="982"/>
        <w:gridCol w:w="972"/>
        <w:gridCol w:w="972"/>
        <w:gridCol w:w="895"/>
      </w:tblGrid>
      <w:tr w:rsidR="00AD6703" w14:paraId="614C7BF4" w14:textId="77777777" w:rsidTr="00C73771">
        <w:trPr>
          <w:jc w:val="center"/>
        </w:trPr>
        <w:tc>
          <w:tcPr>
            <w:tcW w:w="2127" w:type="dxa"/>
          </w:tcPr>
          <w:p w14:paraId="7DC9E7CF" w14:textId="77777777" w:rsidR="00AD6703" w:rsidRDefault="00AD6703" w:rsidP="00C73771">
            <w:pPr>
              <w:spacing w:after="200" w:line="480" w:lineRule="auto"/>
            </w:pPr>
            <w:r w:rsidRPr="67835C1A">
              <w:rPr>
                <w:u w:val="single"/>
              </w:rPr>
              <w:t>Population (N)</w:t>
            </w:r>
          </w:p>
        </w:tc>
        <w:tc>
          <w:tcPr>
            <w:tcW w:w="3825" w:type="dxa"/>
            <w:gridSpan w:val="4"/>
            <w:tcBorders>
              <w:bottom w:val="nil"/>
            </w:tcBorders>
          </w:tcPr>
          <w:p w14:paraId="45CEE22A" w14:textId="77777777" w:rsidR="00AD6703" w:rsidRDefault="00AD6703" w:rsidP="00C73771">
            <w:pPr>
              <w:jc w:val="center"/>
            </w:pPr>
            <w:r w:rsidRPr="67835C1A">
              <w:rPr>
                <w:u w:val="single"/>
              </w:rPr>
              <w:t>Quarter of Birth</w:t>
            </w:r>
          </w:p>
        </w:tc>
        <w:tc>
          <w:tcPr>
            <w:tcW w:w="972" w:type="dxa"/>
            <w:tcBorders>
              <w:bottom w:val="nil"/>
            </w:tcBorders>
          </w:tcPr>
          <w:p w14:paraId="2CC749BD" w14:textId="77777777" w:rsidR="00AD6703" w:rsidRDefault="00AD6703" w:rsidP="00C73771">
            <w:pPr>
              <w:spacing w:after="200" w:line="480" w:lineRule="auto"/>
            </w:pPr>
          </w:p>
        </w:tc>
        <w:tc>
          <w:tcPr>
            <w:tcW w:w="972" w:type="dxa"/>
            <w:tcBorders>
              <w:bottom w:val="nil"/>
            </w:tcBorders>
          </w:tcPr>
          <w:p w14:paraId="7464A163" w14:textId="77777777" w:rsidR="00AD6703" w:rsidRDefault="00AD6703" w:rsidP="00C73771">
            <w:pPr>
              <w:spacing w:after="200" w:line="480" w:lineRule="auto"/>
            </w:pPr>
          </w:p>
        </w:tc>
        <w:tc>
          <w:tcPr>
            <w:tcW w:w="895" w:type="dxa"/>
            <w:tcBorders>
              <w:bottom w:val="nil"/>
            </w:tcBorders>
          </w:tcPr>
          <w:p w14:paraId="539048FA" w14:textId="77777777" w:rsidR="00AD6703" w:rsidRDefault="00AD6703" w:rsidP="00C73771">
            <w:pPr>
              <w:spacing w:after="200" w:line="480" w:lineRule="auto"/>
            </w:pPr>
          </w:p>
        </w:tc>
      </w:tr>
      <w:tr w:rsidR="00AD6703" w14:paraId="1784937C" w14:textId="77777777" w:rsidTr="00C73771">
        <w:trPr>
          <w:jc w:val="center"/>
        </w:trPr>
        <w:tc>
          <w:tcPr>
            <w:tcW w:w="2127" w:type="dxa"/>
          </w:tcPr>
          <w:p w14:paraId="4E3C3760" w14:textId="77777777" w:rsidR="00AD6703" w:rsidRDefault="00AD6703" w:rsidP="00C73771"/>
        </w:tc>
        <w:tc>
          <w:tcPr>
            <w:tcW w:w="1005" w:type="dxa"/>
            <w:tcBorders>
              <w:top w:val="nil"/>
            </w:tcBorders>
          </w:tcPr>
          <w:p w14:paraId="772541C0" w14:textId="77777777" w:rsidR="00AD6703" w:rsidRDefault="00AD6703" w:rsidP="00C73771">
            <w:pPr>
              <w:spacing w:after="200" w:line="480" w:lineRule="auto"/>
            </w:pPr>
            <w:r>
              <w:t>First</w:t>
            </w:r>
          </w:p>
        </w:tc>
        <w:tc>
          <w:tcPr>
            <w:tcW w:w="923" w:type="dxa"/>
            <w:tcBorders>
              <w:top w:val="nil"/>
            </w:tcBorders>
          </w:tcPr>
          <w:p w14:paraId="6B5867D2" w14:textId="77777777" w:rsidR="00AD6703" w:rsidRDefault="00AD6703" w:rsidP="00C73771">
            <w:pPr>
              <w:spacing w:after="200" w:line="480" w:lineRule="auto"/>
            </w:pPr>
            <w:r>
              <w:t>Second</w:t>
            </w:r>
          </w:p>
        </w:tc>
        <w:tc>
          <w:tcPr>
            <w:tcW w:w="915" w:type="dxa"/>
            <w:tcBorders>
              <w:top w:val="nil"/>
            </w:tcBorders>
          </w:tcPr>
          <w:p w14:paraId="3993D3E8" w14:textId="77777777" w:rsidR="00AD6703" w:rsidRDefault="00AD6703" w:rsidP="00C73771">
            <w:pPr>
              <w:spacing w:after="200" w:line="480" w:lineRule="auto"/>
            </w:pPr>
            <w:r>
              <w:t>Third</w:t>
            </w:r>
          </w:p>
        </w:tc>
        <w:tc>
          <w:tcPr>
            <w:tcW w:w="982" w:type="dxa"/>
            <w:tcBorders>
              <w:top w:val="nil"/>
            </w:tcBorders>
          </w:tcPr>
          <w:p w14:paraId="7735456B" w14:textId="77777777" w:rsidR="00AD6703" w:rsidRDefault="00AD6703" w:rsidP="00C73771">
            <w:pPr>
              <w:spacing w:after="200" w:line="480" w:lineRule="auto"/>
            </w:pPr>
            <w:r>
              <w:t>Fourth</w:t>
            </w:r>
          </w:p>
        </w:tc>
        <w:tc>
          <w:tcPr>
            <w:tcW w:w="972" w:type="dxa"/>
            <w:tcBorders>
              <w:top w:val="nil"/>
            </w:tcBorders>
          </w:tcPr>
          <w:p w14:paraId="51B5076A" w14:textId="77777777" w:rsidR="00AD6703" w:rsidRDefault="00AD6703" w:rsidP="00C73771">
            <w:pPr>
              <w:spacing w:after="200" w:line="480" w:lineRule="auto"/>
            </w:pPr>
            <w:r>
              <w:t>χ</w:t>
            </w:r>
            <w:r w:rsidRPr="67835C1A">
              <w:rPr>
                <w:vertAlign w:val="superscript"/>
              </w:rPr>
              <w:t>2</w:t>
            </w:r>
          </w:p>
        </w:tc>
        <w:tc>
          <w:tcPr>
            <w:tcW w:w="972" w:type="dxa"/>
            <w:tcBorders>
              <w:top w:val="nil"/>
            </w:tcBorders>
          </w:tcPr>
          <w:p w14:paraId="28EA5CC7" w14:textId="77777777" w:rsidR="00AD6703" w:rsidRDefault="00AD6703" w:rsidP="00C73771">
            <w:pPr>
              <w:spacing w:after="200" w:line="480" w:lineRule="auto"/>
            </w:pPr>
            <w:r w:rsidRPr="67835C1A">
              <w:rPr>
                <w:i/>
                <w:iCs/>
              </w:rPr>
              <w:t>P</w:t>
            </w:r>
          </w:p>
        </w:tc>
        <w:tc>
          <w:tcPr>
            <w:tcW w:w="895" w:type="dxa"/>
            <w:tcBorders>
              <w:top w:val="nil"/>
            </w:tcBorders>
          </w:tcPr>
          <w:p w14:paraId="41F60E04" w14:textId="77777777" w:rsidR="00AD6703" w:rsidRDefault="00AD6703" w:rsidP="00C73771">
            <w:pPr>
              <w:spacing w:after="200" w:line="480" w:lineRule="auto"/>
            </w:pPr>
            <w:r w:rsidRPr="67835C1A">
              <w:rPr>
                <w:i/>
                <w:iCs/>
              </w:rPr>
              <w:t>w</w:t>
            </w:r>
          </w:p>
        </w:tc>
      </w:tr>
      <w:tr w:rsidR="00603432" w14:paraId="4FEDE641" w14:textId="77777777" w:rsidTr="00C73771">
        <w:trPr>
          <w:jc w:val="center"/>
        </w:trPr>
        <w:tc>
          <w:tcPr>
            <w:tcW w:w="2127" w:type="dxa"/>
          </w:tcPr>
          <w:p w14:paraId="1E8F63F5" w14:textId="74A71A5C" w:rsidR="00603432" w:rsidRDefault="00603432" w:rsidP="00C73771">
            <w:pPr>
              <w:spacing w:line="480" w:lineRule="auto"/>
            </w:pPr>
            <w:r>
              <w:t>General Population</w:t>
            </w:r>
          </w:p>
        </w:tc>
        <w:tc>
          <w:tcPr>
            <w:tcW w:w="1005" w:type="dxa"/>
          </w:tcPr>
          <w:p w14:paraId="7DFA6E4A" w14:textId="49AB37F4" w:rsidR="00603432" w:rsidRDefault="00603432" w:rsidP="00C73771">
            <w:pPr>
              <w:spacing w:line="480" w:lineRule="auto"/>
            </w:pPr>
            <w:r>
              <w:t>24.1%</w:t>
            </w:r>
          </w:p>
        </w:tc>
        <w:tc>
          <w:tcPr>
            <w:tcW w:w="923" w:type="dxa"/>
          </w:tcPr>
          <w:p w14:paraId="0B66073F" w14:textId="488E6149" w:rsidR="00603432" w:rsidRDefault="00603432" w:rsidP="00C73771">
            <w:pPr>
              <w:spacing w:line="480" w:lineRule="auto"/>
            </w:pPr>
            <w:r>
              <w:t>25.8%</w:t>
            </w:r>
          </w:p>
        </w:tc>
        <w:tc>
          <w:tcPr>
            <w:tcW w:w="915" w:type="dxa"/>
          </w:tcPr>
          <w:p w14:paraId="6430A0D3" w14:textId="1936F89A" w:rsidR="00603432" w:rsidRDefault="00603432" w:rsidP="00C73771">
            <w:pPr>
              <w:spacing w:line="480" w:lineRule="auto"/>
            </w:pPr>
            <w:r>
              <w:t>25.6%</w:t>
            </w:r>
          </w:p>
        </w:tc>
        <w:tc>
          <w:tcPr>
            <w:tcW w:w="982" w:type="dxa"/>
          </w:tcPr>
          <w:p w14:paraId="3896AD8C" w14:textId="6CEBDF92" w:rsidR="00603432" w:rsidRDefault="00603432" w:rsidP="00C73771">
            <w:pPr>
              <w:spacing w:line="480" w:lineRule="auto"/>
            </w:pPr>
            <w:r>
              <w:t>24.5%</w:t>
            </w:r>
          </w:p>
        </w:tc>
        <w:tc>
          <w:tcPr>
            <w:tcW w:w="972" w:type="dxa"/>
          </w:tcPr>
          <w:p w14:paraId="078CA71C" w14:textId="77777777" w:rsidR="00603432" w:rsidRDefault="00603432" w:rsidP="00C73771">
            <w:pPr>
              <w:spacing w:line="480" w:lineRule="auto"/>
            </w:pPr>
          </w:p>
        </w:tc>
        <w:tc>
          <w:tcPr>
            <w:tcW w:w="972" w:type="dxa"/>
          </w:tcPr>
          <w:p w14:paraId="39F38915" w14:textId="77777777" w:rsidR="00603432" w:rsidRDefault="00603432" w:rsidP="00C73771">
            <w:pPr>
              <w:spacing w:line="480" w:lineRule="auto"/>
            </w:pPr>
          </w:p>
        </w:tc>
        <w:tc>
          <w:tcPr>
            <w:tcW w:w="895" w:type="dxa"/>
          </w:tcPr>
          <w:p w14:paraId="4EDEAF0A" w14:textId="77777777" w:rsidR="00603432" w:rsidRDefault="00603432" w:rsidP="00C73771">
            <w:pPr>
              <w:spacing w:line="480" w:lineRule="auto"/>
            </w:pPr>
          </w:p>
        </w:tc>
      </w:tr>
      <w:tr w:rsidR="00AD6703" w14:paraId="38088363" w14:textId="77777777" w:rsidTr="00C73771">
        <w:trPr>
          <w:jc w:val="center"/>
        </w:trPr>
        <w:tc>
          <w:tcPr>
            <w:tcW w:w="2127" w:type="dxa"/>
          </w:tcPr>
          <w:p w14:paraId="541AC254" w14:textId="77777777" w:rsidR="00AD6703" w:rsidRDefault="00AD6703" w:rsidP="00C73771">
            <w:pPr>
              <w:spacing w:after="200" w:line="480" w:lineRule="auto"/>
            </w:pPr>
            <w:r>
              <w:t>Total (1991)</w:t>
            </w:r>
          </w:p>
        </w:tc>
        <w:tc>
          <w:tcPr>
            <w:tcW w:w="1005" w:type="dxa"/>
          </w:tcPr>
          <w:p w14:paraId="219DF8E5" w14:textId="77777777" w:rsidR="00AD6703" w:rsidRDefault="00AD6703" w:rsidP="00C73771">
            <w:pPr>
              <w:spacing w:after="200" w:line="480" w:lineRule="auto"/>
            </w:pPr>
            <w:r>
              <w:t>26.0%</w:t>
            </w:r>
          </w:p>
        </w:tc>
        <w:tc>
          <w:tcPr>
            <w:tcW w:w="923" w:type="dxa"/>
          </w:tcPr>
          <w:p w14:paraId="44621DA4" w14:textId="77777777" w:rsidR="00AD6703" w:rsidRDefault="00AD6703" w:rsidP="00C73771">
            <w:pPr>
              <w:spacing w:after="200" w:line="480" w:lineRule="auto"/>
            </w:pPr>
            <w:r>
              <w:t>27.7%</w:t>
            </w:r>
          </w:p>
        </w:tc>
        <w:tc>
          <w:tcPr>
            <w:tcW w:w="915" w:type="dxa"/>
          </w:tcPr>
          <w:p w14:paraId="0317FC1E" w14:textId="77777777" w:rsidR="00AD6703" w:rsidRDefault="00AD6703" w:rsidP="00C73771">
            <w:pPr>
              <w:spacing w:after="200" w:line="480" w:lineRule="auto"/>
            </w:pPr>
            <w:r>
              <w:t>25.9%</w:t>
            </w:r>
          </w:p>
        </w:tc>
        <w:tc>
          <w:tcPr>
            <w:tcW w:w="982" w:type="dxa"/>
          </w:tcPr>
          <w:p w14:paraId="4A2FAEB7" w14:textId="77777777" w:rsidR="00AD6703" w:rsidRDefault="00AD6703" w:rsidP="00C73771">
            <w:pPr>
              <w:spacing w:after="200" w:line="480" w:lineRule="auto"/>
            </w:pPr>
            <w:r>
              <w:t>20.4%</w:t>
            </w:r>
          </w:p>
        </w:tc>
        <w:tc>
          <w:tcPr>
            <w:tcW w:w="972" w:type="dxa"/>
          </w:tcPr>
          <w:p w14:paraId="224E7595" w14:textId="77777777" w:rsidR="00AD6703" w:rsidRDefault="00AD6703" w:rsidP="00C73771">
            <w:pPr>
              <w:spacing w:after="200" w:line="480" w:lineRule="auto"/>
            </w:pPr>
            <w:r>
              <w:t>17.13</w:t>
            </w:r>
          </w:p>
        </w:tc>
        <w:tc>
          <w:tcPr>
            <w:tcW w:w="972" w:type="dxa"/>
          </w:tcPr>
          <w:p w14:paraId="37018A1B" w14:textId="77777777" w:rsidR="00AD6703" w:rsidRDefault="00AD6703" w:rsidP="00C73771">
            <w:pPr>
              <w:spacing w:after="200" w:line="480" w:lineRule="auto"/>
            </w:pPr>
            <w:r>
              <w:t>0.001</w:t>
            </w:r>
          </w:p>
        </w:tc>
        <w:tc>
          <w:tcPr>
            <w:tcW w:w="895" w:type="dxa"/>
          </w:tcPr>
          <w:p w14:paraId="511BF165" w14:textId="77777777" w:rsidR="00AD6703" w:rsidRDefault="00AD6703" w:rsidP="00C73771">
            <w:pPr>
              <w:spacing w:after="200" w:line="480" w:lineRule="auto"/>
            </w:pPr>
            <w:r>
              <w:t>0.09</w:t>
            </w:r>
          </w:p>
        </w:tc>
      </w:tr>
      <w:tr w:rsidR="00AD6703" w14:paraId="2FECD8EC" w14:textId="77777777" w:rsidTr="00C73771">
        <w:trPr>
          <w:jc w:val="center"/>
        </w:trPr>
        <w:tc>
          <w:tcPr>
            <w:tcW w:w="2127" w:type="dxa"/>
          </w:tcPr>
          <w:p w14:paraId="19DC1839" w14:textId="77777777" w:rsidR="00AD6703" w:rsidRDefault="00AD6703" w:rsidP="00C73771">
            <w:pPr>
              <w:spacing w:after="200" w:line="480" w:lineRule="auto"/>
            </w:pPr>
            <w:r>
              <w:t>Forwards (1116)</w:t>
            </w:r>
          </w:p>
        </w:tc>
        <w:tc>
          <w:tcPr>
            <w:tcW w:w="1005" w:type="dxa"/>
          </w:tcPr>
          <w:p w14:paraId="2B99EF97" w14:textId="77777777" w:rsidR="00AD6703" w:rsidRDefault="00AD6703" w:rsidP="00C73771">
            <w:pPr>
              <w:spacing w:after="200" w:line="480" w:lineRule="auto"/>
            </w:pPr>
            <w:r>
              <w:t>28%</w:t>
            </w:r>
          </w:p>
        </w:tc>
        <w:tc>
          <w:tcPr>
            <w:tcW w:w="923" w:type="dxa"/>
          </w:tcPr>
          <w:p w14:paraId="4B894620" w14:textId="77777777" w:rsidR="00AD6703" w:rsidRDefault="00AD6703" w:rsidP="00C73771">
            <w:pPr>
              <w:spacing w:after="200" w:line="480" w:lineRule="auto"/>
            </w:pPr>
            <w:r>
              <w:t>26.4%</w:t>
            </w:r>
          </w:p>
        </w:tc>
        <w:tc>
          <w:tcPr>
            <w:tcW w:w="915" w:type="dxa"/>
          </w:tcPr>
          <w:p w14:paraId="6C542465" w14:textId="77777777" w:rsidR="00AD6703" w:rsidRDefault="00AD6703" w:rsidP="00C73771">
            <w:pPr>
              <w:spacing w:after="200" w:line="480" w:lineRule="auto"/>
            </w:pPr>
            <w:r>
              <w:t>26.0%</w:t>
            </w:r>
          </w:p>
        </w:tc>
        <w:tc>
          <w:tcPr>
            <w:tcW w:w="982" w:type="dxa"/>
          </w:tcPr>
          <w:p w14:paraId="730530AC" w14:textId="77777777" w:rsidR="00AD6703" w:rsidRDefault="00AD6703" w:rsidP="00C73771">
            <w:pPr>
              <w:spacing w:after="200" w:line="480" w:lineRule="auto"/>
            </w:pPr>
            <w:r>
              <w:t>19.5%</w:t>
            </w:r>
          </w:p>
        </w:tc>
        <w:tc>
          <w:tcPr>
            <w:tcW w:w="972" w:type="dxa"/>
          </w:tcPr>
          <w:p w14:paraId="29292B99" w14:textId="77777777" w:rsidR="00AD6703" w:rsidRDefault="00AD6703" w:rsidP="00C73771">
            <w:pPr>
              <w:spacing w:after="200" w:line="480" w:lineRule="auto"/>
            </w:pPr>
            <w:r>
              <w:t>17.75</w:t>
            </w:r>
          </w:p>
        </w:tc>
        <w:tc>
          <w:tcPr>
            <w:tcW w:w="972" w:type="dxa"/>
          </w:tcPr>
          <w:p w14:paraId="2B7A62D3" w14:textId="77777777" w:rsidR="00AD6703" w:rsidRDefault="00AD6703" w:rsidP="00C73771">
            <w:pPr>
              <w:spacing w:after="200" w:line="480" w:lineRule="auto"/>
            </w:pPr>
            <w:r>
              <w:t>0.000</w:t>
            </w:r>
          </w:p>
        </w:tc>
        <w:tc>
          <w:tcPr>
            <w:tcW w:w="895" w:type="dxa"/>
          </w:tcPr>
          <w:p w14:paraId="112E151E" w14:textId="77777777" w:rsidR="00AD6703" w:rsidRDefault="00AD6703" w:rsidP="00C73771">
            <w:pPr>
              <w:spacing w:after="200" w:line="480" w:lineRule="auto"/>
            </w:pPr>
            <w:r>
              <w:t>0.13</w:t>
            </w:r>
          </w:p>
        </w:tc>
      </w:tr>
      <w:tr w:rsidR="00AD6703" w14:paraId="138C7D1A" w14:textId="77777777" w:rsidTr="00C73771">
        <w:trPr>
          <w:jc w:val="center"/>
        </w:trPr>
        <w:tc>
          <w:tcPr>
            <w:tcW w:w="2127" w:type="dxa"/>
          </w:tcPr>
          <w:p w14:paraId="2C4A91FA" w14:textId="77777777" w:rsidR="00AD6703" w:rsidRDefault="00AD6703" w:rsidP="00C73771">
            <w:pPr>
              <w:spacing w:after="200" w:line="480" w:lineRule="auto"/>
            </w:pPr>
            <w:r>
              <w:t>Backs (875)</w:t>
            </w:r>
          </w:p>
        </w:tc>
        <w:tc>
          <w:tcPr>
            <w:tcW w:w="1005" w:type="dxa"/>
          </w:tcPr>
          <w:p w14:paraId="43CEFF28" w14:textId="77777777" w:rsidR="00AD6703" w:rsidRDefault="00AD6703" w:rsidP="00C73771">
            <w:pPr>
              <w:spacing w:after="200" w:line="480" w:lineRule="auto"/>
            </w:pPr>
            <w:r>
              <w:t>23.4%</w:t>
            </w:r>
          </w:p>
        </w:tc>
        <w:tc>
          <w:tcPr>
            <w:tcW w:w="923" w:type="dxa"/>
          </w:tcPr>
          <w:p w14:paraId="771F8B7A" w14:textId="77777777" w:rsidR="00AD6703" w:rsidRDefault="00AD6703" w:rsidP="00C73771">
            <w:pPr>
              <w:spacing w:after="200" w:line="480" w:lineRule="auto"/>
            </w:pPr>
            <w:r>
              <w:t>29.3%</w:t>
            </w:r>
          </w:p>
        </w:tc>
        <w:tc>
          <w:tcPr>
            <w:tcW w:w="915" w:type="dxa"/>
          </w:tcPr>
          <w:p w14:paraId="1036C162" w14:textId="77777777" w:rsidR="00AD6703" w:rsidRDefault="00AD6703" w:rsidP="00C73771">
            <w:pPr>
              <w:spacing w:after="200" w:line="480" w:lineRule="auto"/>
            </w:pPr>
            <w:r>
              <w:t>25.7%</w:t>
            </w:r>
          </w:p>
        </w:tc>
        <w:tc>
          <w:tcPr>
            <w:tcW w:w="982" w:type="dxa"/>
          </w:tcPr>
          <w:p w14:paraId="1FA57C09" w14:textId="77777777" w:rsidR="00AD6703" w:rsidRDefault="00AD6703" w:rsidP="00C73771">
            <w:pPr>
              <w:spacing w:after="200" w:line="480" w:lineRule="auto"/>
            </w:pPr>
            <w:r>
              <w:t>21.6%</w:t>
            </w:r>
          </w:p>
        </w:tc>
        <w:tc>
          <w:tcPr>
            <w:tcW w:w="972" w:type="dxa"/>
          </w:tcPr>
          <w:p w14:paraId="2A9417EC" w14:textId="77777777" w:rsidR="00AD6703" w:rsidRDefault="00AD6703" w:rsidP="00C73771">
            <w:pPr>
              <w:spacing w:after="200" w:line="480" w:lineRule="auto"/>
            </w:pPr>
            <w:r>
              <w:t>6.10</w:t>
            </w:r>
          </w:p>
        </w:tc>
        <w:tc>
          <w:tcPr>
            <w:tcW w:w="972" w:type="dxa"/>
          </w:tcPr>
          <w:p w14:paraId="0E668A7C" w14:textId="77777777" w:rsidR="00AD6703" w:rsidRDefault="00AD6703" w:rsidP="00C73771">
            <w:pPr>
              <w:spacing w:after="200" w:line="480" w:lineRule="auto"/>
            </w:pPr>
            <w:r>
              <w:t>0.107</w:t>
            </w:r>
          </w:p>
        </w:tc>
        <w:tc>
          <w:tcPr>
            <w:tcW w:w="895" w:type="dxa"/>
          </w:tcPr>
          <w:p w14:paraId="0EDB710B" w14:textId="77777777" w:rsidR="00AD6703" w:rsidRDefault="00AD6703" w:rsidP="00C73771">
            <w:pPr>
              <w:spacing w:after="200" w:line="480" w:lineRule="auto"/>
            </w:pPr>
            <w:r>
              <w:t>0.08</w:t>
            </w:r>
          </w:p>
        </w:tc>
      </w:tr>
      <w:tr w:rsidR="00AD6703" w14:paraId="1D635BB5" w14:textId="77777777" w:rsidTr="00C73771">
        <w:trPr>
          <w:jc w:val="center"/>
        </w:trPr>
        <w:tc>
          <w:tcPr>
            <w:tcW w:w="2127" w:type="dxa"/>
          </w:tcPr>
          <w:p w14:paraId="0FA81A93" w14:textId="77777777" w:rsidR="00AD6703" w:rsidRDefault="00AD6703" w:rsidP="00C73771">
            <w:pPr>
              <w:spacing w:after="200" w:line="480" w:lineRule="auto"/>
            </w:pPr>
            <w:r>
              <w:t>Prop (335)</w:t>
            </w:r>
          </w:p>
        </w:tc>
        <w:tc>
          <w:tcPr>
            <w:tcW w:w="1005" w:type="dxa"/>
          </w:tcPr>
          <w:p w14:paraId="3F1041DC" w14:textId="77777777" w:rsidR="00AD6703" w:rsidRDefault="00AD6703" w:rsidP="00C73771">
            <w:pPr>
              <w:spacing w:after="200" w:line="480" w:lineRule="auto"/>
            </w:pPr>
            <w:r>
              <w:t>28.4%</w:t>
            </w:r>
          </w:p>
        </w:tc>
        <w:tc>
          <w:tcPr>
            <w:tcW w:w="923" w:type="dxa"/>
          </w:tcPr>
          <w:p w14:paraId="6DBB6132" w14:textId="77777777" w:rsidR="00AD6703" w:rsidRDefault="00AD6703" w:rsidP="00C73771">
            <w:pPr>
              <w:spacing w:after="200" w:line="480" w:lineRule="auto"/>
            </w:pPr>
            <w:r>
              <w:t>24.8%</w:t>
            </w:r>
          </w:p>
        </w:tc>
        <w:tc>
          <w:tcPr>
            <w:tcW w:w="915" w:type="dxa"/>
          </w:tcPr>
          <w:p w14:paraId="488CB7EB" w14:textId="77777777" w:rsidR="00AD6703" w:rsidRDefault="00AD6703" w:rsidP="00C73771">
            <w:pPr>
              <w:spacing w:after="200" w:line="480" w:lineRule="auto"/>
            </w:pPr>
            <w:r>
              <w:t>27.5%</w:t>
            </w:r>
          </w:p>
        </w:tc>
        <w:tc>
          <w:tcPr>
            <w:tcW w:w="982" w:type="dxa"/>
          </w:tcPr>
          <w:p w14:paraId="59789CD8" w14:textId="77777777" w:rsidR="00AD6703" w:rsidRDefault="00AD6703" w:rsidP="00C73771">
            <w:pPr>
              <w:spacing w:after="200" w:line="480" w:lineRule="auto"/>
            </w:pPr>
            <w:r>
              <w:t>19.4%</w:t>
            </w:r>
          </w:p>
        </w:tc>
        <w:tc>
          <w:tcPr>
            <w:tcW w:w="972" w:type="dxa"/>
          </w:tcPr>
          <w:p w14:paraId="0325E895" w14:textId="77777777" w:rsidR="00AD6703" w:rsidRDefault="00AD6703" w:rsidP="00C73771">
            <w:pPr>
              <w:spacing w:after="200" w:line="480" w:lineRule="auto"/>
            </w:pPr>
            <w:r>
              <w:t>6.56</w:t>
            </w:r>
          </w:p>
        </w:tc>
        <w:tc>
          <w:tcPr>
            <w:tcW w:w="972" w:type="dxa"/>
          </w:tcPr>
          <w:p w14:paraId="605854FF" w14:textId="77777777" w:rsidR="00AD6703" w:rsidRDefault="00AD6703" w:rsidP="00C73771">
            <w:pPr>
              <w:spacing w:after="200" w:line="480" w:lineRule="auto"/>
            </w:pPr>
            <w:r>
              <w:t>0.087</w:t>
            </w:r>
          </w:p>
        </w:tc>
        <w:tc>
          <w:tcPr>
            <w:tcW w:w="895" w:type="dxa"/>
          </w:tcPr>
          <w:p w14:paraId="37C1B5AC" w14:textId="77777777" w:rsidR="00AD6703" w:rsidRDefault="00AD6703" w:rsidP="00C73771">
            <w:pPr>
              <w:spacing w:after="200" w:line="480" w:lineRule="auto"/>
            </w:pPr>
            <w:r>
              <w:t>0.14</w:t>
            </w:r>
          </w:p>
        </w:tc>
      </w:tr>
      <w:tr w:rsidR="00AD6703" w14:paraId="2FDD1A6B" w14:textId="77777777" w:rsidTr="00C73771">
        <w:trPr>
          <w:jc w:val="center"/>
        </w:trPr>
        <w:tc>
          <w:tcPr>
            <w:tcW w:w="2127" w:type="dxa"/>
          </w:tcPr>
          <w:p w14:paraId="07C1E887" w14:textId="77777777" w:rsidR="00AD6703" w:rsidRDefault="00AD6703" w:rsidP="00C73771">
            <w:pPr>
              <w:spacing w:after="200" w:line="480" w:lineRule="auto"/>
            </w:pPr>
            <w:r>
              <w:t>Hooker (187)</w:t>
            </w:r>
          </w:p>
        </w:tc>
        <w:tc>
          <w:tcPr>
            <w:tcW w:w="1005" w:type="dxa"/>
          </w:tcPr>
          <w:p w14:paraId="3502383E" w14:textId="77777777" w:rsidR="00AD6703" w:rsidRDefault="00AD6703" w:rsidP="00C73771">
            <w:pPr>
              <w:spacing w:after="200" w:line="480" w:lineRule="auto"/>
            </w:pPr>
            <w:r>
              <w:t>21.9%</w:t>
            </w:r>
          </w:p>
        </w:tc>
        <w:tc>
          <w:tcPr>
            <w:tcW w:w="923" w:type="dxa"/>
          </w:tcPr>
          <w:p w14:paraId="31347B04" w14:textId="77777777" w:rsidR="00AD6703" w:rsidRDefault="00AD6703" w:rsidP="00C73771">
            <w:pPr>
              <w:spacing w:after="200" w:line="480" w:lineRule="auto"/>
            </w:pPr>
            <w:r>
              <w:t>32.6%</w:t>
            </w:r>
          </w:p>
        </w:tc>
        <w:tc>
          <w:tcPr>
            <w:tcW w:w="915" w:type="dxa"/>
          </w:tcPr>
          <w:p w14:paraId="45600FC9" w14:textId="77777777" w:rsidR="00AD6703" w:rsidRDefault="00AD6703" w:rsidP="00C73771">
            <w:pPr>
              <w:spacing w:after="200" w:line="480" w:lineRule="auto"/>
            </w:pPr>
            <w:r>
              <w:t>24.6%</w:t>
            </w:r>
          </w:p>
        </w:tc>
        <w:tc>
          <w:tcPr>
            <w:tcW w:w="982" w:type="dxa"/>
          </w:tcPr>
          <w:p w14:paraId="114A68DD" w14:textId="77777777" w:rsidR="00AD6703" w:rsidRDefault="00AD6703" w:rsidP="00C73771">
            <w:pPr>
              <w:spacing w:after="200" w:line="480" w:lineRule="auto"/>
            </w:pPr>
            <w:r>
              <w:t>20.9%</w:t>
            </w:r>
          </w:p>
        </w:tc>
        <w:tc>
          <w:tcPr>
            <w:tcW w:w="972" w:type="dxa"/>
          </w:tcPr>
          <w:p w14:paraId="6EA5ADC4" w14:textId="77777777" w:rsidR="00AD6703" w:rsidRDefault="00AD6703" w:rsidP="00C73771">
            <w:pPr>
              <w:spacing w:after="200" w:line="480" w:lineRule="auto"/>
            </w:pPr>
            <w:r>
              <w:t>4.36</w:t>
            </w:r>
          </w:p>
        </w:tc>
        <w:tc>
          <w:tcPr>
            <w:tcW w:w="972" w:type="dxa"/>
          </w:tcPr>
          <w:p w14:paraId="65081CFB" w14:textId="77777777" w:rsidR="00AD6703" w:rsidRDefault="00AD6703" w:rsidP="00C73771">
            <w:pPr>
              <w:spacing w:after="200" w:line="480" w:lineRule="auto"/>
            </w:pPr>
            <w:r>
              <w:t>0.225</w:t>
            </w:r>
          </w:p>
        </w:tc>
        <w:tc>
          <w:tcPr>
            <w:tcW w:w="895" w:type="dxa"/>
          </w:tcPr>
          <w:p w14:paraId="034CAEDE" w14:textId="77777777" w:rsidR="00AD6703" w:rsidRDefault="00AD6703" w:rsidP="00C73771">
            <w:pPr>
              <w:spacing w:after="200" w:line="480" w:lineRule="auto"/>
            </w:pPr>
            <w:r>
              <w:t>0.15</w:t>
            </w:r>
          </w:p>
        </w:tc>
      </w:tr>
      <w:tr w:rsidR="00AD6703" w14:paraId="40DE28BC" w14:textId="77777777" w:rsidTr="00C73771">
        <w:trPr>
          <w:jc w:val="center"/>
        </w:trPr>
        <w:tc>
          <w:tcPr>
            <w:tcW w:w="2127" w:type="dxa"/>
          </w:tcPr>
          <w:p w14:paraId="504B5550" w14:textId="77777777" w:rsidR="00AD6703" w:rsidRDefault="00AD6703" w:rsidP="00C73771">
            <w:pPr>
              <w:spacing w:after="200" w:line="480" w:lineRule="auto"/>
            </w:pPr>
            <w:r>
              <w:t>Lock (196)</w:t>
            </w:r>
          </w:p>
        </w:tc>
        <w:tc>
          <w:tcPr>
            <w:tcW w:w="1005" w:type="dxa"/>
          </w:tcPr>
          <w:p w14:paraId="7514B1C1" w14:textId="77777777" w:rsidR="00AD6703" w:rsidRDefault="00AD6703" w:rsidP="00C73771">
            <w:pPr>
              <w:spacing w:after="200" w:line="480" w:lineRule="auto"/>
            </w:pPr>
            <w:r>
              <w:t>28.1%</w:t>
            </w:r>
          </w:p>
        </w:tc>
        <w:tc>
          <w:tcPr>
            <w:tcW w:w="923" w:type="dxa"/>
          </w:tcPr>
          <w:p w14:paraId="35F43532" w14:textId="77777777" w:rsidR="00AD6703" w:rsidRDefault="00AD6703" w:rsidP="00C73771">
            <w:pPr>
              <w:spacing w:after="200" w:line="480" w:lineRule="auto"/>
            </w:pPr>
            <w:r>
              <w:t>26.0%</w:t>
            </w:r>
          </w:p>
        </w:tc>
        <w:tc>
          <w:tcPr>
            <w:tcW w:w="915" w:type="dxa"/>
          </w:tcPr>
          <w:p w14:paraId="74A99135" w14:textId="77777777" w:rsidR="00AD6703" w:rsidRDefault="00AD6703" w:rsidP="00C73771">
            <w:pPr>
              <w:spacing w:after="200" w:line="480" w:lineRule="auto"/>
            </w:pPr>
            <w:r>
              <w:t>23.0%</w:t>
            </w:r>
          </w:p>
        </w:tc>
        <w:tc>
          <w:tcPr>
            <w:tcW w:w="982" w:type="dxa"/>
          </w:tcPr>
          <w:p w14:paraId="28349A7D" w14:textId="77777777" w:rsidR="00AD6703" w:rsidRDefault="00AD6703" w:rsidP="00C73771">
            <w:pPr>
              <w:spacing w:after="200" w:line="480" w:lineRule="auto"/>
            </w:pPr>
            <w:r>
              <w:t>23.0%</w:t>
            </w:r>
          </w:p>
        </w:tc>
        <w:tc>
          <w:tcPr>
            <w:tcW w:w="972" w:type="dxa"/>
          </w:tcPr>
          <w:p w14:paraId="05176709" w14:textId="77777777" w:rsidR="00AD6703" w:rsidRDefault="00AD6703" w:rsidP="00C73771">
            <w:pPr>
              <w:spacing w:after="200" w:line="480" w:lineRule="auto"/>
            </w:pPr>
            <w:r>
              <w:t>1.91</w:t>
            </w:r>
          </w:p>
        </w:tc>
        <w:tc>
          <w:tcPr>
            <w:tcW w:w="972" w:type="dxa"/>
          </w:tcPr>
          <w:p w14:paraId="6DD86B88" w14:textId="77777777" w:rsidR="00AD6703" w:rsidRDefault="00AD6703" w:rsidP="00C73771">
            <w:pPr>
              <w:spacing w:after="200" w:line="480" w:lineRule="auto"/>
            </w:pPr>
            <w:r>
              <w:t>0.592</w:t>
            </w:r>
          </w:p>
        </w:tc>
        <w:tc>
          <w:tcPr>
            <w:tcW w:w="895" w:type="dxa"/>
          </w:tcPr>
          <w:p w14:paraId="22A22124" w14:textId="77777777" w:rsidR="00AD6703" w:rsidRDefault="00AD6703" w:rsidP="00C73771">
            <w:pPr>
              <w:spacing w:after="200" w:line="480" w:lineRule="auto"/>
            </w:pPr>
            <w:r>
              <w:t>0.10</w:t>
            </w:r>
          </w:p>
        </w:tc>
      </w:tr>
      <w:tr w:rsidR="00AD6703" w14:paraId="48C1A4B7" w14:textId="77777777" w:rsidTr="00C73771">
        <w:trPr>
          <w:jc w:val="center"/>
        </w:trPr>
        <w:tc>
          <w:tcPr>
            <w:tcW w:w="2127" w:type="dxa"/>
          </w:tcPr>
          <w:p w14:paraId="25CD9927" w14:textId="7E4C98BE" w:rsidR="00AD6703" w:rsidRDefault="00657816" w:rsidP="00C73771">
            <w:pPr>
              <w:spacing w:after="200" w:line="480" w:lineRule="auto"/>
            </w:pPr>
            <w:r>
              <w:t>Back</w:t>
            </w:r>
            <w:r w:rsidR="00BE4002">
              <w:t xml:space="preserve"> </w:t>
            </w:r>
            <w:r w:rsidR="00AD6703">
              <w:t>row (398)</w:t>
            </w:r>
          </w:p>
        </w:tc>
        <w:tc>
          <w:tcPr>
            <w:tcW w:w="1005" w:type="dxa"/>
          </w:tcPr>
          <w:p w14:paraId="5B793360" w14:textId="77777777" w:rsidR="00AD6703" w:rsidRDefault="00AD6703" w:rsidP="00C73771">
            <w:pPr>
              <w:spacing w:after="200" w:line="480" w:lineRule="auto"/>
            </w:pPr>
            <w:r>
              <w:t>30.7%</w:t>
            </w:r>
          </w:p>
        </w:tc>
        <w:tc>
          <w:tcPr>
            <w:tcW w:w="923" w:type="dxa"/>
          </w:tcPr>
          <w:p w14:paraId="53B4CB48" w14:textId="77777777" w:rsidR="00AD6703" w:rsidRDefault="00AD6703" w:rsidP="00C73771">
            <w:pPr>
              <w:spacing w:after="200" w:line="480" w:lineRule="auto"/>
            </w:pPr>
            <w:r>
              <w:t>25.1%</w:t>
            </w:r>
          </w:p>
        </w:tc>
        <w:tc>
          <w:tcPr>
            <w:tcW w:w="915" w:type="dxa"/>
          </w:tcPr>
          <w:p w14:paraId="59E76817" w14:textId="77777777" w:rsidR="00AD6703" w:rsidRDefault="00AD6703" w:rsidP="00C73771">
            <w:pPr>
              <w:spacing w:after="200" w:line="480" w:lineRule="auto"/>
            </w:pPr>
            <w:r>
              <w:t>26.9%</w:t>
            </w:r>
          </w:p>
        </w:tc>
        <w:tc>
          <w:tcPr>
            <w:tcW w:w="982" w:type="dxa"/>
          </w:tcPr>
          <w:p w14:paraId="1D911984" w14:textId="77777777" w:rsidR="00AD6703" w:rsidRDefault="00AD6703" w:rsidP="00C73771">
            <w:pPr>
              <w:spacing w:after="200" w:line="480" w:lineRule="auto"/>
            </w:pPr>
            <w:r>
              <w:t>17.3%</w:t>
            </w:r>
          </w:p>
        </w:tc>
        <w:tc>
          <w:tcPr>
            <w:tcW w:w="972" w:type="dxa"/>
          </w:tcPr>
          <w:p w14:paraId="628CAAA7" w14:textId="77777777" w:rsidR="00AD6703" w:rsidRDefault="00AD6703" w:rsidP="00C73771">
            <w:pPr>
              <w:spacing w:after="200" w:line="480" w:lineRule="auto"/>
            </w:pPr>
            <w:r>
              <w:t>15.47</w:t>
            </w:r>
          </w:p>
        </w:tc>
        <w:tc>
          <w:tcPr>
            <w:tcW w:w="972" w:type="dxa"/>
          </w:tcPr>
          <w:p w14:paraId="497BB05E" w14:textId="77777777" w:rsidR="00AD6703" w:rsidRDefault="00AD6703" w:rsidP="00C73771">
            <w:pPr>
              <w:spacing w:after="200" w:line="480" w:lineRule="auto"/>
            </w:pPr>
            <w:r>
              <w:t>0.001</w:t>
            </w:r>
          </w:p>
        </w:tc>
        <w:tc>
          <w:tcPr>
            <w:tcW w:w="895" w:type="dxa"/>
          </w:tcPr>
          <w:p w14:paraId="2929EEFA" w14:textId="77777777" w:rsidR="00AD6703" w:rsidRDefault="00AD6703" w:rsidP="00C73771">
            <w:pPr>
              <w:spacing w:after="200" w:line="480" w:lineRule="auto"/>
            </w:pPr>
            <w:r>
              <w:t>0.20</w:t>
            </w:r>
          </w:p>
        </w:tc>
      </w:tr>
      <w:tr w:rsidR="00AD6703" w14:paraId="77C2D9D5" w14:textId="77777777" w:rsidTr="00C73771">
        <w:trPr>
          <w:jc w:val="center"/>
        </w:trPr>
        <w:tc>
          <w:tcPr>
            <w:tcW w:w="2127" w:type="dxa"/>
          </w:tcPr>
          <w:p w14:paraId="47D8EDA7" w14:textId="77777777" w:rsidR="00AD6703" w:rsidRDefault="00AD6703" w:rsidP="00C73771">
            <w:pPr>
              <w:spacing w:after="200" w:line="480" w:lineRule="auto"/>
            </w:pPr>
            <w:r>
              <w:t>Scrum half (175)</w:t>
            </w:r>
          </w:p>
        </w:tc>
        <w:tc>
          <w:tcPr>
            <w:tcW w:w="1005" w:type="dxa"/>
          </w:tcPr>
          <w:p w14:paraId="6821EC18" w14:textId="77777777" w:rsidR="00AD6703" w:rsidRDefault="00AD6703" w:rsidP="00C73771">
            <w:pPr>
              <w:spacing w:after="200" w:line="480" w:lineRule="auto"/>
            </w:pPr>
            <w:r>
              <w:t>24.6%</w:t>
            </w:r>
          </w:p>
        </w:tc>
        <w:tc>
          <w:tcPr>
            <w:tcW w:w="923" w:type="dxa"/>
          </w:tcPr>
          <w:p w14:paraId="786B390B" w14:textId="77777777" w:rsidR="00AD6703" w:rsidRDefault="00AD6703" w:rsidP="00C73771">
            <w:pPr>
              <w:spacing w:after="200" w:line="480" w:lineRule="auto"/>
            </w:pPr>
            <w:r>
              <w:t>27.4%</w:t>
            </w:r>
          </w:p>
        </w:tc>
        <w:tc>
          <w:tcPr>
            <w:tcW w:w="915" w:type="dxa"/>
          </w:tcPr>
          <w:p w14:paraId="44786384" w14:textId="77777777" w:rsidR="00AD6703" w:rsidRDefault="00AD6703" w:rsidP="00C73771">
            <w:pPr>
              <w:spacing w:after="200" w:line="480" w:lineRule="auto"/>
            </w:pPr>
            <w:r>
              <w:t>20.6%</w:t>
            </w:r>
          </w:p>
        </w:tc>
        <w:tc>
          <w:tcPr>
            <w:tcW w:w="982" w:type="dxa"/>
          </w:tcPr>
          <w:p w14:paraId="598E96D8" w14:textId="77777777" w:rsidR="00AD6703" w:rsidRDefault="00AD6703" w:rsidP="00C73771">
            <w:pPr>
              <w:spacing w:after="200" w:line="480" w:lineRule="auto"/>
            </w:pPr>
            <w:r>
              <w:t>27.4%</w:t>
            </w:r>
          </w:p>
        </w:tc>
        <w:tc>
          <w:tcPr>
            <w:tcW w:w="972" w:type="dxa"/>
          </w:tcPr>
          <w:p w14:paraId="4E3DB8C8" w14:textId="77777777" w:rsidR="00AD6703" w:rsidRDefault="00AD6703" w:rsidP="00C73771">
            <w:pPr>
              <w:spacing w:after="200" w:line="480" w:lineRule="auto"/>
            </w:pPr>
            <w:r>
              <w:t>2.50</w:t>
            </w:r>
          </w:p>
        </w:tc>
        <w:tc>
          <w:tcPr>
            <w:tcW w:w="972" w:type="dxa"/>
          </w:tcPr>
          <w:p w14:paraId="30E6A21B" w14:textId="77777777" w:rsidR="00AD6703" w:rsidRDefault="00AD6703" w:rsidP="00C73771">
            <w:pPr>
              <w:spacing w:after="200" w:line="480" w:lineRule="auto"/>
            </w:pPr>
            <w:r>
              <w:t>0.476</w:t>
            </w:r>
          </w:p>
        </w:tc>
        <w:tc>
          <w:tcPr>
            <w:tcW w:w="895" w:type="dxa"/>
          </w:tcPr>
          <w:p w14:paraId="1AE5AA4C" w14:textId="77777777" w:rsidR="00AD6703" w:rsidRDefault="00AD6703" w:rsidP="00C73771">
            <w:pPr>
              <w:spacing w:after="200" w:line="480" w:lineRule="auto"/>
            </w:pPr>
            <w:r>
              <w:t>0.12</w:t>
            </w:r>
          </w:p>
        </w:tc>
      </w:tr>
      <w:tr w:rsidR="00AD6703" w14:paraId="50D0388A" w14:textId="77777777" w:rsidTr="00C73771">
        <w:trPr>
          <w:jc w:val="center"/>
        </w:trPr>
        <w:tc>
          <w:tcPr>
            <w:tcW w:w="2127" w:type="dxa"/>
          </w:tcPr>
          <w:p w14:paraId="092BB160" w14:textId="77777777" w:rsidR="00AD6703" w:rsidRDefault="00AD6703" w:rsidP="00C73771">
            <w:pPr>
              <w:spacing w:after="200" w:line="480" w:lineRule="auto"/>
            </w:pPr>
            <w:r>
              <w:t>Fly half (140)</w:t>
            </w:r>
          </w:p>
        </w:tc>
        <w:tc>
          <w:tcPr>
            <w:tcW w:w="1005" w:type="dxa"/>
          </w:tcPr>
          <w:p w14:paraId="6C40600D" w14:textId="77777777" w:rsidR="00AD6703" w:rsidRDefault="00AD6703" w:rsidP="00C73771">
            <w:pPr>
              <w:spacing w:after="200" w:line="480" w:lineRule="auto"/>
            </w:pPr>
            <w:r>
              <w:t>25.7%</w:t>
            </w:r>
          </w:p>
        </w:tc>
        <w:tc>
          <w:tcPr>
            <w:tcW w:w="923" w:type="dxa"/>
          </w:tcPr>
          <w:p w14:paraId="7CB1CB0E" w14:textId="77777777" w:rsidR="00AD6703" w:rsidRDefault="00AD6703" w:rsidP="00C73771">
            <w:pPr>
              <w:spacing w:after="200" w:line="480" w:lineRule="auto"/>
            </w:pPr>
            <w:r>
              <w:t>30.7%</w:t>
            </w:r>
          </w:p>
        </w:tc>
        <w:tc>
          <w:tcPr>
            <w:tcW w:w="915" w:type="dxa"/>
          </w:tcPr>
          <w:p w14:paraId="4BC7CD59" w14:textId="77777777" w:rsidR="00AD6703" w:rsidRDefault="00AD6703" w:rsidP="00C73771">
            <w:pPr>
              <w:spacing w:after="200" w:line="480" w:lineRule="auto"/>
            </w:pPr>
            <w:r>
              <w:t>20.7%</w:t>
            </w:r>
          </w:p>
        </w:tc>
        <w:tc>
          <w:tcPr>
            <w:tcW w:w="982" w:type="dxa"/>
          </w:tcPr>
          <w:p w14:paraId="4B1DB383" w14:textId="77777777" w:rsidR="00AD6703" w:rsidRDefault="00AD6703" w:rsidP="00C73771">
            <w:pPr>
              <w:spacing w:after="200" w:line="480" w:lineRule="auto"/>
            </w:pPr>
            <w:r>
              <w:t>22.9%</w:t>
            </w:r>
          </w:p>
        </w:tc>
        <w:tc>
          <w:tcPr>
            <w:tcW w:w="972" w:type="dxa"/>
          </w:tcPr>
          <w:p w14:paraId="4D7C7CCF" w14:textId="77777777" w:rsidR="00AD6703" w:rsidRDefault="00AD6703" w:rsidP="00C73771">
            <w:pPr>
              <w:spacing w:after="200" w:line="480" w:lineRule="auto"/>
            </w:pPr>
            <w:r>
              <w:t>2.65</w:t>
            </w:r>
          </w:p>
        </w:tc>
        <w:tc>
          <w:tcPr>
            <w:tcW w:w="972" w:type="dxa"/>
          </w:tcPr>
          <w:p w14:paraId="3BCCF155" w14:textId="77777777" w:rsidR="00AD6703" w:rsidRDefault="00AD6703" w:rsidP="00C73771">
            <w:pPr>
              <w:spacing w:after="200" w:line="480" w:lineRule="auto"/>
            </w:pPr>
            <w:r>
              <w:t>0.449</w:t>
            </w:r>
          </w:p>
        </w:tc>
        <w:tc>
          <w:tcPr>
            <w:tcW w:w="895" w:type="dxa"/>
          </w:tcPr>
          <w:p w14:paraId="40532571" w14:textId="77777777" w:rsidR="00AD6703" w:rsidRDefault="00AD6703" w:rsidP="00C73771">
            <w:pPr>
              <w:spacing w:after="200" w:line="480" w:lineRule="auto"/>
            </w:pPr>
            <w:r>
              <w:t>0.14</w:t>
            </w:r>
          </w:p>
        </w:tc>
      </w:tr>
      <w:tr w:rsidR="00AD6703" w14:paraId="6C819885" w14:textId="77777777" w:rsidTr="00C73771">
        <w:trPr>
          <w:jc w:val="center"/>
        </w:trPr>
        <w:tc>
          <w:tcPr>
            <w:tcW w:w="2127" w:type="dxa"/>
          </w:tcPr>
          <w:p w14:paraId="5F15F3D4" w14:textId="77777777" w:rsidR="00AD6703" w:rsidRDefault="00AD6703" w:rsidP="00C73771">
            <w:pPr>
              <w:spacing w:after="200" w:line="480" w:lineRule="auto"/>
            </w:pPr>
            <w:r>
              <w:t>Centre (218)</w:t>
            </w:r>
          </w:p>
        </w:tc>
        <w:tc>
          <w:tcPr>
            <w:tcW w:w="1005" w:type="dxa"/>
          </w:tcPr>
          <w:p w14:paraId="6837E2DB" w14:textId="77777777" w:rsidR="00AD6703" w:rsidRDefault="00AD6703" w:rsidP="00C73771">
            <w:pPr>
              <w:spacing w:after="200" w:line="480" w:lineRule="auto"/>
            </w:pPr>
            <w:r>
              <w:t>23.9%</w:t>
            </w:r>
          </w:p>
        </w:tc>
        <w:tc>
          <w:tcPr>
            <w:tcW w:w="923" w:type="dxa"/>
          </w:tcPr>
          <w:p w14:paraId="4306D967" w14:textId="77777777" w:rsidR="00AD6703" w:rsidRDefault="00AD6703" w:rsidP="00C73771">
            <w:pPr>
              <w:spacing w:after="200" w:line="480" w:lineRule="auto"/>
            </w:pPr>
            <w:r>
              <w:t>30.3%</w:t>
            </w:r>
          </w:p>
        </w:tc>
        <w:tc>
          <w:tcPr>
            <w:tcW w:w="915" w:type="dxa"/>
          </w:tcPr>
          <w:p w14:paraId="78CF2932" w14:textId="77777777" w:rsidR="00AD6703" w:rsidRDefault="00AD6703" w:rsidP="00C73771">
            <w:pPr>
              <w:spacing w:after="200" w:line="480" w:lineRule="auto"/>
            </w:pPr>
            <w:r>
              <w:t>26.6%</w:t>
            </w:r>
          </w:p>
        </w:tc>
        <w:tc>
          <w:tcPr>
            <w:tcW w:w="982" w:type="dxa"/>
          </w:tcPr>
          <w:p w14:paraId="3E6C48C4" w14:textId="77777777" w:rsidR="00AD6703" w:rsidRDefault="00AD6703" w:rsidP="00C73771">
            <w:pPr>
              <w:spacing w:after="200" w:line="480" w:lineRule="auto"/>
            </w:pPr>
            <w:r>
              <w:t>19.3%</w:t>
            </w:r>
          </w:p>
        </w:tc>
        <w:tc>
          <w:tcPr>
            <w:tcW w:w="972" w:type="dxa"/>
          </w:tcPr>
          <w:p w14:paraId="5B306CBB" w14:textId="77777777" w:rsidR="00AD6703" w:rsidRDefault="00AD6703" w:rsidP="00C73771">
            <w:pPr>
              <w:spacing w:after="200" w:line="480" w:lineRule="auto"/>
            </w:pPr>
            <w:r>
              <w:t>3.82</w:t>
            </w:r>
          </w:p>
        </w:tc>
        <w:tc>
          <w:tcPr>
            <w:tcW w:w="972" w:type="dxa"/>
          </w:tcPr>
          <w:p w14:paraId="6BC8207E" w14:textId="77777777" w:rsidR="00AD6703" w:rsidRDefault="00AD6703" w:rsidP="00C73771">
            <w:pPr>
              <w:spacing w:after="200" w:line="480" w:lineRule="auto"/>
            </w:pPr>
            <w:r>
              <w:t>0.281</w:t>
            </w:r>
          </w:p>
        </w:tc>
        <w:tc>
          <w:tcPr>
            <w:tcW w:w="895" w:type="dxa"/>
          </w:tcPr>
          <w:p w14:paraId="77936473" w14:textId="77777777" w:rsidR="00AD6703" w:rsidRDefault="00AD6703" w:rsidP="00C73771">
            <w:pPr>
              <w:spacing w:after="200" w:line="480" w:lineRule="auto"/>
            </w:pPr>
            <w:r>
              <w:t>0.13</w:t>
            </w:r>
          </w:p>
        </w:tc>
      </w:tr>
      <w:tr w:rsidR="00AD6703" w14:paraId="01354B28" w14:textId="77777777" w:rsidTr="00C73771">
        <w:trPr>
          <w:jc w:val="center"/>
        </w:trPr>
        <w:tc>
          <w:tcPr>
            <w:tcW w:w="2127" w:type="dxa"/>
          </w:tcPr>
          <w:p w14:paraId="42C51330" w14:textId="77777777" w:rsidR="00AD6703" w:rsidRDefault="00AD6703" w:rsidP="00C73771">
            <w:pPr>
              <w:spacing w:after="200" w:line="480" w:lineRule="auto"/>
            </w:pPr>
            <w:r>
              <w:t>Outside back (342)</w:t>
            </w:r>
          </w:p>
        </w:tc>
        <w:tc>
          <w:tcPr>
            <w:tcW w:w="1005" w:type="dxa"/>
          </w:tcPr>
          <w:p w14:paraId="1D7DEF6F" w14:textId="77777777" w:rsidR="00AD6703" w:rsidRDefault="00AD6703" w:rsidP="00C73771">
            <w:pPr>
              <w:spacing w:after="200" w:line="480" w:lineRule="auto"/>
            </w:pPr>
            <w:r>
              <w:t>21.6%</w:t>
            </w:r>
          </w:p>
        </w:tc>
        <w:tc>
          <w:tcPr>
            <w:tcW w:w="923" w:type="dxa"/>
          </w:tcPr>
          <w:p w14:paraId="03572462" w14:textId="77777777" w:rsidR="00AD6703" w:rsidRDefault="00AD6703" w:rsidP="00C73771">
            <w:pPr>
              <w:spacing w:after="200" w:line="480" w:lineRule="auto"/>
            </w:pPr>
            <w:r>
              <w:t>28.9%</w:t>
            </w:r>
          </w:p>
        </w:tc>
        <w:tc>
          <w:tcPr>
            <w:tcW w:w="915" w:type="dxa"/>
          </w:tcPr>
          <w:p w14:paraId="411B79C6" w14:textId="77777777" w:rsidR="00AD6703" w:rsidRDefault="00AD6703" w:rsidP="00C73771">
            <w:pPr>
              <w:spacing w:after="200" w:line="480" w:lineRule="auto"/>
            </w:pPr>
            <w:r>
              <w:t>29.8%</w:t>
            </w:r>
          </w:p>
        </w:tc>
        <w:tc>
          <w:tcPr>
            <w:tcW w:w="982" w:type="dxa"/>
          </w:tcPr>
          <w:p w14:paraId="561B8748" w14:textId="77777777" w:rsidR="00AD6703" w:rsidRDefault="00AD6703" w:rsidP="00C73771">
            <w:pPr>
              <w:spacing w:after="200" w:line="480" w:lineRule="auto"/>
            </w:pPr>
            <w:r>
              <w:t>19.6%</w:t>
            </w:r>
          </w:p>
        </w:tc>
        <w:tc>
          <w:tcPr>
            <w:tcW w:w="972" w:type="dxa"/>
          </w:tcPr>
          <w:p w14:paraId="7921B3A3" w14:textId="77777777" w:rsidR="00AD6703" w:rsidRDefault="00AD6703" w:rsidP="00C73771">
            <w:pPr>
              <w:spacing w:after="200" w:line="480" w:lineRule="auto"/>
            </w:pPr>
            <w:r>
              <w:t>7.55</w:t>
            </w:r>
          </w:p>
        </w:tc>
        <w:tc>
          <w:tcPr>
            <w:tcW w:w="972" w:type="dxa"/>
          </w:tcPr>
          <w:p w14:paraId="1CF5764B" w14:textId="77777777" w:rsidR="00AD6703" w:rsidRDefault="00AD6703" w:rsidP="00C73771">
            <w:pPr>
              <w:spacing w:after="200" w:line="480" w:lineRule="auto"/>
            </w:pPr>
            <w:r>
              <w:t>0.056</w:t>
            </w:r>
          </w:p>
        </w:tc>
        <w:tc>
          <w:tcPr>
            <w:tcW w:w="895" w:type="dxa"/>
          </w:tcPr>
          <w:p w14:paraId="0FC7DB50" w14:textId="77777777" w:rsidR="00AD6703" w:rsidRDefault="00AD6703" w:rsidP="00C73771">
            <w:pPr>
              <w:spacing w:after="200" w:line="480" w:lineRule="auto"/>
            </w:pPr>
            <w:r>
              <w:t>0.15</w:t>
            </w:r>
          </w:p>
        </w:tc>
      </w:tr>
    </w:tbl>
    <w:p w14:paraId="62C8F341" w14:textId="3AB85129" w:rsidR="00025E45" w:rsidRDefault="00AD6703" w:rsidP="004C5FD8">
      <w:pPr>
        <w:spacing w:line="480" w:lineRule="auto"/>
      </w:pPr>
      <w:r>
        <w:t>Table Notes: N = number of players, χ</w:t>
      </w:r>
      <w:r w:rsidRPr="67835C1A">
        <w:rPr>
          <w:vertAlign w:val="superscript"/>
        </w:rPr>
        <w:t xml:space="preserve">2 </w:t>
      </w:r>
      <w:r>
        <w:t xml:space="preserve">= Chi-squared statistic, </w:t>
      </w:r>
      <w:r w:rsidRPr="67835C1A">
        <w:rPr>
          <w:i/>
          <w:iCs/>
        </w:rPr>
        <w:t>P</w:t>
      </w:r>
      <w:r>
        <w:t xml:space="preserve"> = probability value, w = Cohen’s w.</w:t>
      </w:r>
    </w:p>
    <w:sectPr w:rsidR="00025E4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AB794" w14:textId="77777777" w:rsidR="00CC3351" w:rsidRDefault="00CC3351" w:rsidP="004C5FD8">
      <w:pPr>
        <w:spacing w:after="0" w:line="240" w:lineRule="auto"/>
      </w:pPr>
      <w:r>
        <w:separator/>
      </w:r>
    </w:p>
  </w:endnote>
  <w:endnote w:type="continuationSeparator" w:id="0">
    <w:p w14:paraId="75E4E597" w14:textId="77777777" w:rsidR="00CC3351" w:rsidRDefault="00CC3351" w:rsidP="004C5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909460"/>
      <w:docPartObj>
        <w:docPartGallery w:val="Page Numbers (Bottom of Page)"/>
        <w:docPartUnique/>
      </w:docPartObj>
    </w:sdtPr>
    <w:sdtEndPr>
      <w:rPr>
        <w:noProof/>
      </w:rPr>
    </w:sdtEndPr>
    <w:sdtContent>
      <w:p w14:paraId="24AA8751" w14:textId="5F8C6E83" w:rsidR="00EC6D64" w:rsidRDefault="00EC6D64">
        <w:pPr>
          <w:pStyle w:val="Footer"/>
          <w:jc w:val="right"/>
        </w:pPr>
        <w:r>
          <w:fldChar w:fldCharType="begin"/>
        </w:r>
        <w:r>
          <w:instrText xml:space="preserve"> PAGE   \* MERGEFORMAT </w:instrText>
        </w:r>
        <w:r>
          <w:fldChar w:fldCharType="separate"/>
        </w:r>
        <w:r w:rsidR="00562BF4">
          <w:rPr>
            <w:noProof/>
          </w:rPr>
          <w:t>1</w:t>
        </w:r>
        <w:r>
          <w:rPr>
            <w:noProof/>
          </w:rPr>
          <w:fldChar w:fldCharType="end"/>
        </w:r>
      </w:p>
    </w:sdtContent>
  </w:sdt>
  <w:p w14:paraId="13A49D22" w14:textId="77777777" w:rsidR="00EC6D64" w:rsidRDefault="00EC6D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18AF1" w14:textId="77777777" w:rsidR="00CC3351" w:rsidRDefault="00CC3351" w:rsidP="004C5FD8">
      <w:pPr>
        <w:spacing w:after="0" w:line="240" w:lineRule="auto"/>
      </w:pPr>
      <w:r>
        <w:separator/>
      </w:r>
    </w:p>
  </w:footnote>
  <w:footnote w:type="continuationSeparator" w:id="0">
    <w:p w14:paraId="39216E0D" w14:textId="77777777" w:rsidR="00CC3351" w:rsidRDefault="00CC3351" w:rsidP="004C5F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521E3"/>
    <w:multiLevelType w:val="hybridMultilevel"/>
    <w:tmpl w:val="88F0D70C"/>
    <w:lvl w:ilvl="0" w:tplc="6AA6050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E8673F"/>
    <w:multiLevelType w:val="hybridMultilevel"/>
    <w:tmpl w:val="4044F75C"/>
    <w:lvl w:ilvl="0" w:tplc="CB0ADE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0414D0"/>
    <w:multiLevelType w:val="hybridMultilevel"/>
    <w:tmpl w:val="C8588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0D42AF"/>
    <w:multiLevelType w:val="hybridMultilevel"/>
    <w:tmpl w:val="5E10FE8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025E45"/>
    <w:rsid w:val="00025E45"/>
    <w:rsid w:val="00061844"/>
    <w:rsid w:val="00067333"/>
    <w:rsid w:val="00073A94"/>
    <w:rsid w:val="000A53AB"/>
    <w:rsid w:val="000D363A"/>
    <w:rsid w:val="00150ADC"/>
    <w:rsid w:val="00193C94"/>
    <w:rsid w:val="001943D7"/>
    <w:rsid w:val="001C3FB7"/>
    <w:rsid w:val="002012BF"/>
    <w:rsid w:val="00201A7E"/>
    <w:rsid w:val="002045CB"/>
    <w:rsid w:val="0020482B"/>
    <w:rsid w:val="00225DC4"/>
    <w:rsid w:val="00246644"/>
    <w:rsid w:val="002809C6"/>
    <w:rsid w:val="00295BFC"/>
    <w:rsid w:val="002A17CE"/>
    <w:rsid w:val="00316CBE"/>
    <w:rsid w:val="003328A5"/>
    <w:rsid w:val="003346CD"/>
    <w:rsid w:val="00353FA0"/>
    <w:rsid w:val="00386CEC"/>
    <w:rsid w:val="003E4C9E"/>
    <w:rsid w:val="004003D2"/>
    <w:rsid w:val="00414AF3"/>
    <w:rsid w:val="00432707"/>
    <w:rsid w:val="00433375"/>
    <w:rsid w:val="00442364"/>
    <w:rsid w:val="00453B24"/>
    <w:rsid w:val="004C5FD8"/>
    <w:rsid w:val="004C7A4E"/>
    <w:rsid w:val="004D3B6B"/>
    <w:rsid w:val="004D476E"/>
    <w:rsid w:val="005037F8"/>
    <w:rsid w:val="00524D72"/>
    <w:rsid w:val="00530BA8"/>
    <w:rsid w:val="00552AF6"/>
    <w:rsid w:val="00562BF4"/>
    <w:rsid w:val="005A111F"/>
    <w:rsid w:val="005C2D2E"/>
    <w:rsid w:val="005C3946"/>
    <w:rsid w:val="005D1B9F"/>
    <w:rsid w:val="005D43D7"/>
    <w:rsid w:val="005F7ECD"/>
    <w:rsid w:val="00603432"/>
    <w:rsid w:val="00616EF7"/>
    <w:rsid w:val="00632B51"/>
    <w:rsid w:val="006508E0"/>
    <w:rsid w:val="00657816"/>
    <w:rsid w:val="00675FA4"/>
    <w:rsid w:val="00694903"/>
    <w:rsid w:val="006B4812"/>
    <w:rsid w:val="007031FA"/>
    <w:rsid w:val="00713AA3"/>
    <w:rsid w:val="00714411"/>
    <w:rsid w:val="007245E1"/>
    <w:rsid w:val="00731117"/>
    <w:rsid w:val="00755787"/>
    <w:rsid w:val="007929E0"/>
    <w:rsid w:val="00796CB2"/>
    <w:rsid w:val="007B1F38"/>
    <w:rsid w:val="007B626E"/>
    <w:rsid w:val="007E03D0"/>
    <w:rsid w:val="007EC277"/>
    <w:rsid w:val="0086490B"/>
    <w:rsid w:val="008864BF"/>
    <w:rsid w:val="008C21F1"/>
    <w:rsid w:val="008D2CCC"/>
    <w:rsid w:val="008D7ACF"/>
    <w:rsid w:val="0093483F"/>
    <w:rsid w:val="00953852"/>
    <w:rsid w:val="00960C4F"/>
    <w:rsid w:val="00974C04"/>
    <w:rsid w:val="0099000C"/>
    <w:rsid w:val="009C590E"/>
    <w:rsid w:val="009F5059"/>
    <w:rsid w:val="00A30727"/>
    <w:rsid w:val="00A6267C"/>
    <w:rsid w:val="00A77A5B"/>
    <w:rsid w:val="00A7AD68"/>
    <w:rsid w:val="00AA6BD8"/>
    <w:rsid w:val="00AD6703"/>
    <w:rsid w:val="00AF189C"/>
    <w:rsid w:val="00AF1925"/>
    <w:rsid w:val="00B6376A"/>
    <w:rsid w:val="00B71F9F"/>
    <w:rsid w:val="00B97C26"/>
    <w:rsid w:val="00BB166B"/>
    <w:rsid w:val="00BE4002"/>
    <w:rsid w:val="00C3202A"/>
    <w:rsid w:val="00C37CBC"/>
    <w:rsid w:val="00C44C91"/>
    <w:rsid w:val="00C73771"/>
    <w:rsid w:val="00C905DA"/>
    <w:rsid w:val="00CC3351"/>
    <w:rsid w:val="00CE578E"/>
    <w:rsid w:val="00D27A66"/>
    <w:rsid w:val="00D3205A"/>
    <w:rsid w:val="00D603AE"/>
    <w:rsid w:val="00D825AD"/>
    <w:rsid w:val="00D83490"/>
    <w:rsid w:val="00DB5033"/>
    <w:rsid w:val="00DE16D1"/>
    <w:rsid w:val="00E16E15"/>
    <w:rsid w:val="00E70E20"/>
    <w:rsid w:val="00E92613"/>
    <w:rsid w:val="00EB7F63"/>
    <w:rsid w:val="00EC6D64"/>
    <w:rsid w:val="00EE0F43"/>
    <w:rsid w:val="00F15E4A"/>
    <w:rsid w:val="00F16033"/>
    <w:rsid w:val="00F30B2A"/>
    <w:rsid w:val="00F66A25"/>
    <w:rsid w:val="00F81239"/>
    <w:rsid w:val="00FC0C2C"/>
    <w:rsid w:val="00FD0004"/>
    <w:rsid w:val="00FF2EE5"/>
    <w:rsid w:val="01A4C93F"/>
    <w:rsid w:val="01C1D69E"/>
    <w:rsid w:val="024264A8"/>
    <w:rsid w:val="027EC6AB"/>
    <w:rsid w:val="02A36D1A"/>
    <w:rsid w:val="03062B94"/>
    <w:rsid w:val="03BD3190"/>
    <w:rsid w:val="04B5BF65"/>
    <w:rsid w:val="052BF9D7"/>
    <w:rsid w:val="06587150"/>
    <w:rsid w:val="066D21AA"/>
    <w:rsid w:val="068921A5"/>
    <w:rsid w:val="078706CA"/>
    <w:rsid w:val="082372EF"/>
    <w:rsid w:val="09B0D552"/>
    <w:rsid w:val="0A424D05"/>
    <w:rsid w:val="0B988DF3"/>
    <w:rsid w:val="0BEE1E56"/>
    <w:rsid w:val="0C1E5990"/>
    <w:rsid w:val="0DEA52FE"/>
    <w:rsid w:val="0E9812F3"/>
    <w:rsid w:val="0F03C131"/>
    <w:rsid w:val="0F49D248"/>
    <w:rsid w:val="0FE68AFD"/>
    <w:rsid w:val="10B49412"/>
    <w:rsid w:val="11C0B2FE"/>
    <w:rsid w:val="1293E970"/>
    <w:rsid w:val="132ABFF7"/>
    <w:rsid w:val="139565FD"/>
    <w:rsid w:val="16A3AB51"/>
    <w:rsid w:val="175739BA"/>
    <w:rsid w:val="194C3E59"/>
    <w:rsid w:val="198EBD7C"/>
    <w:rsid w:val="19A9F535"/>
    <w:rsid w:val="1A0B38B5"/>
    <w:rsid w:val="1ADD8E70"/>
    <w:rsid w:val="1B6F67C7"/>
    <w:rsid w:val="1BE708E3"/>
    <w:rsid w:val="1C69F22C"/>
    <w:rsid w:val="1C82B702"/>
    <w:rsid w:val="1CE996BF"/>
    <w:rsid w:val="1D537B41"/>
    <w:rsid w:val="1EA94956"/>
    <w:rsid w:val="1F284E64"/>
    <w:rsid w:val="1F5AAA39"/>
    <w:rsid w:val="2061B008"/>
    <w:rsid w:val="20EBF7F5"/>
    <w:rsid w:val="2193E242"/>
    <w:rsid w:val="21FEAC48"/>
    <w:rsid w:val="22804932"/>
    <w:rsid w:val="228155C7"/>
    <w:rsid w:val="24C3F743"/>
    <w:rsid w:val="25BA474E"/>
    <w:rsid w:val="275B336B"/>
    <w:rsid w:val="29183C74"/>
    <w:rsid w:val="29B08D13"/>
    <w:rsid w:val="2A003B51"/>
    <w:rsid w:val="2A3CCB0D"/>
    <w:rsid w:val="2B2C8D0B"/>
    <w:rsid w:val="2BFBA203"/>
    <w:rsid w:val="2C9F577D"/>
    <w:rsid w:val="2D0A4D24"/>
    <w:rsid w:val="2D4FD73F"/>
    <w:rsid w:val="2DA0CD8F"/>
    <w:rsid w:val="2E30FBDB"/>
    <w:rsid w:val="2E6B9184"/>
    <w:rsid w:val="2F15F314"/>
    <w:rsid w:val="2FE70843"/>
    <w:rsid w:val="2FF2C9FE"/>
    <w:rsid w:val="30486AC7"/>
    <w:rsid w:val="308AD92E"/>
    <w:rsid w:val="30A9D7F9"/>
    <w:rsid w:val="310E0BE0"/>
    <w:rsid w:val="318B679E"/>
    <w:rsid w:val="31BF97CA"/>
    <w:rsid w:val="32715E39"/>
    <w:rsid w:val="32AD6766"/>
    <w:rsid w:val="32F4090A"/>
    <w:rsid w:val="3301CBD9"/>
    <w:rsid w:val="34392F4A"/>
    <w:rsid w:val="351051A6"/>
    <w:rsid w:val="356F3071"/>
    <w:rsid w:val="365762EB"/>
    <w:rsid w:val="37E476B9"/>
    <w:rsid w:val="382F1958"/>
    <w:rsid w:val="383E5517"/>
    <w:rsid w:val="3A13B51A"/>
    <w:rsid w:val="3A805C7D"/>
    <w:rsid w:val="3AFFEAEA"/>
    <w:rsid w:val="3BCA9F9E"/>
    <w:rsid w:val="3D9FF51D"/>
    <w:rsid w:val="3F44A73A"/>
    <w:rsid w:val="3FA75BE3"/>
    <w:rsid w:val="404A8F74"/>
    <w:rsid w:val="4343CCC0"/>
    <w:rsid w:val="4418C7BF"/>
    <w:rsid w:val="443B9065"/>
    <w:rsid w:val="444281CC"/>
    <w:rsid w:val="446924AF"/>
    <w:rsid w:val="458EA2CD"/>
    <w:rsid w:val="45DA4CBF"/>
    <w:rsid w:val="4708C49A"/>
    <w:rsid w:val="471C2001"/>
    <w:rsid w:val="472373D8"/>
    <w:rsid w:val="473B9066"/>
    <w:rsid w:val="477203E5"/>
    <w:rsid w:val="48087215"/>
    <w:rsid w:val="4816F40A"/>
    <w:rsid w:val="481ACD97"/>
    <w:rsid w:val="485EEAE9"/>
    <w:rsid w:val="487727DB"/>
    <w:rsid w:val="48C732E2"/>
    <w:rsid w:val="4A62E591"/>
    <w:rsid w:val="4C99540E"/>
    <w:rsid w:val="4D81483D"/>
    <w:rsid w:val="4DB43D60"/>
    <w:rsid w:val="4E2DB9A4"/>
    <w:rsid w:val="4F46D990"/>
    <w:rsid w:val="4F50AE2B"/>
    <w:rsid w:val="5140697F"/>
    <w:rsid w:val="51B5F45D"/>
    <w:rsid w:val="51FD5A3F"/>
    <w:rsid w:val="5227798F"/>
    <w:rsid w:val="529A2718"/>
    <w:rsid w:val="53318A82"/>
    <w:rsid w:val="538397A9"/>
    <w:rsid w:val="53D328E7"/>
    <w:rsid w:val="540AAED7"/>
    <w:rsid w:val="541628CE"/>
    <w:rsid w:val="5453C879"/>
    <w:rsid w:val="54D606ED"/>
    <w:rsid w:val="55AB1B55"/>
    <w:rsid w:val="55E51F35"/>
    <w:rsid w:val="55FE5F7C"/>
    <w:rsid w:val="569A090E"/>
    <w:rsid w:val="57502D36"/>
    <w:rsid w:val="5825AC96"/>
    <w:rsid w:val="5840AF7F"/>
    <w:rsid w:val="593C3EE7"/>
    <w:rsid w:val="5965BD4A"/>
    <w:rsid w:val="596A786B"/>
    <w:rsid w:val="5A80CFB4"/>
    <w:rsid w:val="5BB1A5F8"/>
    <w:rsid w:val="5C1D0FF0"/>
    <w:rsid w:val="5C764205"/>
    <w:rsid w:val="6007A062"/>
    <w:rsid w:val="60B0B9DF"/>
    <w:rsid w:val="61BEA72A"/>
    <w:rsid w:val="62EC52D3"/>
    <w:rsid w:val="6397E4EE"/>
    <w:rsid w:val="6406F955"/>
    <w:rsid w:val="6429D324"/>
    <w:rsid w:val="6594CA04"/>
    <w:rsid w:val="6726A58D"/>
    <w:rsid w:val="674376AB"/>
    <w:rsid w:val="67835C1A"/>
    <w:rsid w:val="67A66781"/>
    <w:rsid w:val="67EF0DE9"/>
    <w:rsid w:val="69AB5AAE"/>
    <w:rsid w:val="6A1101EF"/>
    <w:rsid w:val="6BB4A96B"/>
    <w:rsid w:val="6BE3D051"/>
    <w:rsid w:val="6C4F8DDD"/>
    <w:rsid w:val="6D59958A"/>
    <w:rsid w:val="6E720F22"/>
    <w:rsid w:val="6EA10FA9"/>
    <w:rsid w:val="6ECE4B60"/>
    <w:rsid w:val="6FF360F8"/>
    <w:rsid w:val="704E0582"/>
    <w:rsid w:val="70780EA7"/>
    <w:rsid w:val="7081A5E7"/>
    <w:rsid w:val="70D30CE1"/>
    <w:rsid w:val="71FFDD2E"/>
    <w:rsid w:val="72C934CA"/>
    <w:rsid w:val="734AB95A"/>
    <w:rsid w:val="735F38A4"/>
    <w:rsid w:val="73A1D252"/>
    <w:rsid w:val="73B87952"/>
    <w:rsid w:val="73CF8353"/>
    <w:rsid w:val="74792458"/>
    <w:rsid w:val="74E021B6"/>
    <w:rsid w:val="7501946E"/>
    <w:rsid w:val="75759387"/>
    <w:rsid w:val="7577CCDE"/>
    <w:rsid w:val="762BB49E"/>
    <w:rsid w:val="76346213"/>
    <w:rsid w:val="77885D0D"/>
    <w:rsid w:val="77D1AEA7"/>
    <w:rsid w:val="78C614E3"/>
    <w:rsid w:val="79552620"/>
    <w:rsid w:val="79D2C96F"/>
    <w:rsid w:val="7AA75BE8"/>
    <w:rsid w:val="7AC8667E"/>
    <w:rsid w:val="7B434353"/>
    <w:rsid w:val="7BD4D35D"/>
    <w:rsid w:val="7CD85BCE"/>
    <w:rsid w:val="7D5F2A32"/>
    <w:rsid w:val="7D708718"/>
    <w:rsid w:val="7D977A81"/>
    <w:rsid w:val="7FF1C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6A435"/>
  <w15:docId w15:val="{0C5EC53E-04A2-4ECB-993B-145CB799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E45"/>
    <w:pPr>
      <w:ind w:left="720"/>
      <w:contextualSpacing/>
    </w:pPr>
  </w:style>
  <w:style w:type="paragraph" w:styleId="Header">
    <w:name w:val="header"/>
    <w:basedOn w:val="Normal"/>
    <w:link w:val="HeaderChar"/>
    <w:uiPriority w:val="99"/>
    <w:unhideWhenUsed/>
    <w:rsid w:val="004C5F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FD8"/>
  </w:style>
  <w:style w:type="paragraph" w:styleId="Footer">
    <w:name w:val="footer"/>
    <w:basedOn w:val="Normal"/>
    <w:link w:val="FooterChar"/>
    <w:uiPriority w:val="99"/>
    <w:unhideWhenUsed/>
    <w:rsid w:val="004C5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FD8"/>
  </w:style>
  <w:style w:type="table" w:styleId="TableGrid">
    <w:name w:val="Table Grid"/>
    <w:basedOn w:val="TableNormal"/>
    <w:uiPriority w:val="59"/>
    <w:rsid w:val="00067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4AF3"/>
    <w:rPr>
      <w:color w:val="0000FF" w:themeColor="hyperlink"/>
      <w:u w:val="single"/>
    </w:rPr>
  </w:style>
  <w:style w:type="paragraph" w:customStyle="1" w:styleId="EndNoteBibliographyTitle">
    <w:name w:val="EndNote Bibliography Title"/>
    <w:basedOn w:val="Normal"/>
    <w:link w:val="EndNoteBibliographyTitleChar"/>
    <w:rsid w:val="00694903"/>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694903"/>
    <w:rPr>
      <w:noProof/>
      <w:lang w:val="en-US"/>
    </w:rPr>
  </w:style>
  <w:style w:type="paragraph" w:customStyle="1" w:styleId="EndNoteBibliography">
    <w:name w:val="EndNote Bibliography"/>
    <w:basedOn w:val="Normal"/>
    <w:link w:val="EndNoteBibliographyChar"/>
    <w:rsid w:val="00694903"/>
    <w:pPr>
      <w:spacing w:line="240" w:lineRule="auto"/>
    </w:pPr>
    <w:rPr>
      <w:noProof/>
      <w:lang w:val="en-US"/>
    </w:rPr>
  </w:style>
  <w:style w:type="character" w:customStyle="1" w:styleId="EndNoteBibliographyChar">
    <w:name w:val="EndNote Bibliography Char"/>
    <w:basedOn w:val="DefaultParagraphFont"/>
    <w:link w:val="EndNoteBibliography"/>
    <w:rsid w:val="00694903"/>
    <w:rPr>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46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earney@chi.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ata.un.org/Default.aspx" TargetMode="External"/><Relationship Id="rId4" Type="http://schemas.openxmlformats.org/officeDocument/2006/relationships/settings" Target="settings.xml"/><Relationship Id="rId9" Type="http://schemas.openxmlformats.org/officeDocument/2006/relationships/hyperlink" Target="http://www.itsrugb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1CD4B65B-68D0-41F7-8FD9-9A98D16E8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481847BC</Template>
  <TotalTime>0</TotalTime>
  <Pages>7</Pages>
  <Words>1393</Words>
  <Characters>7944</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Kearney</dc:creator>
  <cp:lastModifiedBy>Philip Kearney</cp:lastModifiedBy>
  <cp:revision>2</cp:revision>
  <dcterms:created xsi:type="dcterms:W3CDTF">2017-04-13T11:08:00Z</dcterms:created>
  <dcterms:modified xsi:type="dcterms:W3CDTF">2017-04-13T11:08:00Z</dcterms:modified>
</cp:coreProperties>
</file>